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Wahlbereich Informatik und Automatisierung</w:t>
      </w:r>
    </w:p>
    <w:p>
      <w:pPr>
        <w:pStyle w:val="Subtitle"/>
      </w:pPr>
      <w:r>
        <w:t xml:space="preserve">Informatik · Klasse 9 · Lehrerband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Inhaltsverzeichnis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25" w:name="lehrerband-überblick"/>
    <w:p>
      <w:pPr>
        <w:pStyle w:val="Heading1"/>
      </w:pPr>
      <w:r>
        <w:t xml:space="preserve">Lehrerband – Überblick</w:t>
      </w:r>
    </w:p>
    <w:bookmarkStart w:id="20" w:name="wahlbereich"/>
    <w:p>
      <w:pPr>
        <w:pStyle w:val="Heading2"/>
      </w:pPr>
      <w:r>
        <w:t xml:space="preserve">Wahlbereich</w:t>
      </w:r>
    </w:p>
    <w:p>
      <w:pPr>
        <w:pStyle w:val="FirstParagraph"/>
      </w:pPr>
      <w:r>
        <w:t xml:space="preserve">Informatik und Automatisierung</w:t>
      </w:r>
    </w:p>
    <w:bookmarkEnd w:id="20"/>
    <w:bookmarkStart w:id="21" w:name="ziel"/>
    <w:p>
      <w:pPr>
        <w:pStyle w:val="Heading2"/>
      </w:pPr>
      <w:r>
        <w:t xml:space="preserve">Ziel</w:t>
      </w:r>
    </w:p>
    <w:p>
      <w:pPr>
        <w:pStyle w:val="FirstParagraph"/>
      </w:pPr>
      <w:r>
        <w:t xml:space="preserve">Die Schülerinnen und Schüler beurteilen Möglichkeiten und Grenzen automatisierter Prozesse anhand lebensnaher Beispiele.</w:t>
      </w:r>
    </w:p>
    <w:bookmarkEnd w:id="21"/>
    <w:bookmarkStart w:id="22" w:name="schwerpunkte"/>
    <w:p>
      <w:pPr>
        <w:pStyle w:val="Heading2"/>
      </w:pPr>
      <w:r>
        <w:t xml:space="preserve">Schwerpunkte</w:t>
      </w:r>
    </w:p>
    <w:p>
      <w:pPr>
        <w:numPr>
          <w:ilvl w:val="0"/>
          <w:numId w:val="1001"/>
        </w:numPr>
        <w:pStyle w:val="Compact"/>
      </w:pPr>
      <w:r>
        <w:t xml:space="preserve">automatisierte Prozesse,</w:t>
      </w:r>
    </w:p>
    <w:p>
      <w:pPr>
        <w:numPr>
          <w:ilvl w:val="0"/>
          <w:numId w:val="1001"/>
        </w:numPr>
        <w:pStyle w:val="Compact"/>
      </w:pPr>
      <w:r>
        <w:t xml:space="preserve">Bots und soziale Netzwerke,</w:t>
      </w:r>
    </w:p>
    <w:p>
      <w:pPr>
        <w:numPr>
          <w:ilvl w:val="0"/>
          <w:numId w:val="1001"/>
        </w:numPr>
        <w:pStyle w:val="Compact"/>
      </w:pPr>
      <w:r>
        <w:t xml:space="preserve">Smart Home,</w:t>
      </w:r>
    </w:p>
    <w:p>
      <w:pPr>
        <w:numPr>
          <w:ilvl w:val="0"/>
          <w:numId w:val="1001"/>
        </w:numPr>
        <w:pStyle w:val="Compact"/>
      </w:pPr>
      <w:r>
        <w:t xml:space="preserve">Sprachassistenten,</w:t>
      </w:r>
    </w:p>
    <w:p>
      <w:pPr>
        <w:numPr>
          <w:ilvl w:val="0"/>
          <w:numId w:val="1001"/>
        </w:numPr>
        <w:pStyle w:val="Compact"/>
      </w:pPr>
      <w:r>
        <w:t xml:space="preserve">Drohnen und Steuerungen,</w:t>
      </w:r>
    </w:p>
    <w:p>
      <w:pPr>
        <w:numPr>
          <w:ilvl w:val="0"/>
          <w:numId w:val="1001"/>
        </w:numPr>
        <w:pStyle w:val="Compact"/>
      </w:pPr>
      <w:r>
        <w:t xml:space="preserve">Datenschutz,</w:t>
      </w:r>
    </w:p>
    <w:p>
      <w:pPr>
        <w:numPr>
          <w:ilvl w:val="0"/>
          <w:numId w:val="1001"/>
        </w:numPr>
        <w:pStyle w:val="Compact"/>
      </w:pPr>
      <w:r>
        <w:t xml:space="preserve">Datensicherheit,</w:t>
      </w:r>
    </w:p>
    <w:p>
      <w:pPr>
        <w:numPr>
          <w:ilvl w:val="0"/>
          <w:numId w:val="1001"/>
        </w:numPr>
        <w:pStyle w:val="Compact"/>
      </w:pPr>
      <w:r>
        <w:t xml:space="preserve">politische Meinungsbildung.</w:t>
      </w:r>
    </w:p>
    <w:bookmarkEnd w:id="22"/>
    <w:bookmarkStart w:id="23" w:name="unterrichtsprinzip"/>
    <w:p>
      <w:pPr>
        <w:pStyle w:val="Heading2"/>
      </w:pPr>
      <w:r>
        <w:t xml:space="preserve">Unterrichtsprinzip</w:t>
      </w:r>
    </w:p>
    <w:p>
      <w:pPr>
        <w:pStyle w:val="FirstParagraph"/>
      </w:pPr>
      <w:r>
        <w:t xml:space="preserve">Nicht einzelne Technologien technisch vollständig erklären.</w:t>
      </w:r>
    </w:p>
    <w:p>
      <w:pPr>
        <w:pStyle w:val="BodyText"/>
      </w:pPr>
      <w:r>
        <w:t xml:space="preserve">Im Mittelpunkt steht die</w:t>
      </w:r>
      <w:r>
        <w:t xml:space="preserve"> </w:t>
      </w:r>
      <w:r>
        <w:rPr>
          <w:bCs/>
          <w:b/>
        </w:rPr>
        <w:t xml:space="preserve">begründete Beurteilung</w:t>
      </w:r>
      <w:r>
        <w:t xml:space="preserve">.</w:t>
      </w:r>
    </w:p>
    <w:bookmarkEnd w:id="23"/>
    <w:bookmarkStart w:id="24" w:name="möglicher-zeitrahmen"/>
    <w:p>
      <w:pPr>
        <w:pStyle w:val="Heading2"/>
      </w:pPr>
      <w:r>
        <w:t xml:space="preserve">Möglicher Zeitrahmen</w:t>
      </w:r>
    </w:p>
    <w:p>
      <w:pPr>
        <w:pStyle w:val="FirstParagraph"/>
      </w:pPr>
      <w:r>
        <w:t xml:space="preserve">Je nach schulinterner Planung etwa zwei Unterrichtswochen.</w:t>
      </w:r>
    </w:p>
    <w:p>
      <w:pPr>
        <w:pStyle w:val="BodyText"/>
      </w:pPr>
      <w:r>
        <w:t xml:space="preserve">Die Materialien sind modular und müssen nicht vollständig bearbeitet werden.</w:t>
      </w:r>
    </w:p>
    <w:p>
      <w:r>
        <w:br w:type="page"/>
      </w:r>
    </w:p>
    <w:bookmarkEnd w:id="24"/>
    <w:bookmarkEnd w:id="25"/>
    <w:bookmarkStart w:id="27" w:name="lehrerband-unterrichtsverlauf"/>
    <w:p>
      <w:pPr>
        <w:pStyle w:val="Heading1"/>
      </w:pPr>
      <w:r>
        <w:t xml:space="preserve">Lehrerband – Unterrichtsverlauf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Inhalt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Einstieg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Automatisierte Systeme im Alltag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Erarbeitung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Aufbau automatisierter Prozesse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Vertiefung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Bots, Smart Home, Sprachassistenten, Drohnen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Bewertung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Möglichkeiten und Grenzen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Gesellschaft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politische Meinungsbildung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Schutz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Datenschutz und Datensicherheit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Fallanalyse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Abschluss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Projekt und Kompetenzcheck</w:t>
            </w:r>
          </w:p>
        </w:tc>
      </w:tr>
    </w:tbl>
    <w:bookmarkStart w:id="26" w:name="hinweis"/>
    <w:p>
      <w:pPr>
        <w:pStyle w:val="Heading2"/>
      </w:pPr>
      <w:r>
        <w:t xml:space="preserve">Hinweis</w:t>
      </w:r>
    </w:p>
    <w:p>
      <w:pPr>
        <w:pStyle w:val="FirstParagraph"/>
      </w:pPr>
      <w:r>
        <w:t xml:space="preserve">Bei wenig Unterrichtszeit können die Kapitel 02–04 arbeitsteilig bearbeitet werden.</w:t>
      </w:r>
    </w:p>
    <w:p>
      <w:r>
        <w:br w:type="page"/>
      </w:r>
    </w:p>
    <w:bookmarkEnd w:id="26"/>
    <w:bookmarkEnd w:id="27"/>
    <w:bookmarkStart w:id="31" w:name="lehrerband-didaktische-hinweise"/>
    <w:p>
      <w:pPr>
        <w:pStyle w:val="Heading1"/>
      </w:pPr>
      <w:r>
        <w:t xml:space="preserve">Lehrerband – Didaktische Hinweise</w:t>
      </w:r>
    </w:p>
    <w:bookmarkStart w:id="28" w:name="kontroverse-themen"/>
    <w:p>
      <w:pPr>
        <w:pStyle w:val="Heading2"/>
      </w:pPr>
      <w:r>
        <w:t xml:space="preserve">Kontroverse Themen</w:t>
      </w:r>
    </w:p>
    <w:p>
      <w:pPr>
        <w:pStyle w:val="FirstParagraph"/>
      </w:pPr>
      <w:r>
        <w:t xml:space="preserve">Automatisierung besitzt gleichzeitig Chancen und Risiken.</w:t>
      </w:r>
    </w:p>
    <w:p>
      <w:pPr>
        <w:pStyle w:val="BodyText"/>
      </w:pPr>
      <w:r>
        <w:t xml:space="preserve">Vermeiden Sie einfache Wertungen wie:</w:t>
      </w:r>
    </w:p>
    <w:p>
      <w:pPr>
        <w:numPr>
          <w:ilvl w:val="0"/>
          <w:numId w:val="1002"/>
        </w:numPr>
        <w:pStyle w:val="Compact"/>
      </w:pPr>
      <w:r>
        <w:t xml:space="preserve">Technik ist gut,</w:t>
      </w:r>
    </w:p>
    <w:p>
      <w:pPr>
        <w:numPr>
          <w:ilvl w:val="0"/>
          <w:numId w:val="1002"/>
        </w:numPr>
        <w:pStyle w:val="Compact"/>
      </w:pPr>
      <w:r>
        <w:t xml:space="preserve">Technik ist gefährlich.</w:t>
      </w:r>
    </w:p>
    <w:p>
      <w:pPr>
        <w:pStyle w:val="FirstParagraph"/>
      </w:pPr>
      <w:r>
        <w:t xml:space="preserve">Die Lernenden sollen Kriterien entwickeln und begründet urteilen.</w:t>
      </w:r>
    </w:p>
    <w:bookmarkEnd w:id="28"/>
    <w:bookmarkStart w:id="29" w:name="leitfragen"/>
    <w:p>
      <w:pPr>
        <w:pStyle w:val="Heading2"/>
      </w:pPr>
      <w:r>
        <w:t xml:space="preserve">Leitfragen</w:t>
      </w:r>
    </w:p>
    <w:p>
      <w:pPr>
        <w:numPr>
          <w:ilvl w:val="0"/>
          <w:numId w:val="1003"/>
        </w:numPr>
        <w:pStyle w:val="Compact"/>
      </w:pPr>
      <w:r>
        <w:t xml:space="preserve">Welche Aufgabe wird automatisiert?</w:t>
      </w:r>
    </w:p>
    <w:p>
      <w:pPr>
        <w:numPr>
          <w:ilvl w:val="0"/>
          <w:numId w:val="1003"/>
        </w:numPr>
        <w:pStyle w:val="Compact"/>
      </w:pPr>
      <w:r>
        <w:t xml:space="preserve">Welche Daten werden benötigt?</w:t>
      </w:r>
    </w:p>
    <w:p>
      <w:pPr>
        <w:numPr>
          <w:ilvl w:val="0"/>
          <w:numId w:val="1003"/>
        </w:numPr>
        <w:pStyle w:val="Compact"/>
      </w:pPr>
      <w:r>
        <w:t xml:space="preserve">Was kann schiefgehen?</w:t>
      </w:r>
    </w:p>
    <w:p>
      <w:pPr>
        <w:numPr>
          <w:ilvl w:val="0"/>
          <w:numId w:val="1003"/>
        </w:numPr>
        <w:pStyle w:val="Compact"/>
      </w:pPr>
      <w:r>
        <w:t xml:space="preserve">Wer trägt Verantwortung?</w:t>
      </w:r>
    </w:p>
    <w:p>
      <w:pPr>
        <w:numPr>
          <w:ilvl w:val="0"/>
          <w:numId w:val="1003"/>
        </w:numPr>
        <w:pStyle w:val="Compact"/>
      </w:pPr>
      <w:r>
        <w:t xml:space="preserve">Wer kann eine Entscheidung korrigieren?</w:t>
      </w:r>
    </w:p>
    <w:p>
      <w:pPr>
        <w:numPr>
          <w:ilvl w:val="0"/>
          <w:numId w:val="1003"/>
        </w:numPr>
        <w:pStyle w:val="Compact"/>
      </w:pPr>
      <w:r>
        <w:t xml:space="preserve">Welche Folgen entstehen für andere Menschen?</w:t>
      </w:r>
    </w:p>
    <w:bookmarkEnd w:id="29"/>
    <w:bookmarkStart w:id="30" w:name="politische-meinungsbildung"/>
    <w:p>
      <w:pPr>
        <w:pStyle w:val="Heading2"/>
      </w:pPr>
      <w:r>
        <w:t xml:space="preserve">Politische Meinungsbildung</w:t>
      </w:r>
    </w:p>
    <w:p>
      <w:pPr>
        <w:pStyle w:val="FirstParagraph"/>
      </w:pPr>
      <w:r>
        <w:t xml:space="preserve">Der Schwerpunkt liegt auf Mechanismen:</w:t>
      </w:r>
    </w:p>
    <w:p>
      <w:pPr>
        <w:numPr>
          <w:ilvl w:val="0"/>
          <w:numId w:val="1004"/>
        </w:numPr>
        <w:pStyle w:val="Compact"/>
      </w:pPr>
      <w:r>
        <w:t xml:space="preserve">automatisierte Auswahl,</w:t>
      </w:r>
    </w:p>
    <w:p>
      <w:pPr>
        <w:numPr>
          <w:ilvl w:val="0"/>
          <w:numId w:val="1004"/>
        </w:numPr>
        <w:pStyle w:val="Compact"/>
      </w:pPr>
      <w:r>
        <w:t xml:space="preserve">Reichweite,</w:t>
      </w:r>
    </w:p>
    <w:p>
      <w:pPr>
        <w:numPr>
          <w:ilvl w:val="0"/>
          <w:numId w:val="1004"/>
        </w:numPr>
        <w:pStyle w:val="Compact"/>
      </w:pPr>
      <w:r>
        <w:t xml:space="preserve">Bots,</w:t>
      </w:r>
    </w:p>
    <w:p>
      <w:pPr>
        <w:numPr>
          <w:ilvl w:val="0"/>
          <w:numId w:val="1004"/>
        </w:numPr>
        <w:pStyle w:val="Compact"/>
      </w:pPr>
      <w:r>
        <w:t xml:space="preserve">künstlich erzeugte Zustimmung,</w:t>
      </w:r>
    </w:p>
    <w:p>
      <w:pPr>
        <w:numPr>
          <w:ilvl w:val="0"/>
          <w:numId w:val="1004"/>
        </w:numPr>
        <w:pStyle w:val="Compact"/>
      </w:pPr>
      <w:r>
        <w:t xml:space="preserve">einseitige Informationsräume.</w:t>
      </w:r>
    </w:p>
    <w:p>
      <w:pPr>
        <w:pStyle w:val="FirstParagraph"/>
      </w:pPr>
      <w:r>
        <w:t xml:space="preserve">Parteipolitische Positionierung ist nicht Ziel der Einheit.</w:t>
      </w:r>
    </w:p>
    <w:p>
      <w:r>
        <w:br w:type="page"/>
      </w:r>
    </w:p>
    <w:bookmarkEnd w:id="30"/>
    <w:bookmarkEnd w:id="31"/>
    <w:bookmarkStart w:id="38" w:name="lehrerband-lösungshinweise"/>
    <w:p>
      <w:pPr>
        <w:pStyle w:val="Heading1"/>
      </w:pPr>
      <w:r>
        <w:t xml:space="preserve">Lehrerband – Lösungshinweise</w:t>
      </w:r>
    </w:p>
    <w:bookmarkStart w:id="32" w:name="automatisierte-prozesse"/>
    <w:p>
      <w:pPr>
        <w:pStyle w:val="Heading2"/>
      </w:pPr>
      <w:r>
        <w:t xml:space="preserve">Automatisierte Prozesse</w:t>
      </w:r>
    </w:p>
    <w:p>
      <w:pPr>
        <w:pStyle w:val="FirstParagraph"/>
      </w:pPr>
      <w:r>
        <w:t xml:space="preserve">Erwartete Struktur:</w:t>
      </w:r>
    </w:p>
    <w:p>
      <w:pPr>
        <w:numPr>
          <w:ilvl w:val="0"/>
          <w:numId w:val="1005"/>
        </w:numPr>
        <w:pStyle w:val="Compact"/>
      </w:pPr>
      <w:r>
        <w:t xml:space="preserve">Eingabe,</w:t>
      </w:r>
    </w:p>
    <w:p>
      <w:pPr>
        <w:numPr>
          <w:ilvl w:val="0"/>
          <w:numId w:val="1005"/>
        </w:numPr>
        <w:pStyle w:val="Compact"/>
      </w:pPr>
      <w:r>
        <w:t xml:space="preserve">Verarbeitung,</w:t>
      </w:r>
    </w:p>
    <w:p>
      <w:pPr>
        <w:numPr>
          <w:ilvl w:val="0"/>
          <w:numId w:val="1005"/>
        </w:numPr>
        <w:pStyle w:val="Compact"/>
      </w:pPr>
      <w:r>
        <w:t xml:space="preserve">Entscheidung,</w:t>
      </w:r>
    </w:p>
    <w:p>
      <w:pPr>
        <w:numPr>
          <w:ilvl w:val="0"/>
          <w:numId w:val="1005"/>
        </w:numPr>
        <w:pStyle w:val="Compact"/>
      </w:pPr>
      <w:r>
        <w:t xml:space="preserve">Aktion,</w:t>
      </w:r>
    </w:p>
    <w:p>
      <w:pPr>
        <w:numPr>
          <w:ilvl w:val="0"/>
          <w:numId w:val="1005"/>
        </w:numPr>
        <w:pStyle w:val="Compact"/>
      </w:pPr>
      <w:r>
        <w:t xml:space="preserve">Rückmeldung.</w:t>
      </w:r>
    </w:p>
    <w:bookmarkEnd w:id="32"/>
    <w:bookmarkStart w:id="33" w:name="bots"/>
    <w:p>
      <w:pPr>
        <w:pStyle w:val="Heading2"/>
      </w:pPr>
      <w:r>
        <w:t xml:space="preserve">Bots</w:t>
      </w:r>
    </w:p>
    <w:p>
      <w:pPr>
        <w:pStyle w:val="FirstParagraph"/>
      </w:pPr>
      <w:r>
        <w:t xml:space="preserve">Mögliche Hinweise auf automatisiertes Verhalten:</w:t>
      </w:r>
    </w:p>
    <w:p>
      <w:pPr>
        <w:numPr>
          <w:ilvl w:val="0"/>
          <w:numId w:val="1006"/>
        </w:numPr>
        <w:pStyle w:val="Compact"/>
      </w:pPr>
      <w:r>
        <w:t xml:space="preserve">sehr hohe Veröffentlichungsfrequenz,</w:t>
      </w:r>
    </w:p>
    <w:p>
      <w:pPr>
        <w:numPr>
          <w:ilvl w:val="0"/>
          <w:numId w:val="1006"/>
        </w:numPr>
        <w:pStyle w:val="Compact"/>
      </w:pPr>
      <w:r>
        <w:t xml:space="preserve">wiederholte oder identische Texte,</w:t>
      </w:r>
    </w:p>
    <w:p>
      <w:pPr>
        <w:numPr>
          <w:ilvl w:val="0"/>
          <w:numId w:val="1006"/>
        </w:numPr>
        <w:pStyle w:val="Compact"/>
      </w:pPr>
      <w:r>
        <w:t xml:space="preserve">ungewöhnlich schnelle Reaktionen,</w:t>
      </w:r>
    </w:p>
    <w:p>
      <w:pPr>
        <w:numPr>
          <w:ilvl w:val="0"/>
          <w:numId w:val="1006"/>
        </w:numPr>
        <w:pStyle w:val="Compact"/>
      </w:pPr>
      <w:r>
        <w:t xml:space="preserve">identische Aktivitätsmuster.</w:t>
      </w:r>
    </w:p>
    <w:p>
      <w:pPr>
        <w:pStyle w:val="FirstParagraph"/>
      </w:pPr>
      <w:r>
        <w:t xml:space="preserve">Keines dieser Merkmale beweist allein, dass ein Konto ein Bot ist.</w:t>
      </w:r>
    </w:p>
    <w:bookmarkEnd w:id="33"/>
    <w:bookmarkStart w:id="34" w:name="smart-home"/>
    <w:p>
      <w:pPr>
        <w:pStyle w:val="Heading2"/>
      </w:pPr>
      <w:r>
        <w:t xml:space="preserve">Smart Home</w:t>
      </w:r>
    </w:p>
    <w:p>
      <w:pPr>
        <w:pStyle w:val="FirstParagraph"/>
      </w:pPr>
      <w:r>
        <w:t xml:space="preserve">Mögliche Daten:</w:t>
      </w:r>
    </w:p>
    <w:p>
      <w:pPr>
        <w:numPr>
          <w:ilvl w:val="0"/>
          <w:numId w:val="1007"/>
        </w:numPr>
        <w:pStyle w:val="Compact"/>
      </w:pPr>
      <w:r>
        <w:t xml:space="preserve">Temperatur,</w:t>
      </w:r>
    </w:p>
    <w:p>
      <w:pPr>
        <w:numPr>
          <w:ilvl w:val="0"/>
          <w:numId w:val="1007"/>
        </w:numPr>
        <w:pStyle w:val="Compact"/>
      </w:pPr>
      <w:r>
        <w:t xml:space="preserve">Anwesenheit,</w:t>
      </w:r>
    </w:p>
    <w:p>
      <w:pPr>
        <w:numPr>
          <w:ilvl w:val="0"/>
          <w:numId w:val="1007"/>
        </w:numPr>
        <w:pStyle w:val="Compact"/>
      </w:pPr>
      <w:r>
        <w:t xml:space="preserve">Sprachaufnahmen,</w:t>
      </w:r>
    </w:p>
    <w:p>
      <w:pPr>
        <w:numPr>
          <w:ilvl w:val="0"/>
          <w:numId w:val="1007"/>
        </w:numPr>
        <w:pStyle w:val="Compact"/>
      </w:pPr>
      <w:r>
        <w:t xml:space="preserve">Nutzungszeiten,</w:t>
      </w:r>
    </w:p>
    <w:p>
      <w:pPr>
        <w:numPr>
          <w:ilvl w:val="0"/>
          <w:numId w:val="1007"/>
        </w:numPr>
        <w:pStyle w:val="Compact"/>
      </w:pPr>
      <w:r>
        <w:t xml:space="preserve">Standortinformationen,</w:t>
      </w:r>
    </w:p>
    <w:p>
      <w:pPr>
        <w:numPr>
          <w:ilvl w:val="0"/>
          <w:numId w:val="1007"/>
        </w:numPr>
        <w:pStyle w:val="Compact"/>
      </w:pPr>
      <w:r>
        <w:t xml:space="preserve">Geräteaktivität.</w:t>
      </w:r>
    </w:p>
    <w:bookmarkEnd w:id="34"/>
    <w:bookmarkStart w:id="35" w:name="drohnen"/>
    <w:p>
      <w:pPr>
        <w:pStyle w:val="Heading2"/>
      </w:pPr>
      <w:r>
        <w:t xml:space="preserve">Drohnen</w:t>
      </w:r>
    </w:p>
    <w:p>
      <w:pPr>
        <w:pStyle w:val="FirstParagraph"/>
      </w:pPr>
      <w:r>
        <w:t xml:space="preserve">Mögliche Sensoren:</w:t>
      </w:r>
    </w:p>
    <w:p>
      <w:pPr>
        <w:numPr>
          <w:ilvl w:val="0"/>
          <w:numId w:val="1008"/>
        </w:numPr>
        <w:pStyle w:val="Compact"/>
      </w:pPr>
      <w:r>
        <w:t xml:space="preserve">Kamera,</w:t>
      </w:r>
    </w:p>
    <w:p>
      <w:pPr>
        <w:numPr>
          <w:ilvl w:val="0"/>
          <w:numId w:val="1008"/>
        </w:numPr>
        <w:pStyle w:val="Compact"/>
      </w:pPr>
      <w:r>
        <w:t xml:space="preserve">Abstandssensor,</w:t>
      </w:r>
    </w:p>
    <w:p>
      <w:pPr>
        <w:numPr>
          <w:ilvl w:val="0"/>
          <w:numId w:val="1008"/>
        </w:numPr>
        <w:pStyle w:val="Compact"/>
      </w:pPr>
      <w:r>
        <w:t xml:space="preserve">GPS,</w:t>
      </w:r>
    </w:p>
    <w:p>
      <w:pPr>
        <w:numPr>
          <w:ilvl w:val="0"/>
          <w:numId w:val="1008"/>
        </w:numPr>
        <w:pStyle w:val="Compact"/>
      </w:pPr>
      <w:r>
        <w:t xml:space="preserve">Beschleunigungssensor,</w:t>
      </w:r>
    </w:p>
    <w:p>
      <w:pPr>
        <w:numPr>
          <w:ilvl w:val="0"/>
          <w:numId w:val="1008"/>
        </w:numPr>
        <w:pStyle w:val="Compact"/>
      </w:pPr>
      <w:r>
        <w:t xml:space="preserve">Gyroskop,</w:t>
      </w:r>
    </w:p>
    <w:p>
      <w:pPr>
        <w:numPr>
          <w:ilvl w:val="0"/>
          <w:numId w:val="1008"/>
        </w:numPr>
        <w:pStyle w:val="Compact"/>
      </w:pPr>
      <w:r>
        <w:t xml:space="preserve">Höhenmesser.</w:t>
      </w:r>
    </w:p>
    <w:bookmarkEnd w:id="35"/>
    <w:bookmarkStart w:id="36" w:name="datenschutz-datensicherheit"/>
    <w:p>
      <w:pPr>
        <w:pStyle w:val="Heading2"/>
      </w:pPr>
      <w:r>
        <w:t xml:space="preserve">Datenschutz / Datensicherheit</w:t>
      </w:r>
    </w:p>
    <w:p>
      <w:pPr>
        <w:pStyle w:val="FirstParagraph"/>
      </w:pPr>
      <w:r>
        <w:t xml:space="preserve">Datenschutz betrifft Zulässigkeit und Umgang mit personenbezogenen Daten.</w:t>
      </w:r>
    </w:p>
    <w:p>
      <w:pPr>
        <w:pStyle w:val="BodyText"/>
      </w:pPr>
      <w:r>
        <w:t xml:space="preserve">Datensicherheit betrifft technische und organisatorische Schutzmaßnahmen.</w:t>
      </w:r>
    </w:p>
    <w:bookmarkEnd w:id="36"/>
    <w:bookmarkStart w:id="37" w:name="politische-meinungsbildung-1"/>
    <w:p>
      <w:pPr>
        <w:pStyle w:val="Heading2"/>
      </w:pPr>
      <w:r>
        <w:t xml:space="preserve">Politische Meinungsbildung</w:t>
      </w:r>
    </w:p>
    <w:p>
      <w:pPr>
        <w:pStyle w:val="FirstParagraph"/>
      </w:pPr>
      <w:r>
        <w:t xml:space="preserve">Erwartete Risiken:</w:t>
      </w:r>
    </w:p>
    <w:p>
      <w:pPr>
        <w:numPr>
          <w:ilvl w:val="0"/>
          <w:numId w:val="1009"/>
        </w:numPr>
        <w:pStyle w:val="Compact"/>
      </w:pPr>
      <w:r>
        <w:t xml:space="preserve">künstliche Reichweite,</w:t>
      </w:r>
    </w:p>
    <w:p>
      <w:pPr>
        <w:numPr>
          <w:ilvl w:val="0"/>
          <w:numId w:val="1009"/>
        </w:numPr>
        <w:pStyle w:val="Compact"/>
      </w:pPr>
      <w:r>
        <w:t xml:space="preserve">Desinformation,</w:t>
      </w:r>
    </w:p>
    <w:p>
      <w:pPr>
        <w:numPr>
          <w:ilvl w:val="0"/>
          <w:numId w:val="1009"/>
        </w:numPr>
        <w:pStyle w:val="Compact"/>
      </w:pPr>
      <w:r>
        <w:t xml:space="preserve">einseitige Auswahl,</w:t>
      </w:r>
    </w:p>
    <w:p>
      <w:pPr>
        <w:numPr>
          <w:ilvl w:val="0"/>
          <w:numId w:val="1009"/>
        </w:numPr>
        <w:pStyle w:val="Compact"/>
      </w:pPr>
      <w:r>
        <w:t xml:space="preserve">Manipulation wahrgenommener Mehrheiten.</w:t>
      </w:r>
    </w:p>
    <w:p>
      <w:r>
        <w:br w:type="page"/>
      </w:r>
    </w:p>
    <w:bookmarkEnd w:id="37"/>
    <w:bookmarkEnd w:id="38"/>
    <w:bookmarkStart w:id="42" w:name="lehrerband-differenzierung"/>
    <w:p>
      <w:pPr>
        <w:pStyle w:val="Heading1"/>
      </w:pPr>
      <w:r>
        <w:t xml:space="preserve">Lehrerband – Differenzierung</w:t>
      </w:r>
    </w:p>
    <w:bookmarkStart w:id="39" w:name="unterstützung"/>
    <w:p>
      <w:pPr>
        <w:pStyle w:val="Heading2"/>
      </w:pPr>
      <w:r>
        <w:t xml:space="preserve">Unterstützung</w:t>
      </w:r>
    </w:p>
    <w:p>
      <w:pPr>
        <w:numPr>
          <w:ilvl w:val="0"/>
          <w:numId w:val="1010"/>
        </w:numPr>
        <w:pStyle w:val="Compact"/>
      </w:pPr>
      <w:r>
        <w:t xml:space="preserve">konkrete Fallkarten,</w:t>
      </w:r>
    </w:p>
    <w:p>
      <w:pPr>
        <w:numPr>
          <w:ilvl w:val="0"/>
          <w:numId w:val="1010"/>
        </w:numPr>
        <w:pStyle w:val="Compact"/>
      </w:pPr>
      <w:r>
        <w:t xml:space="preserve">Leitfragen,</w:t>
      </w:r>
    </w:p>
    <w:p>
      <w:pPr>
        <w:numPr>
          <w:ilvl w:val="0"/>
          <w:numId w:val="1010"/>
        </w:numPr>
        <w:pStyle w:val="Compact"/>
      </w:pPr>
      <w:r>
        <w:t xml:space="preserve">Pro-und-Contra-Tabelle,</w:t>
      </w:r>
    </w:p>
    <w:p>
      <w:pPr>
        <w:numPr>
          <w:ilvl w:val="0"/>
          <w:numId w:val="1010"/>
        </w:numPr>
        <w:pStyle w:val="Compact"/>
      </w:pPr>
      <w:r>
        <w:t xml:space="preserve">Begriffe vorgeben.</w:t>
      </w:r>
    </w:p>
    <w:bookmarkEnd w:id="39"/>
    <w:bookmarkStart w:id="40" w:name="erweiterung"/>
    <w:p>
      <w:pPr>
        <w:pStyle w:val="Heading2"/>
      </w:pPr>
      <w:r>
        <w:t xml:space="preserve">Erweiterung</w:t>
      </w:r>
    </w:p>
    <w:p>
      <w:pPr>
        <w:numPr>
          <w:ilvl w:val="0"/>
          <w:numId w:val="1011"/>
        </w:numPr>
        <w:pStyle w:val="Compact"/>
      </w:pPr>
      <w:r>
        <w:t xml:space="preserve">mehrere Systeme vergleichen,</w:t>
      </w:r>
    </w:p>
    <w:p>
      <w:pPr>
        <w:numPr>
          <w:ilvl w:val="0"/>
          <w:numId w:val="1011"/>
        </w:numPr>
        <w:pStyle w:val="Compact"/>
      </w:pPr>
      <w:r>
        <w:t xml:space="preserve">technische und gesellschaftliche Risiken trennen,</w:t>
      </w:r>
    </w:p>
    <w:p>
      <w:pPr>
        <w:numPr>
          <w:ilvl w:val="0"/>
          <w:numId w:val="1011"/>
        </w:numPr>
        <w:pStyle w:val="Compact"/>
      </w:pPr>
      <w:r>
        <w:t xml:space="preserve">Maßnahmen zur Risikominimierung entwickeln,</w:t>
      </w:r>
    </w:p>
    <w:p>
      <w:pPr>
        <w:numPr>
          <w:ilvl w:val="0"/>
          <w:numId w:val="1011"/>
        </w:numPr>
        <w:pStyle w:val="Compact"/>
      </w:pPr>
      <w:r>
        <w:t xml:space="preserve">aktuelle reale Beispiele recherchieren.</w:t>
      </w:r>
    </w:p>
    <w:bookmarkEnd w:id="40"/>
    <w:bookmarkStart w:id="41" w:name="leistungsstarke-gruppen"/>
    <w:p>
      <w:pPr>
        <w:pStyle w:val="Heading2"/>
      </w:pPr>
      <w:r>
        <w:t xml:space="preserve">Leistungsstarke Gruppen</w:t>
      </w:r>
    </w:p>
    <w:p>
      <w:pPr>
        <w:pStyle w:val="FirstParagraph"/>
      </w:pPr>
      <w:r>
        <w:t xml:space="preserve">Zusatzfrage:</w:t>
      </w:r>
    </w:p>
    <w:p>
      <w:pPr>
        <w:pStyle w:val="BlockText"/>
      </w:pPr>
      <w:r>
        <w:t xml:space="preserve">Unter welchen Bedingungen sollte ein automatisiertes System Entscheidungen vollständig ohne menschliche Freigabe treffen dürfen?</w:t>
      </w:r>
    </w:p>
    <w:p>
      <w:r>
        <w:br w:type="page"/>
      </w:r>
    </w:p>
    <w:bookmarkEnd w:id="41"/>
    <w:bookmarkEnd w:id="42"/>
    <w:bookmarkStart w:id="45" w:name="lehrerband-bewertung"/>
    <w:p>
      <w:pPr>
        <w:pStyle w:val="Heading1"/>
      </w:pPr>
      <w:r>
        <w:t xml:space="preserve">Lehrerband – Bewertung</w:t>
      </w:r>
    </w:p>
    <w:bookmarkStart w:id="43" w:name="bewertungsbereiche"/>
    <w:p>
      <w:pPr>
        <w:pStyle w:val="Heading2"/>
      </w:pPr>
      <w:r>
        <w:t xml:space="preserve">Bewertungsbereiche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Bereich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teilweise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noch unsicher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automatisierten Prozess erklären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Chancen benennen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Risiken erkennen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Datenschutz berücksichtigen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Datensicherheit berücksichtigen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gesellschaftliche Auswirkungen beurteilen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eigenes Urteil begründen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projekt"/>
    <w:p>
      <w:pPr>
        <w:pStyle w:val="Heading2"/>
      </w:pPr>
      <w:r>
        <w:t xml:space="preserve">Projekt</w:t>
      </w:r>
    </w:p>
    <w:p>
      <w:pPr>
        <w:pStyle w:val="FirstParagraph"/>
      </w:pPr>
      <w:r>
        <w:t xml:space="preserve">Nicht die technische Komplexität bewerten.</w:t>
      </w:r>
    </w:p>
    <w:p>
      <w:pPr>
        <w:pStyle w:val="BodyText"/>
      </w:pPr>
      <w:r>
        <w:t xml:space="preserve">Im Mittelpunkt stehen:</w:t>
      </w:r>
    </w:p>
    <w:p>
      <w:pPr>
        <w:numPr>
          <w:ilvl w:val="0"/>
          <w:numId w:val="1012"/>
        </w:numPr>
        <w:pStyle w:val="Compact"/>
      </w:pPr>
      <w:r>
        <w:t xml:space="preserve">Analyse,</w:t>
      </w:r>
    </w:p>
    <w:p>
      <w:pPr>
        <w:numPr>
          <w:ilvl w:val="0"/>
          <w:numId w:val="1012"/>
        </w:numPr>
        <w:pStyle w:val="Compact"/>
      </w:pPr>
      <w:r>
        <w:t xml:space="preserve">Argumentation,</w:t>
      </w:r>
    </w:p>
    <w:p>
      <w:pPr>
        <w:numPr>
          <w:ilvl w:val="0"/>
          <w:numId w:val="1012"/>
        </w:numPr>
        <w:pStyle w:val="Compact"/>
      </w:pPr>
      <w:r>
        <w:t xml:space="preserve">Quellen,</w:t>
      </w:r>
    </w:p>
    <w:p>
      <w:pPr>
        <w:numPr>
          <w:ilvl w:val="0"/>
          <w:numId w:val="1012"/>
        </w:numPr>
        <w:pStyle w:val="Compact"/>
      </w:pPr>
      <w:r>
        <w:t xml:space="preserve">Abwägung,</w:t>
      </w:r>
    </w:p>
    <w:p>
      <w:pPr>
        <w:numPr>
          <w:ilvl w:val="0"/>
          <w:numId w:val="1012"/>
        </w:numPr>
        <w:pStyle w:val="Compact"/>
      </w:pPr>
      <w:r>
        <w:t xml:space="preserve">Begründung.</w:t>
      </w:r>
    </w:p>
    <w:bookmarkEnd w:id="44"/>
    <w:bookmarkEnd w:id="45"/>
    <w:sectPr w:rsidR="00FC693F" w:rsidRPr="0006063C" w:rsidSect="0003461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134" w:footer="720" w:gutter="0" w:header="720" w:left="1304" w:right="1134" w:top="1247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Unterrichtsmaterial Oberschule Sachsen · Version v0.4.0-534-gc09a6c6-dirty · Build 20.08.2026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Unterrichtsmaterial Oberschule Sachsen · Informatik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de-DE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rial" w:hAnsi="Arial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rial" w:asciiTheme="majorHAnsi" w:cstheme="majorBidi" w:eastAsiaTheme="majorEastAsia" w:hAnsi="Arial" w:hAnsiTheme="majorHAnsi"/>
      <w:b/>
      <w:bCs/>
      <w:color w:themeColor="accent1" w:themeShade="BF" w:val="365F91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rial" w:asciiTheme="majorHAnsi" w:cstheme="majorBidi" w:eastAsiaTheme="majorEastAsia" w:hAnsi="Arial" w:hAnsiTheme="majorHAnsi"/>
      <w:b/>
      <w:bCs/>
      <w:color w:themeColor="accent1" w:val="4F81B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color w:themeColor="text2" w:themeShade="BF" w:val="17365D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Arial" w:asciiTheme="majorHAnsi" w:cstheme="majorBidi" w:eastAsiaTheme="majorEastAsia" w:hAnsi="Arial" w:hAnsiTheme="majorHAnsi"/>
      <w:i/>
      <w:iCs/>
      <w:color w:themeColor="accent1" w:val="4F81BD"/>
      <w:spacing w:val="15"/>
      <w:sz w:val="32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pageBreakBefore/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Wahlbereich Informatik und Automatisierung</dc:title>
  <dc:creator/>
  <dc:language>de-DE</dc:language>
  <cp:keywords/>
  <dcterms:created xsi:type="dcterms:W3CDTF">2026-08-20T06:30:39Z</dcterms:created>
  <dcterms:modified xsi:type="dcterms:W3CDTF">2026-08-20T06:30:39Z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Informatik · Klasse 9 · Lehrerband</vt:lpwstr>
  </property>
  <property fmtid="{D5CDD505-2E9C-101B-9397-08002B2CF9AE}" pid="3" name="toc-title">
    <vt:lpwstr>Inhaltsverzeichnis</vt:lpwstr>
  </property>
</Properties>
</file>