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Wahlbereich Mobile Endgeraete</w:t>
      </w:r>
    </w:p>
    <w:p>
      <w:pPr>
        <w:pStyle w:val="Subtitle"/>
      </w:pPr>
      <w:r>
        <w:t xml:space="preserve">Informatik · Klasse 9 · Loesungen</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29" w:name="Xf93e124bd275e07ffd5d91bda56c3e5a8d0ea69"/>
    <w:p>
      <w:pPr>
        <w:pStyle w:val="Heading1"/>
      </w:pPr>
      <w:r>
        <w:t xml:space="preserve">Mobile Endgeräte – Lösungen und Erwartungshorizont</w:t>
      </w:r>
    </w:p>
    <w:bookmarkStart w:id="20" w:name="welche-daten-entstehen"/>
    <w:p>
      <w:pPr>
        <w:pStyle w:val="Heading2"/>
      </w:pPr>
      <w:r>
        <w:t xml:space="preserve">1. Welche Daten entstehen?</w:t>
      </w:r>
    </w:p>
    <w:p>
      <w:pPr>
        <w:pStyle w:val="FirstParagraph"/>
      </w:pPr>
      <w:r>
        <w:t xml:space="preserve">Plausible Beispiele sind Fotos, Geräte-/App-Informationen, Nutzungszeitpunkte, Kontodaten oder Standortdaten – abhängig von Funktion und erteilten Berechtigungen. Entscheidend ist nicht, möglichst viele Datenarten zu nennen, sondern deren Bezug zur konkreten Funktion zu begründen.</w:t>
      </w:r>
    </w:p>
    <w:bookmarkEnd w:id="20"/>
    <w:bookmarkStart w:id="21" w:name="berechtigungen"/>
    <w:p>
      <w:pPr>
        <w:pStyle w:val="Heading2"/>
      </w:pPr>
      <w:r>
        <w:t xml:space="preserve">2. Berechtigungen</w:t>
      </w:r>
    </w:p>
    <w:p>
      <w:pPr>
        <w:pStyle w:val="FirstParagraph"/>
      </w:pPr>
      <w:r>
        <w:t xml:space="preserve">Für eine reine Taschenlampenfunktion sind Kontakte, Standort und Mikrofon normalerweise nicht erforderlich. Zugriff auf Kamera/Blitz kann je nach Betriebssystem technisch mit der Leuchtenfunktion zusammenhängen. Zusatzfunktionen können weitere Zugriffe plausibel machen; sie müssen benannt werden.</w:t>
      </w:r>
    </w:p>
    <w:bookmarkEnd w:id="21"/>
    <w:bookmarkStart w:id="22" w:name="datenschutz-und-datensicherheit"/>
    <w:p>
      <w:pPr>
        <w:pStyle w:val="Heading2"/>
      </w:pPr>
      <w:r>
        <w:t xml:space="preserve">3. Datenschutz und Datensicherheit</w:t>
      </w:r>
    </w:p>
    <w:p>
      <w:pPr>
        <w:pStyle w:val="FirstParagraph"/>
      </w:pPr>
      <w:r>
        <w:t xml:space="preserve">Beispiele mit Schwerpunkt Datenschutz: nur nötige personenbezogene Angaben, Berechtigungen begrenzen. Beispiele mit Schwerpunkt Datensicherheit: Displaysperre, Updates, Sicherungen, starke einzigartige Passwörter. Maßnahmen können beiden Zielen dienen; begründete Mehrfachzuordnungen sind anzuerkennen.</w:t>
      </w:r>
    </w:p>
    <w:bookmarkEnd w:id="22"/>
    <w:bookmarkStart w:id="23" w:name="cookies-und-werbung"/>
    <w:p>
      <w:pPr>
        <w:pStyle w:val="Heading2"/>
      </w:pPr>
      <w:r>
        <w:t xml:space="preserve">4. Cookies und Werbung</w:t>
      </w:r>
    </w:p>
    <w:p>
      <w:pPr>
        <w:pStyle w:val="FirstParagraph"/>
      </w:pPr>
      <w:r>
        <w:t xml:space="preserve">Technisch notwendige Speicherung kann für Sitzungen oder Grundeinstellungen erforderlich sein. Statistik und personalisierte Werbung sind andere Zwecke und sollten entsprechend getrennt bewertet werden. „Alle Cookies sind gefährlich“ ist fachlich zu pauschal, weil Zweck, Inhalt und Nutzung verschieden sind.</w:t>
      </w:r>
    </w:p>
    <w:bookmarkEnd w:id="23"/>
    <w:bookmarkStart w:id="24" w:name="rechte-anderer"/>
    <w:p>
      <w:pPr>
        <w:pStyle w:val="Heading2"/>
      </w:pPr>
      <w:r>
        <w:t xml:space="preserve">5. Rechte anderer</w:t>
      </w:r>
    </w:p>
    <w:p>
      <w:pPr>
        <w:pStyle w:val="FirstParagraph"/>
      </w:pPr>
      <w:r>
        <w:t xml:space="preserve">Beim öffentlichen Teilen eines Gruppenfotos sind die abgebildeten Personen und ihre Persönlichkeitsrechte zu berücksichtigen. Außerdem kann die Person, die das Foto erstellt hat, Rechte am Bild besitzen. Zusätzliche fremde Werke – etwa Musik, Bilder oder Kunstwerke – können weitere Rechte berühren. Erwartet wird keine juristische Detailprüfung, sondern das Erkennen mehrerer betroffener Rechte und eine verantwortliche Handlungsentscheidung.</w:t>
      </w:r>
    </w:p>
    <w:bookmarkEnd w:id="24"/>
    <w:bookmarkStart w:id="25" w:name="netiquette"/>
    <w:p>
      <w:pPr>
        <w:pStyle w:val="Heading2"/>
      </w:pPr>
      <w:r>
        <w:t xml:space="preserve">6. Netiquette</w:t>
      </w:r>
    </w:p>
    <w:p>
      <w:pPr>
        <w:pStyle w:val="FirstParagraph"/>
      </w:pPr>
      <w:r>
        <w:t xml:space="preserve">Mögliche Regeln: respektvolle Sprache; keine Bloßstellung; private Inhalte nicht ohne Zustimmung weiterleiten; Behauptungen vor dem Weiterleiten prüfen; Konflikte nicht durch Gruppenangriffe eskalieren; angemessene Zeiten und Nachrichtenmengen beachten. Jede Regel muss mit dem Schutz von Personen oder einer funktionierenden Kommunikation begründet werden.</w:t>
      </w:r>
    </w:p>
    <w:bookmarkEnd w:id="25"/>
    <w:bookmarkStart w:id="26" w:name="fallanalyse"/>
    <w:p>
      <w:pPr>
        <w:pStyle w:val="Heading2"/>
      </w:pPr>
      <w:r>
        <w:t xml:space="preserve">7. Fallanalyse</w:t>
      </w:r>
    </w:p>
    <w:p>
      <w:pPr>
        <w:pStyle w:val="FirstParagraph"/>
      </w:pPr>
      <w:r>
        <w:t xml:space="preserve">Eine gute Analyse trennt benötigte Funktionen von optionalen Datenzugriffen, nennt konkrete Risiken, schlägt passende Einstellungen vor und berücksichtigt Rechte anderer. Unterschiedliche Entscheidungen sind möglich, sofern sie zum beschriebenen Zweck passen.</w:t>
      </w:r>
    </w:p>
    <w:bookmarkEnd w:id="26"/>
    <w:bookmarkStart w:id="27" w:name="produkt-mobile-check"/>
    <w:p>
      <w:pPr>
        <w:pStyle w:val="Heading2"/>
      </w:pPr>
      <w:r>
        <w:t xml:space="preserve">Produkt: Mobile-Check</w:t>
      </w:r>
    </w:p>
    <w:p>
      <w:pPr>
        <w:pStyle w:val="FirstParagraph"/>
      </w:pPr>
      <w:r>
        <w:t xml:space="preserve">Vollständig, wenn die Rubriken App-Quelle/Aktualität, Berechtigungen, Datenschutz, Datensicherheit, Cookies/Werbung, Sperrcode/Sicherung, Rechte anderer und Netiquette enthalten sind.</w:t>
      </w:r>
    </w:p>
    <w:bookmarkEnd w:id="27"/>
    <w:bookmarkStart w:id="28" w:name="reflexion"/>
    <w:p>
      <w:pPr>
        <w:pStyle w:val="Heading2"/>
      </w:pPr>
      <w:r>
        <w:t xml:space="preserve">Reflexion</w:t>
      </w:r>
    </w:p>
    <w:p>
      <w:pPr>
        <w:pStyle w:val="FirstParagraph"/>
      </w:pPr>
      <w:r>
        <w:t xml:space="preserve">Eine mögliche Begründung: Datenschutz betrifft nicht nur „Geheimnisse“. Aus vielen scheinbar unkritischen Angaben können Profile, Gewohnheiten, Aufenthaltsorte oder Beziehungen abgeleitet werden. Deshalb sollte Datenzugriff zum Zweck passen und begrenzt bleiben.</w:t>
      </w:r>
    </w:p>
    <w:bookmarkEnd w:id="28"/>
    <w:bookmarkEnd w:id="29"/>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v0.4.0-534-gc09a6c6-dirty · Build 20.08.2026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Wahlbereich Mobile Endgeraete</dc:title>
  <dc:creator/>
  <dc:language>de-DE</dc:language>
  <cp:keywords/>
  <dcterms:created xsi:type="dcterms:W3CDTF">2026-08-20T06:32:18Z</dcterms:created>
  <dcterms:modified xsi:type="dcterms:W3CDTF">2026-08-20T06:32:18Z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9 · Loesungen</vt:lpwstr>
  </property>
  <property fmtid="{D5CDD505-2E9C-101B-9397-08002B2CF9AE}" pid="3" name="toc-title">
    <vt:lpwstr>Inhaltsverzeichnis</vt:lpwstr>
  </property>
</Properties>
</file>