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10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ehrerband-mobiles-bezahlen"/>
    <w:p>
      <w:pPr>
        <w:pStyle w:val="Heading1"/>
      </w:pPr>
      <w:r>
        <w:t xml:space="preserve">Lehrerband – Mobiles Bezahlen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2–4 Unterrichtsstunden.</w:t>
      </w:r>
    </w:p>
    <w:bookmarkEnd w:id="20"/>
    <w:bookmarkStart w:id="21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modellieren Beteiligte eines mobilen Bezahlvorgangs, unterscheiden Authentisierung und Autorisierung, erklären ausgewählte Schutzmechanismen und bewerten Chancen und Risiken.</w:t>
      </w:r>
    </w:p>
    <w:bookmarkEnd w:id="21"/>
    <w:bookmarkStart w:id="22" w:name="unterrichtsweg"/>
    <w:p>
      <w:pPr>
        <w:pStyle w:val="Heading2"/>
      </w:pPr>
      <w:r>
        <w:t xml:space="preserve">Unterrichtsweg</w:t>
      </w:r>
    </w:p>
    <w:p>
      <w:pPr>
        <w:numPr>
          <w:ilvl w:val="0"/>
          <w:numId w:val="1001"/>
        </w:numPr>
        <w:pStyle w:val="Compact"/>
      </w:pPr>
      <w:r>
        <w:t xml:space="preserve">Einstieg über den Verlust eines Smartphones.</w:t>
      </w:r>
    </w:p>
    <w:p>
      <w:pPr>
        <w:numPr>
          <w:ilvl w:val="0"/>
          <w:numId w:val="1001"/>
        </w:numPr>
        <w:pStyle w:val="Compact"/>
      </w:pPr>
      <w:r>
        <w:t xml:space="preserve">Beteiligte und Datenflüsse modellieren.</w:t>
      </w:r>
    </w:p>
    <w:p>
      <w:pPr>
        <w:numPr>
          <w:ilvl w:val="0"/>
          <w:numId w:val="1001"/>
        </w:numPr>
        <w:pStyle w:val="Compact"/>
      </w:pPr>
      <w:r>
        <w:t xml:space="preserve">Authentisierung und Autorisierung unterscheiden.</w:t>
      </w:r>
    </w:p>
    <w:p>
      <w:pPr>
        <w:numPr>
          <w:ilvl w:val="0"/>
          <w:numId w:val="1001"/>
        </w:numPr>
        <w:pStyle w:val="Compact"/>
      </w:pPr>
      <w:r>
        <w:t xml:space="preserve">Schutzmechanismen jeweils einem Risiko zuordnen.</w:t>
      </w:r>
    </w:p>
    <w:p>
      <w:pPr>
        <w:numPr>
          <w:ilvl w:val="0"/>
          <w:numId w:val="1001"/>
        </w:numPr>
        <w:pStyle w:val="Compact"/>
      </w:pPr>
      <w:r>
        <w:t xml:space="preserve">Fallanalyse mit Maßnahmenplan.</w:t>
      </w:r>
    </w:p>
    <w:p>
      <w:pPr>
        <w:numPr>
          <w:ilvl w:val="0"/>
          <w:numId w:val="1001"/>
        </w:numPr>
        <w:pStyle w:val="Compact"/>
      </w:pPr>
      <w:r>
        <w:t xml:space="preserve">Urteil zur Leitfrage mit Bedingungen formulieren.</w:t>
      </w:r>
    </w:p>
    <w:bookmarkEnd w:id="22"/>
    <w:bookmarkStart w:id="23" w:name="lehrerhinweise"/>
    <w:p>
      <w:pPr>
        <w:pStyle w:val="Heading2"/>
      </w:pPr>
      <w:r>
        <w:t xml:space="preserve">Lehrerhinweise</w:t>
      </w:r>
    </w:p>
    <w:p>
      <w:pPr>
        <w:pStyle w:val="FirstParagraph"/>
      </w:pPr>
      <w:r>
        <w:t xml:space="preserve">Keine konkrete Zahlungsplattform als alleinigen Standard verwenden. Produktnamen können Beispiele sein, die Fachbegriffe müssen übertragbar bleiben.</w:t>
      </w:r>
    </w:p>
    <w:p>
      <w:pPr>
        <w:pStyle w:val="BodyText"/>
      </w:pPr>
      <w:r>
        <w:t xml:space="preserve">Bei Sicherheitsmechanismen nicht den Eindruck absoluter Sicherheit erzeugen. Entscheidend ist das Zusammenspiel aus Geräteschutz, Kontoschutz, Transaktionsfreigabe, Sperrmöglichkeiten und Verhalten.</w:t>
      </w:r>
    </w:p>
    <w:bookmarkEnd w:id="23"/>
    <w:bookmarkStart w:id="24" w:name="erwartete-kernaussagen"/>
    <w:p>
      <w:pPr>
        <w:pStyle w:val="Heading2"/>
      </w:pPr>
      <w:r>
        <w:t xml:space="preserve">Erwartete Kernaussagen</w:t>
      </w:r>
    </w:p>
    <w:p>
      <w:pPr>
        <w:numPr>
          <w:ilvl w:val="0"/>
          <w:numId w:val="1002"/>
        </w:numPr>
        <w:pStyle w:val="Compact"/>
      </w:pPr>
      <w:r>
        <w:t xml:space="preserve">Authentisierung bestätigt eine Identität bzw. Berechtigung zum Zugriff.</w:t>
      </w:r>
    </w:p>
    <w:p>
      <w:pPr>
        <w:numPr>
          <w:ilvl w:val="0"/>
          <w:numId w:val="1002"/>
        </w:numPr>
        <w:pStyle w:val="Compact"/>
      </w:pPr>
      <w:r>
        <w:t xml:space="preserve">Autorisierung entscheidet, ob eine konkrete Aktion erlaubt wird.</w:t>
      </w:r>
    </w:p>
    <w:p>
      <w:pPr>
        <w:numPr>
          <w:ilvl w:val="0"/>
          <w:numId w:val="1002"/>
        </w:numPr>
        <w:pStyle w:val="Compact"/>
      </w:pPr>
      <w:r>
        <w:t xml:space="preserve">Ein verlorenes Gerät bedeutet nicht automatisch Zugriff auf das Zahlungsmittel, kann aber ein relevantes Risiko darstellen.</w:t>
      </w:r>
    </w:p>
    <w:p>
      <w:pPr>
        <w:numPr>
          <w:ilvl w:val="0"/>
          <w:numId w:val="1002"/>
        </w:numPr>
        <w:pStyle w:val="Compact"/>
      </w:pPr>
      <w:r>
        <w:t xml:space="preserve">Komfort, Datenschutz, Abhängigkeit von Technik und Kontrollmöglichkeiten sind gegeneinander abzuwägen.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2026-08-19T11:42:43Z</dcterms:created>
  <dcterms:modified xsi:type="dcterms:W3CDTF">2026-08-19T11:42:43Z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Lehrerband</vt:lpwstr>
  </property>
  <property fmtid="{D5CDD505-2E9C-101B-9397-08002B2CF9AE}" pid="3" name="toc-title">
    <vt:lpwstr>Inhaltsverzeichnis</vt:lpwstr>
  </property>
</Properties>
</file>