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risikoanalyse-mobiles-bezahlen"/>
    <w:p>
      <w:pPr>
        <w:pStyle w:val="Heading1"/>
      </w:pPr>
      <w:r>
        <w:t xml:space="preserve">M01 – Risikoanalyse Mobiles Bezahlen</w:t>
      </w:r>
    </w:p>
    <w:bookmarkStart w:id="20" w:name="szenario"/>
    <w:p>
      <w:pPr>
        <w:pStyle w:val="Heading2"/>
      </w:pPr>
      <w:r>
        <w:t xml:space="preserve">Szenario</w:t>
      </w:r>
    </w:p>
    <w:p>
      <w:pPr>
        <w:pStyle w:val="FirstParagraph"/>
      </w:pPr>
      <w:r>
        <w:t xml:space="preserve">Ein Smartphone mit eingerichtetem mobilem Bezahldienst wird auf dem Heimweg verloren.</w:t>
      </w:r>
    </w:p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Schutzmaßnahme könnte bereits wirken?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sofort getan werden?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Restrisiko bleibt?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 Person findet das Gerät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Gerätesperre wird überwunden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Zugangsdaten sind kompromittiert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Zahlung wird bemerkt, aber zu spät reagiert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Welche Maßnahmen wirken</w:t>
      </w:r>
      <w:r>
        <w:t xml:space="preserve"> </w:t>
      </w:r>
      <w:r>
        <w:rPr>
          <w:bCs/>
          <w:b/>
        </w:rPr>
        <w:t xml:space="preserve">vor</w:t>
      </w:r>
      <w:r>
        <w:t xml:space="preserve"> </w:t>
      </w:r>
      <w:r>
        <w:t xml:space="preserve">einem Verlust, welche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einem Verlust?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2026-08-19T11:42:50Z</dcterms:created>
  <dcterms:modified xsi:type="dcterms:W3CDTF">2026-08-19T11:42:50Z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