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mobile-endgeräte-lehrerhinweise"/>
    <w:p>
      <w:pPr>
        <w:pStyle w:val="Heading1"/>
      </w:pPr>
      <w:r>
        <w:t xml:space="preserve">Mobile Endgeräte – Lehrerhinweise</w:t>
      </w:r>
    </w:p>
    <w:bookmarkStart w:id="20" w:name="ziel-und-schwerpunkt"/>
    <w:p>
      <w:pPr>
        <w:pStyle w:val="Heading2"/>
      </w:pPr>
      <w:r>
        <w:t xml:space="preserve">Ziel und Schwerpunkt</w:t>
      </w:r>
    </w:p>
    <w:p>
      <w:pPr>
        <w:pStyle w:val="FirstParagraph"/>
      </w:pPr>
      <w:r>
        <w:t xml:space="preserve">Der Wahlbereich untersucht Möglichkeiten und Grenzen mobiler Endgeräte unter den Gesichtspunkten Datenschutz, Datensicherheit, Berechtigungen, Cookies/Werbung, Persönlichkeits- und Urheberrechte sowie Netiquette. Technische Details dienen dem Verständnis dieser Bewertungsfragen und sind kein Selbstzweck.</w:t>
      </w:r>
    </w:p>
    <w:bookmarkEnd w:id="20"/>
    <w:bookmarkStart w:id="21" w:name="didaktischer-einstieg"/>
    <w:p>
      <w:pPr>
        <w:pStyle w:val="Heading2"/>
      </w:pPr>
      <w:r>
        <w:t xml:space="preserve">Didaktischer Einstieg</w:t>
      </w:r>
    </w:p>
    <w:p>
      <w:pPr>
        <w:pStyle w:val="FirstParagraph"/>
      </w:pPr>
      <w:r>
        <w:t xml:space="preserve">Mit einem</w:t>
      </w:r>
      <w:r>
        <w:t xml:space="preserve"> </w:t>
      </w:r>
      <w:r>
        <w:rPr>
          <w:bCs/>
          <w:b/>
        </w:rPr>
        <w:t xml:space="preserve">fiktiven</w:t>
      </w:r>
      <w:r>
        <w:t xml:space="preserve"> </w:t>
      </w:r>
      <w:r>
        <w:t xml:space="preserve">App-Fall starten: Eine kostenlose App verlangt mehrere Berechtigungen und zeigt personalisierte Werbung. Keine Lernenden müssen ihr eigenes Smartphone, Konto, Nutzungsverhalten oder persönliche Einstellungen offenlegen.</w:t>
      </w:r>
    </w:p>
    <w:bookmarkEnd w:id="21"/>
    <w:bookmarkStart w:id="22" w:name="begriffliche-klärung"/>
    <w:p>
      <w:pPr>
        <w:pStyle w:val="Heading2"/>
      </w:pPr>
      <w:r>
        <w:t xml:space="preserve">Begriffliche Klärung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Berechtigung:</w:t>
      </w:r>
      <w:r>
        <w:t xml:space="preserve"> </w:t>
      </w:r>
      <w:r>
        <w:t xml:space="preserve">Erlaubnis für eine App, auf bestimmte Gerätefunktionen oder Daten zuzugreifen.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Schutz von Menschen bei der Verarbeitung personenbezogener Daten; Fragen nach Zweck, Erforderlichkeit und Umgang mit Daten stehen im Vordergrund.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Datensicherheit:</w:t>
      </w:r>
      <w:r>
        <w:t xml:space="preserve"> </w:t>
      </w:r>
      <w:r>
        <w:t xml:space="preserve">technische und organisatorische Maßnahmen gegen Verlust, Veränderung und unbefugten Zugriff.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Cookies/ähnliche Speichermechanismen:</w:t>
      </w:r>
      <w:r>
        <w:t xml:space="preserve"> </w:t>
      </w:r>
      <w:r>
        <w:t xml:space="preserve">können unterschiedlichen Zwecken dienen, z. B. technisch notwendiger Sitzung, Einstellungen, Statistik oder Werbung. Keine pauschale Gleichsetzung „Cookie = gefährlich“.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Personalisierte Werbung:</w:t>
      </w:r>
      <w:r>
        <w:t xml:space="preserve"> </w:t>
      </w:r>
      <w:r>
        <w:t xml:space="preserve">Werbung wird anhand verfügbarer Merkmale oder Nutzungsinformationen ausgewählt; Umfang und Verfahren unterscheiden sich je nach Dienst.</w:t>
      </w:r>
    </w:p>
    <w:bookmarkEnd w:id="22"/>
    <w:bookmarkStart w:id="23" w:name="app-berechtigungen"/>
    <w:p>
      <w:pPr>
        <w:pStyle w:val="Heading2"/>
      </w:pPr>
      <w:r>
        <w:t xml:space="preserve">App-Berechtigungen</w:t>
      </w:r>
    </w:p>
    <w:p>
      <w:pPr>
        <w:pStyle w:val="FirstParagraph"/>
      </w:pPr>
      <w:r>
        <w:t xml:space="preserve">Nicht isoliert fragen „Darf die App das?“, sondern:</w:t>
      </w:r>
      <w:r>
        <w:t xml:space="preserve"> </w:t>
      </w:r>
      <w:r>
        <w:rPr>
          <w:bCs/>
          <w:b/>
        </w:rPr>
        <w:t xml:space="preserve">Welche konkrete Funktion soll damit ermöglicht werden?</w:t>
      </w:r>
      <w:r>
        <w:t xml:space="preserve"> </w:t>
      </w:r>
      <w:r>
        <w:t xml:space="preserve">Eine Kameraberechtigung kann für einen QR-Scanner plausibel sein, für einen reinen Taschenrechner nicht. Zusatzfunktionen können zusätzliche Berechtigungen erklären.</w:t>
      </w:r>
    </w:p>
    <w:bookmarkEnd w:id="23"/>
    <w:bookmarkStart w:id="24" w:name="persönlichkeits--und-urheberrechte"/>
    <w:p>
      <w:pPr>
        <w:pStyle w:val="Heading2"/>
      </w:pPr>
      <w:r>
        <w:t xml:space="preserve">Persönlichkeits- und Urheberrechte</w:t>
      </w:r>
    </w:p>
    <w:p>
      <w:pPr>
        <w:pStyle w:val="FirstParagraph"/>
      </w:pPr>
      <w:r>
        <w:t xml:space="preserve">Bei Fotos konsequent mehrere Ebenen unterscheiden:</w:t>
      </w:r>
      <w:r>
        <w:t xml:space="preserve"> </w:t>
      </w:r>
      <w:r>
        <w:t xml:space="preserve">1. abgebildete Personen und deren Persönlichkeitsrechte,</w:t>
      </w:r>
      <w:r>
        <w:t xml:space="preserve"> </w:t>
      </w:r>
      <w:r>
        <w:t xml:space="preserve">2. Urheber/in des Fotos bzw. anderer verwendeter Werke,</w:t>
      </w:r>
      <w:r>
        <w:t xml:space="preserve"> </w:t>
      </w:r>
      <w:r>
        <w:t xml:space="preserve">3. Kontext der Veröffentlichung und Reichweite.</w:t>
      </w:r>
    </w:p>
    <w:p>
      <w:pPr>
        <w:pStyle w:val="BodyText"/>
      </w:pPr>
      <w:r>
        <w:t xml:space="preserve">Keine Rechtsberatung simulieren; Ziel ist die Sensibilisierung dafür, dass „Ich habe die Datei auf meinem Handy“ nicht automatisch bedeutet „Ich darf sie beliebig veröffentlichen“.</w:t>
      </w:r>
    </w:p>
    <w:bookmarkEnd w:id="24"/>
    <w:bookmarkStart w:id="25" w:name="netiquette"/>
    <w:p>
      <w:pPr>
        <w:pStyle w:val="Heading2"/>
      </w:pPr>
      <w:r>
        <w:t xml:space="preserve">Netiquette</w:t>
      </w:r>
    </w:p>
    <w:p>
      <w:pPr>
        <w:pStyle w:val="FirstParagraph"/>
      </w:pPr>
      <w:r>
        <w:t xml:space="preserve">Regeln müssen konkret und begründet sein. Besonders sinnvoll sind Regeln zu respektvoller Sprache, Zustimmung vor dem Weiterleiten privater Inhalte, Konfliktverhalten, Schutz vor Bloßstellung und angemessener Nachrichtenmenge.</w:t>
      </w:r>
    </w:p>
    <w:bookmarkEnd w:id="25"/>
    <w:bookmarkStart w:id="26" w:name="erwartungshorizont-zum-mobile-check"/>
    <w:p>
      <w:pPr>
        <w:pStyle w:val="Heading2"/>
      </w:pPr>
      <w:r>
        <w:t xml:space="preserve">Erwartungshorizont zum Mobile-Check</w:t>
      </w:r>
    </w:p>
    <w:p>
      <w:pPr>
        <w:pStyle w:val="FirstParagraph"/>
      </w:pPr>
      <w:r>
        <w:t xml:space="preserve">Ein vollständiges Produkt umfasst mindestens: vertrauenswürdige Bezugsquelle, Aktualität/Updates, passende Berechtigungen, Datensparsamkeit, Sicherheitsmaßnahmen, Cookie-/Werbeeinstellungen, Rechte anderer und Verhalten in Gruppen. Die konkrete Entscheidung darf unterschiedlich ausfallen, wenn sie nachvollziehbar begründet ist.</w:t>
      </w:r>
    </w:p>
    <w:bookmarkEnd w:id="26"/>
    <w:bookmarkStart w:id="27" w:name="differenzierung"/>
    <w:p>
      <w:pPr>
        <w:pStyle w:val="Heading2"/>
      </w:pPr>
      <w:r>
        <w:t xml:space="preserve">Differenzierung</w:t>
      </w:r>
    </w:p>
    <w:p>
      <w:pPr>
        <w:numPr>
          <w:ilvl w:val="0"/>
          <w:numId w:val="1002"/>
        </w:numPr>
        <w:pStyle w:val="Compact"/>
      </w:pPr>
      <w:r>
        <w:t xml:space="preserve">Unterstützung: vorgegebene Fallkarten und Satzstarter „Für die Funktion … ist … nötig/nicht nötig, weil …“.</w:t>
      </w:r>
    </w:p>
    <w:p>
      <w:pPr>
        <w:numPr>
          <w:ilvl w:val="0"/>
          <w:numId w:val="1002"/>
        </w:numPr>
        <w:pStyle w:val="Compact"/>
      </w:pPr>
      <w:r>
        <w:t xml:space="preserve">Erweiterung: zwei unterschiedliche App-Geschäftsmodelle vergleichen oder ein Einstellungsdialog hinsichtlich verständlicher Einwilligung analysieren.</w:t>
      </w:r>
    </w:p>
    <w:bookmarkEnd w:id="27"/>
    <w:bookmarkEnd w:id="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2026-08-18T11:26:32Z</dcterms:created>
  <dcterms:modified xsi:type="dcterms:W3CDTF">2026-08-18T11:26:32Z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