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A4F2" w14:textId="77777777" w:rsidR="00EF3FCB" w:rsidRPr="00EF3FCB" w:rsidRDefault="00EF3FCB" w:rsidP="00EF3FCB">
      <w:pPr>
        <w:shd w:val="clear" w:color="auto" w:fill="FAFCFF"/>
        <w:spacing w:after="225" w:line="360" w:lineRule="atLeast"/>
        <w:jc w:val="both"/>
        <w:rPr>
          <w:rFonts w:ascii="Verdana" w:eastAsia="Times New Roman" w:hAnsi="Verdana" w:cs="Times New Roman"/>
          <w:color w:val="2A2A2A"/>
          <w:sz w:val="16"/>
          <w:szCs w:val="16"/>
        </w:rPr>
      </w:pPr>
      <w:r w:rsidRPr="00EF3FCB">
        <w:rPr>
          <w:rFonts w:ascii="Verdana" w:eastAsia="Times New Roman" w:hAnsi="Verdana" w:cs="Times New Roman"/>
          <w:b/>
          <w:bCs/>
          <w:smallCaps/>
          <w:color w:val="2A2A2A"/>
          <w:sz w:val="16"/>
          <w:szCs w:val="16"/>
          <w:lang w:val="id-ID"/>
        </w:rPr>
        <w:t>Kebijakan Informasi</w:t>
      </w:r>
    </w:p>
    <w:p w14:paraId="4316C90E" w14:textId="77777777" w:rsidR="00EF3FCB" w:rsidRPr="00EF3FCB" w:rsidRDefault="00EF3FCB" w:rsidP="00EF3FCB">
      <w:pPr>
        <w:shd w:val="clear" w:color="auto" w:fill="FAFCFF"/>
        <w:spacing w:after="225" w:line="360" w:lineRule="atLeast"/>
        <w:ind w:firstLine="720"/>
        <w:jc w:val="both"/>
        <w:rPr>
          <w:rFonts w:ascii="Verdana" w:eastAsia="Times New Roman" w:hAnsi="Verdana" w:cs="Times New Roman"/>
          <w:color w:val="2A2A2A"/>
          <w:sz w:val="16"/>
          <w:szCs w:val="16"/>
        </w:rPr>
      </w:pPr>
      <w:r w:rsidRPr="00EF3FCB">
        <w:rPr>
          <w:rFonts w:ascii="Verdana" w:eastAsia="Times New Roman" w:hAnsi="Verdana" w:cs="Times New Roman"/>
          <w:color w:val="2A2A2A"/>
          <w:sz w:val="16"/>
          <w:szCs w:val="16"/>
          <w:lang w:val="id-ID"/>
        </w:rPr>
        <w:t>Untuk mendukung suatu kebijakan publik yang terbuka dimana publik dapat mengakses segala informasi yang berkenaan dengan publik, diperlukan sebuah kebijakan informasi yang baik, dimana kebijakan informasi tersebut dapat seluas-luasnya memberikan akses kepada publik untuk mendapat informasi dan diinformasikan.</w:t>
      </w:r>
    </w:p>
    <w:p w14:paraId="5C2C02B7" w14:textId="77777777" w:rsidR="00EF3FCB" w:rsidRPr="00EF3FCB" w:rsidRDefault="00EF3FCB" w:rsidP="00EF3FCB">
      <w:pPr>
        <w:shd w:val="clear" w:color="auto" w:fill="FAFCFF"/>
        <w:spacing w:after="225" w:line="360" w:lineRule="atLeast"/>
        <w:ind w:firstLine="720"/>
        <w:jc w:val="both"/>
        <w:rPr>
          <w:rFonts w:ascii="Verdana" w:eastAsia="Times New Roman" w:hAnsi="Verdana" w:cs="Times New Roman"/>
          <w:color w:val="2A2A2A"/>
          <w:sz w:val="16"/>
          <w:szCs w:val="16"/>
        </w:rPr>
      </w:pPr>
      <w:r w:rsidRPr="00EF3FCB">
        <w:rPr>
          <w:rFonts w:ascii="Verdana" w:eastAsia="Times New Roman" w:hAnsi="Verdana" w:cs="Times New Roman"/>
          <w:color w:val="2A2A2A"/>
          <w:sz w:val="16"/>
          <w:szCs w:val="16"/>
          <w:lang w:val="id-ID"/>
        </w:rPr>
        <w:t>Menurut Valantin (1996) “information policy” mencakup di dalamnya isu yang berkaitan dengan isi informasi (access, copyright, privacy, public information, etc.), isu komunikasi (telecommunications, broadcasting, spectrum management, national/global infrastructure, etc.), dan keterkaitan antara informasi, teknologi dan berbagai bidang lain (Sains &amp;Teknologi, hubungan industrial, sektor ekonomi tertentu, pendidikan, tenagakerja, kesehatan).</w:t>
      </w:r>
    </w:p>
    <w:p w14:paraId="1F70FE26" w14:textId="77777777" w:rsidR="00EF3FCB" w:rsidRPr="00EF3FCB" w:rsidRDefault="00EF3FCB" w:rsidP="00EF3FCB">
      <w:pPr>
        <w:shd w:val="clear" w:color="auto" w:fill="FAFCFF"/>
        <w:spacing w:after="225" w:line="360" w:lineRule="atLeast"/>
        <w:ind w:firstLine="720"/>
        <w:jc w:val="both"/>
        <w:rPr>
          <w:rFonts w:ascii="Verdana" w:eastAsia="Times New Roman" w:hAnsi="Verdana" w:cs="Times New Roman"/>
          <w:color w:val="2A2A2A"/>
          <w:sz w:val="16"/>
          <w:szCs w:val="16"/>
        </w:rPr>
      </w:pPr>
      <w:r w:rsidRPr="00EF3FCB">
        <w:rPr>
          <w:rFonts w:ascii="Verdana" w:eastAsia="Times New Roman" w:hAnsi="Verdana" w:cs="Times New Roman"/>
          <w:color w:val="2A2A2A"/>
          <w:sz w:val="16"/>
          <w:szCs w:val="16"/>
          <w:lang w:val="id-ID"/>
        </w:rPr>
        <w:t>Dari pendapat Valantin tersebut di atas terlihat bahwa lingkup kebijakan informasi demikian luas, karena mencakup isi, media dan keterkaitan ancara informasi dan bidang-bidang lainnnya. Dalam wilayah isi mencakup hak-kak masyarakat untuk memperoleh informasi, hak cipta, masalah privacy, hak publik untuk memperoleh informasi dan diinformasikan. Masuk dalam cakupa komunikasi mencakup misalnya peralatan telekomunikasi, pengaturan bandwidth, infrastruktur telekomunikasi dan laiinya. Disamping itu, masalah sains dan teknologi, hubungan industrial informasi, pendidikan, ketenagakerjaan, masalah informasi kesehatan dan lain sebagainya.</w:t>
      </w:r>
    </w:p>
    <w:p w14:paraId="4CD2BF36" w14:textId="77777777" w:rsidR="00EF3FCB" w:rsidRPr="00EF3FCB" w:rsidRDefault="00EF3FCB" w:rsidP="00EF3FCB">
      <w:pPr>
        <w:shd w:val="clear" w:color="auto" w:fill="FAFCFF"/>
        <w:spacing w:after="225" w:line="360" w:lineRule="atLeast"/>
        <w:ind w:firstLine="720"/>
        <w:jc w:val="both"/>
        <w:rPr>
          <w:rFonts w:ascii="Verdana" w:eastAsia="Times New Roman" w:hAnsi="Verdana" w:cs="Times New Roman"/>
          <w:color w:val="2A2A2A"/>
          <w:sz w:val="16"/>
          <w:szCs w:val="16"/>
        </w:rPr>
      </w:pPr>
      <w:r w:rsidRPr="00EF3FCB">
        <w:rPr>
          <w:rFonts w:ascii="Verdana" w:eastAsia="Times New Roman" w:hAnsi="Verdana" w:cs="Times New Roman"/>
          <w:color w:val="2A2A2A"/>
          <w:sz w:val="16"/>
          <w:szCs w:val="16"/>
          <w:lang w:val="id-ID"/>
        </w:rPr>
        <w:t>Rowland (1997) sebagaimana dikutip oleh Pendit(2006)menyatakan bahwa setidaknya ada tiga motivasi untuk mempelajari berbagai masalah yang berkaitan dengan kebijakan informasi, yaitu untuk kepentingan (a) ilmiah dan akademik, (b) pekerja profesional di bidang informasi, dan (c) politik. Setidaknya ada tiga tingkatan hirarki kebijakan informasi:</w:t>
      </w:r>
    </w:p>
    <w:p w14:paraId="4BFE586D" w14:textId="77777777" w:rsidR="00EF3FCB" w:rsidRPr="00EF3FCB" w:rsidRDefault="00EF3FCB" w:rsidP="00EF3FCB">
      <w:pPr>
        <w:shd w:val="clear" w:color="auto" w:fill="FAFCFF"/>
        <w:spacing w:after="225" w:line="360" w:lineRule="atLeast"/>
        <w:ind w:left="360" w:hanging="360"/>
        <w:jc w:val="both"/>
        <w:rPr>
          <w:rFonts w:ascii="Verdana" w:eastAsia="Times New Roman" w:hAnsi="Verdana" w:cs="Times New Roman"/>
          <w:color w:val="2A2A2A"/>
          <w:sz w:val="16"/>
          <w:szCs w:val="16"/>
        </w:rPr>
      </w:pPr>
      <w:r w:rsidRPr="00EF3FCB">
        <w:rPr>
          <w:rFonts w:ascii="Symbol" w:eastAsia="Times New Roman" w:hAnsi="Symbol" w:cs="Times New Roman"/>
          <w:color w:val="2A2A2A"/>
          <w:sz w:val="16"/>
          <w:szCs w:val="16"/>
        </w:rPr>
        <w:t></w:t>
      </w:r>
      <w:r w:rsidRPr="00EF3FCB">
        <w:rPr>
          <w:rFonts w:ascii="Symbol" w:eastAsia="Times New Roman" w:hAnsi="Symbol" w:cs="Times New Roman"/>
          <w:color w:val="2A2A2A"/>
          <w:sz w:val="16"/>
          <w:szCs w:val="16"/>
        </w:rPr>
        <w:t></w:t>
      </w:r>
      <w:r w:rsidRPr="00EF3FCB">
        <w:rPr>
          <w:rFonts w:ascii="Verdana" w:eastAsia="Times New Roman" w:hAnsi="Verdana" w:cs="Times New Roman"/>
          <w:color w:val="2A2A2A"/>
          <w:sz w:val="16"/>
          <w:szCs w:val="16"/>
          <w:lang w:val="id-ID"/>
        </w:rPr>
        <w:t>Kebijakan infrastruktural, seperti misalnya kebijakan tentang pajak atau undang-undang pekerja, kebebasan berserikat, dan kebijakan pendidikan yang berlaku secara meluas di sebuah masyarakat, dan berpengaruh langsung atau tidak langsung terhadap kebijakan informasi.</w:t>
      </w:r>
    </w:p>
    <w:p w14:paraId="77933752" w14:textId="77777777" w:rsidR="00EF3FCB" w:rsidRPr="00EF3FCB" w:rsidRDefault="00EF3FCB" w:rsidP="00EF3FCB">
      <w:pPr>
        <w:shd w:val="clear" w:color="auto" w:fill="FAFCFF"/>
        <w:spacing w:after="225" w:line="360" w:lineRule="atLeast"/>
        <w:ind w:left="360" w:hanging="360"/>
        <w:jc w:val="both"/>
        <w:rPr>
          <w:rFonts w:ascii="Verdana" w:eastAsia="Times New Roman" w:hAnsi="Verdana" w:cs="Times New Roman"/>
          <w:color w:val="2A2A2A"/>
          <w:sz w:val="16"/>
          <w:szCs w:val="16"/>
        </w:rPr>
      </w:pPr>
      <w:r w:rsidRPr="00EF3FCB">
        <w:rPr>
          <w:rFonts w:ascii="Symbol" w:eastAsia="Times New Roman" w:hAnsi="Symbol" w:cs="Times New Roman"/>
          <w:color w:val="2A2A2A"/>
          <w:sz w:val="16"/>
          <w:szCs w:val="16"/>
        </w:rPr>
        <w:t></w:t>
      </w:r>
      <w:r w:rsidRPr="00EF3FCB">
        <w:rPr>
          <w:rFonts w:ascii="Symbol" w:eastAsia="Times New Roman" w:hAnsi="Symbol" w:cs="Times New Roman"/>
          <w:color w:val="2A2A2A"/>
          <w:sz w:val="16"/>
          <w:szCs w:val="16"/>
        </w:rPr>
        <w:t></w:t>
      </w:r>
      <w:r w:rsidRPr="00EF3FCB">
        <w:rPr>
          <w:rFonts w:ascii="Verdana" w:eastAsia="Times New Roman" w:hAnsi="Verdana" w:cs="Times New Roman"/>
          <w:color w:val="2A2A2A"/>
          <w:sz w:val="16"/>
          <w:szCs w:val="16"/>
          <w:lang w:val="id-ID"/>
        </w:rPr>
        <w:t>Kebijakan informasi horisontal, yang mengandung aplikasi khusus dan langsung berpengaruh pada sektor informasi, seperti kebijakan yang mengharuskan penyediaan perpustakaan umum, pajak terhadap buku, atau undang-undang proteksi data.</w:t>
      </w:r>
    </w:p>
    <w:p w14:paraId="09ED8C45" w14:textId="4B5BE4C8" w:rsidR="00BD05DD" w:rsidRPr="00EF3FCB" w:rsidRDefault="00EF3FCB" w:rsidP="00EF3FCB">
      <w:pPr>
        <w:shd w:val="clear" w:color="auto" w:fill="FAFCFF"/>
        <w:spacing w:after="225" w:line="360" w:lineRule="atLeast"/>
        <w:ind w:left="360" w:hanging="360"/>
        <w:jc w:val="both"/>
        <w:rPr>
          <w:rFonts w:ascii="Verdana" w:eastAsia="Times New Roman" w:hAnsi="Verdana" w:cs="Times New Roman"/>
          <w:color w:val="2A2A2A"/>
          <w:sz w:val="16"/>
          <w:szCs w:val="16"/>
        </w:rPr>
      </w:pPr>
      <w:r w:rsidRPr="00EF3FCB">
        <w:rPr>
          <w:rFonts w:ascii="Symbol" w:eastAsia="Times New Roman" w:hAnsi="Symbol" w:cs="Times New Roman"/>
          <w:color w:val="2A2A2A"/>
          <w:sz w:val="16"/>
          <w:szCs w:val="16"/>
        </w:rPr>
        <w:t></w:t>
      </w:r>
      <w:r w:rsidRPr="00EF3FCB">
        <w:rPr>
          <w:rFonts w:ascii="Symbol" w:eastAsia="Times New Roman" w:hAnsi="Symbol" w:cs="Times New Roman"/>
          <w:color w:val="2A2A2A"/>
          <w:sz w:val="16"/>
          <w:szCs w:val="16"/>
        </w:rPr>
        <w:t></w:t>
      </w:r>
      <w:r w:rsidRPr="00EF3FCB">
        <w:rPr>
          <w:rFonts w:ascii="Verdana" w:eastAsia="Times New Roman" w:hAnsi="Verdana" w:cs="Times New Roman"/>
          <w:color w:val="2A2A2A"/>
          <w:sz w:val="16"/>
          <w:szCs w:val="16"/>
          <w:lang w:val="id-ID"/>
        </w:rPr>
        <w:t>Kebijakan informasi vertikal, yang berlaku untuk sektor informasi tertentu saja, misalnya pengaturan di kalangan komunitas pengelola informasi geografis.</w:t>
      </w:r>
      <w:bookmarkStart w:id="0" w:name="_GoBack"/>
      <w:bookmarkEnd w:id="0"/>
    </w:p>
    <w:sectPr w:rsidR="00BD05DD" w:rsidRPr="00EF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CB"/>
    <w:rsid w:val="00BD05DD"/>
    <w:rsid w:val="00EF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F713"/>
  <w15:chartTrackingRefBased/>
  <w15:docId w15:val="{C3050494-58B1-48B8-B31D-FB8821C6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3F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audira ilmi</dc:creator>
  <cp:keywords/>
  <dc:description/>
  <cp:lastModifiedBy>audira ilmi</cp:lastModifiedBy>
  <cp:revision>1</cp:revision>
  <dcterms:created xsi:type="dcterms:W3CDTF">2019-11-29T00:44:00Z</dcterms:created>
  <dcterms:modified xsi:type="dcterms:W3CDTF">2019-11-29T00:50:00Z</dcterms:modified>
</cp:coreProperties>
</file>