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  <Override ContentType="application/vnd.openxmlformats-officedocument.wordprocessingml.header+xml" PartName="/word/header1.xml"/>
  <Override ContentType="application/vnd.openxmlformats-officedocument.wordprocessingml.footer+xml" PartName="/word/footer1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before="3000"/>
      </w:pPr>
    </w:p>
    <w:p>
      <w:pPr>
        <w:spacing w:after="200"/>
        <w:jc w:val="center"/>
      </w:pPr>
      <w:r>
        <w:rPr>
          <w:rFonts w:ascii="Arial" w:cs="Arial" w:eastAsia="Arial" w:hAnsi="Arial"/>
          <w:b/>
          <w:bCs/>
          <w:color w:val="1B5E20"/>
          <w:sz w:val="72"/>
          <w:szCs w:val="72"/>
        </w:rPr>
        <w:t xml:space="preserve">GreenAudit</w:t>
      </w:r>
    </w:p>
    <w:p>
      <w:pPr>
        <w:spacing w:after="100"/>
        <w:jc w:val="center"/>
      </w:pPr>
      <w:r>
        <w:rPr>
          <w:rFonts w:ascii="Arial" w:cs="Arial" w:eastAsia="Arial" w:hAnsi="Arial"/>
          <w:color w:val="2E7D32"/>
          <w:sz w:val="36"/>
          <w:szCs w:val="36"/>
        </w:rPr>
        <w:t xml:space="preserve">SaaS Audit Anti-Greenwashing</w:t>
      </w:r>
    </w:p>
    <w:p>
      <w:pPr>
        <w:spacing w:after="600"/>
        <w:jc w:val="center"/>
      </w:pPr>
      <w:r>
        <w:rPr>
          <w:rFonts w:ascii="Arial" w:cs="Arial" w:eastAsia="Arial" w:hAnsi="Arial"/>
          <w:color w:val="757575"/>
          <w:sz w:val="28"/>
          <w:szCs w:val="28"/>
        </w:rPr>
        <w:t xml:space="preserve">Conformité Directive EmpCo (EU 2024/825)</w:t>
      </w:r>
    </w:p>
    <w:p>
      <w:pPr>
        <w:pBdr>
          <w:top w:val="single" w:color="4CAF50" w:sz="6" w:space="20"/>
        </w:pBdr>
        <w:spacing w:before="400" w:after="200"/>
        <w:jc w:val="center"/>
      </w:pPr>
      <w:r>
        <w:rPr>
          <w:rFonts w:ascii="Arial" w:cs="Arial" w:eastAsia="Arial" w:hAnsi="Arial"/>
          <w:b/>
          <w:bCs/>
          <w:color w:val="212121"/>
          <w:sz w:val="32"/>
          <w:szCs w:val="32"/>
        </w:rPr>
        <w:t xml:space="preserve">Spécifications MVP &amp; Plan de Développement</w:t>
      </w:r>
    </w:p>
    <w:p>
      <w:pPr>
        <w:spacing w:after="100"/>
        <w:jc w:val="center"/>
      </w:pPr>
      <w:r>
        <w:rPr>
          <w:rFonts w:ascii="Arial" w:cs="Arial" w:eastAsia="Arial" w:hAnsi="Arial"/>
          <w:color w:val="757575"/>
          <w:sz w:val="24"/>
          <w:szCs w:val="24"/>
        </w:rPr>
        <w:t xml:space="preserve">Février 2026</w:t>
      </w:r>
    </w:p>
    <w:p>
      <w:pPr>
        <w:jc w:val="center"/>
      </w:pPr>
      <w:r>
        <w:rPr>
          <w:rFonts w:ascii="Arial" w:cs="Arial" w:eastAsia="Arial" w:hAnsi="Arial"/>
          <w:b/>
          <w:bCs/>
          <w:color w:val="D32F2F"/>
          <w:sz w:val="24"/>
          <w:szCs w:val="24"/>
        </w:rPr>
        <w:t xml:space="preserve">Deadline réglementaire : 27 septembre 2026</w:t>
      </w:r>
    </w:p>
    <w:p>
      <w:pPr>
        <w:sectPr>
          <w:pgSz w:w="11906" w:h="16838" w:orient="portrait"/>
          <w:pgMar w:top="1440" w:right="1440" w:bottom="1440" w:left="1440" w:header="708" w:footer="708" w:gutter="0"/>
          <w:pgNumType/>
          <w:docGrid w:linePitch="360"/>
        </w:sectPr>
      </w:pPr>
    </w:p>
    <w:p>
      <w:pPr>
        <w:pStyle w:val="Heading1"/>
      </w:pPr>
      <w:r>
        <w:t xml:space="preserve">1. Concept produit</w:t>
      </w:r>
    </w:p>
    <w:p>
      <w:pPr>
        <w:spacing w:after="200"/>
      </w:pPr>
      <w:r>
        <w:t xml:space="preserve">GreenAudit est un SaaS d’audit automatisé de conformité anti-greenwashing. Il analyse les allégations environnementales d’une entreprise (site web, packaging, publicités) et génère un rapport de conformité à la directive EmpCo (EU 2024/825), applicable le 27 septembre 2026.</w:t>
      </w:r>
    </w:p>
    <w:p>
      <w:pPr>
        <w:spacing w:after="200"/>
      </w:pPr>
      <w:r>
        <w:rPr>
          <w:b/>
          <w:bCs/>
        </w:rPr>
        <w:t xml:space="preserve">Modèle : </w:t>
      </w:r>
      <w:r>
        <w:t xml:space="preserve">B2B2B white-label, identique à AuditBiais. Les agences de communication, cabinets RSE et avocats achètent l’audit en white-label (250-500€) et le revendent à leurs clients (2 000-5 000€).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4CAF50" w:sz="6"/>
              <w:left w:val="single" w:color="4CAF50" w:sz="6"/>
              <w:bottom w:val="single" w:color="4CAF50" w:sz="6"/>
              <w:right w:val="single" w:color="4CAF50" w:sz="6"/>
            </w:tcBorders>
            <w:shd w:fill="E8F5E9" w:val="clear"/>
            <w:tcMar>
              <w:top w:type="dxa" w:w="160"/>
              <w:left w:type="dxa" w:w="200"/>
              <w:bottom w:type="dxa" w:w="160"/>
              <w:right w:type="dxa" w:w="200"/>
            </w:tcMar>
          </w:tcPr>
          <w:p>
            <w:pPr>
              <w:spacing w:after="100"/>
            </w:pPr>
            <w:r>
              <w:rPr>
                <w:b/>
                <w:bCs/>
                <w:color w:val="1B5E20"/>
                <w:sz w:val="24"/>
                <w:szCs w:val="24"/>
              </w:rPr>
              <w:t xml:space="preserve">Proposition de valeur</w:t>
            </w:r>
          </w:p>
          <w:p>
            <w:r>
              <w:rPr>
                <w:color w:val="212121"/>
                <w:sz w:val="22"/>
                <w:szCs w:val="22"/>
              </w:rPr>
              <w:t xml:space="preserve">« Votre communication environnementale est-elle conforme à la nouvelle directive européenne ? » — Audit automatisé en 20 minutes, rapport PDF actionnable, plan de correction claim par claim. 10x moins cher qu’un cabinet d’avocats.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2. Marché cible &amp; canal de distribution</w:t>
      </w:r>
    </w:p>
    <w:p>
      <w:pPr>
        <w:pStyle w:val="Heading2"/>
      </w:pPr>
      <w:r>
        <w:t xml:space="preserve">Clients finaux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Segment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Exemples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Urgence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E-commerce / DNVB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Marques DTC, Shopify stores, marketplaces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HAUTE — Claims sur 100% des pages produit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Cosmétiques / Beauté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Marques « naturel », « clean beauty », vegan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HAUTE — Secteur le plus contrôlé par la DGCCRF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Alimentaire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Bio, local, « sans pesticides », circuit court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HAUTE — Allgations sur packaging + site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Textile / Mode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Marques « éco-responsable », upcycling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HAUTE — Éco-score textile déjà en place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Services / Hôtellerie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Hôtels « verts », services « neutres en carbone »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MOYENNE — Moins de claims produit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Partenaires white-label (B2B2B)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500"/>
        <w:gridCol w:w="3263"/>
        <w:gridCol w:w="3263"/>
      </w:tblGrid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Canal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Pourquoi ils achètent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Volume estimé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Agences de communication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Leurs clients vont paniquer dès les premiers contrôles. Besoin d’un outil clé en main à revendre.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2-5 audits/mois par agence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Cabinets RSE / ESG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Extension naturelle de leur offre conseil. Complète le bilan carbone.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3-8 audits/mois par cabinet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Avocats droit conso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Prévention contentieux. Outil de diagnostic avant mise en demeure.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1-3 audits/mois par cabinet</w:t>
            </w:r>
          </w:p>
        </w:tc>
      </w:tr>
      <w:tr>
        <w:tc>
          <w:tcPr>
            <w:tcW w:type="dxa" w:w="25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Fédérations pro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Service membres. Offre groupée pour adhérents.</w:t>
            </w:r>
          </w:p>
        </w:tc>
        <w:tc>
          <w:tcPr>
            <w:tcW w:type="dxa" w:w="326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10-30 audits/batch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3. Fonctionnalités MVP</w:t>
      </w:r>
    </w:p>
    <w:p>
      <w:pPr>
        <w:spacing w:after="200"/>
      </w:pPr>
      <w:r>
        <w:t xml:space="preserve">Le MVP se concentre sur le strict nécessaire pour générer un audit vendable. On itère ensuite.</w:t>
      </w:r>
    </w:p>
    <w:p>
      <w:pPr>
        <w:pStyle w:val="Heading2"/>
      </w:pPr>
      <w:r>
        <w:t xml:space="preserve">3.1 Module de collecte des claims</w:t>
      </w:r>
    </w:p>
    <w:p>
      <w:pPr>
        <w:spacing w:after="100"/>
      </w:pPr>
      <w:r>
        <w:t xml:space="preserve">L’utilisateur (le partenaire ou son client) saisit les allégations environnementales de l’entreprise auditée via un formulaire structuré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Informations entreprise : </w:t>
      </w:r>
      <w:r>
        <w:t xml:space="preserve">nom, secteur d’activité, URL du site web, canaux de communication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Inventaire des claims : </w:t>
      </w:r>
      <w:r>
        <w:t xml:space="preserve">chaque allégation environnementale est saisie avec son support (site web, packaging, pub, réseaux sociaux), son texte exact, et son périmètre (produit spécifique ou entreprise globale)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Labels et certifications utilisés : </w:t>
      </w:r>
      <w:r>
        <w:t xml:space="preserve">logos, labels auto-décernés, certifications tierces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Preuves existantes : </w:t>
      </w:r>
      <w:r>
        <w:t xml:space="preserve">documents justificatifs déjà disponibles (certifications, rapports, données fournisseurs)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Allgations futures : </w:t>
      </w:r>
      <w:r>
        <w:t xml:space="preserve">claims de type « nous serons neutres en carbone d’ici 2030 » avec engagements associés</w:t>
      </w:r>
    </w:p>
    <w:p>
      <w:pPr>
        <w:pStyle w:val="Heading2"/>
      </w:pPr>
      <w:r>
        <w:t xml:space="preserve">3.2 Moteur d’analyse de conformité</w:t>
      </w:r>
    </w:p>
    <w:p>
      <w:pPr>
        <w:spacing w:after="100"/>
      </w:pPr>
      <w:r>
        <w:t xml:space="preserve">Chaque claim est passée dans une grille d’analyse basée sur les exigences EmpCo. Le moteur évalue 6 critères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4426"/>
        <w:gridCol w:w="24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Critère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Règle EmpCo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Score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Spécificité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L’allégation est-elle précise ou générique (« écologique », « vert ») ?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Conforme / Non conforme / Risque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Justification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L’entreprise peut-elle démontrer la véracité avec des preuves ?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Conforme / Non conforme / Risque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Proportionnalité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 claim porte-t-il sur le produit entier alors que l’avantage est partiel ?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Conforme / Non conforme / Risque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Compensation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 claim repose-t-il sur de la compensation carbone (« neutre en carbone ») ?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Interdit systématiquement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Labels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 label utilisé est-il basé sur un système de certification tiers ou public ?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Conforme / Non conforme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Engagements futurs</w:t>
            </w:r>
          </w:p>
        </w:tc>
        <w:tc>
          <w:tcPr>
            <w:tcW w:type="dxa" w:w="44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Les claims futurs sont-ils accompagnés d’objectifs mesurables et vérifiés ?</w:t>
            </w:r>
          </w:p>
        </w:tc>
        <w:tc>
          <w:tcPr>
            <w:tcW w:type="dxa" w:w="24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Conforme / Non conforme / Risque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b/>
          <w:bCs/>
        </w:rPr>
        <w:t xml:space="preserve">Scoring global : </w:t>
      </w:r>
      <w:r>
        <w:t xml:space="preserve">chaque claim reçoit un score sur ces 6 critères. Le rapport affiche un score de conformité global (%) et un niveau de risque (Faible / Modéré / Élevé / Critique).</w:t>
      </w:r>
    </w:p>
    <w:p>
      <w:pPr>
        <w:pStyle w:val="Heading2"/>
      </w:pPr>
      <w:r>
        <w:t xml:space="preserve">3.3 Génération du rapport PDF</w:t>
      </w:r>
    </w:p>
    <w:p>
      <w:pPr>
        <w:spacing w:after="100"/>
      </w:pPr>
      <w:r>
        <w:t xml:space="preserve">Le rapport de sortie contient :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Synthèse exécutive : </w:t>
      </w:r>
      <w:r>
        <w:t xml:space="preserve">score global, nombre de claims analysées, répartition conforme/non conforme/risque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Détail claim par claim : </w:t>
      </w:r>
      <w:r>
        <w:t xml:space="preserve">texte de la claim, support, analyse sur chaque critère, verdict, recommandation de correction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Plan de correction : </w:t>
      </w:r>
      <w:r>
        <w:t xml:space="preserve">actions correctives priorisées (supprimer, reformuler, documenter), classées par urgence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Checklist labels : </w:t>
      </w:r>
      <w:r>
        <w:t xml:space="preserve">liste des labels à retirer (auto-décernés) vs à conserver (certification tierce)</w:t>
      </w:r>
    </w:p>
    <w:p>
      <w:pPr>
        <w:pStyle w:val="ListParagraph"/>
        <w:numPr>
          <w:ilvl w:val="0"/>
          <w:numId w:val="3"/>
        </w:numPr>
        <w:spacing w:after="60"/>
      </w:pPr>
      <w:r>
        <w:rPr>
          <w:b/>
          <w:bCs/>
        </w:rPr>
        <w:t xml:space="preserve">Références réglementaires : </w:t>
      </w:r>
      <w:r>
        <w:t xml:space="preserve">articles EmpCo cités, guide ADEME anti-greenwashing, jurisprudence pertinente</w:t>
      </w:r>
    </w:p>
    <w:p>
      <w:pPr>
        <w:pStyle w:val="ListParagraph"/>
        <w:numPr>
          <w:ilvl w:val="0"/>
          <w:numId w:val="3"/>
        </w:numPr>
        <w:spacing w:after="200"/>
      </w:pPr>
      <w:r>
        <w:rPr>
          <w:b/>
          <w:bCs/>
        </w:rPr>
        <w:t xml:space="preserve">Branding white-label : </w:t>
      </w:r>
      <w:r>
        <w:t xml:space="preserve">logo du partenaire, couleurs personnalisées, nom du cabinet sur le rapport</w:t>
      </w:r>
    </w:p>
    <w:p>
      <w:pPr>
        <w:pStyle w:val="Heading2"/>
      </w:pPr>
      <w:r>
        <w:t xml:space="preserve">3.4 Dashboard partenaire</w:t>
      </w:r>
    </w:p>
    <w:p>
      <w:pPr>
        <w:spacing w:after="100"/>
      </w:pPr>
      <w:r>
        <w:t xml:space="preserve">Interface web pour les partenaires white-label :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Créer et gérer les audits de leurs clients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Personnaliser le branding (logo, couleurs, coordonnées)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Télécharger les rapports PDF générés</w:t>
      </w:r>
    </w:p>
    <w:p>
      <w:pPr>
        <w:pStyle w:val="ListParagraph"/>
        <w:numPr>
          <w:ilvl w:val="0"/>
          <w:numId w:val="2"/>
        </w:numPr>
        <w:spacing w:after="60"/>
      </w:pPr>
      <w:r>
        <w:t xml:space="preserve">Voir l’historique des audits et le suivi des corrections</w:t>
      </w:r>
    </w:p>
    <w:p>
      <w:pPr>
        <w:pStyle w:val="ListParagraph"/>
        <w:numPr>
          <w:ilvl w:val="0"/>
          <w:numId w:val="2"/>
        </w:numPr>
        <w:spacing w:after="200"/>
      </w:pPr>
      <w:r>
        <w:t xml:space="preserve">Lien de partage client (accès lecture seule au rapport)</w:t>
      </w:r>
    </w:p>
    <w:p>
      <w:pPr>
        <w:pStyle w:val="Heading1"/>
      </w:pPr>
      <w:r>
        <w:t xml:space="preserve">4. Hors scope MVP (V2+)</w:t>
      </w:r>
    </w:p>
    <w:p>
      <w:pPr>
        <w:spacing w:after="100"/>
      </w:pPr>
      <w:r>
        <w:t xml:space="preserve">Pour ne pas perdre de temps, on exclut du MVP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Scan automatisé de site web </w:t>
      </w:r>
      <w:r>
        <w:t xml:space="preserve">(crawl + extraction IA des claims) → V2, après validation du modèle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Analyse de packaging par photo </w:t>
      </w:r>
      <w:r>
        <w:t xml:space="preserve">(OCR + IA) → V2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Monitoring continu </w:t>
      </w:r>
      <w:r>
        <w:t xml:space="preserve">(alertes si nouveaux claims détectés) → V2, mais le modèle d’abonnement annuel est déjà prévu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Multi-langue </w:t>
      </w:r>
      <w:r>
        <w:t xml:space="preserve">→ V2 (MVP en français uniquement)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Intégration API partenaires </w:t>
      </w:r>
      <w:r>
        <w:t xml:space="preserve">(webhook, Zapier) → V3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Paiement Stripe intégré </w:t>
      </w:r>
      <w:r>
        <w:t xml:space="preserve">→ tu peux réutiliser celui d’AuditBiais si déjà en place, sinon V2</w:t>
      </w:r>
    </w:p>
    <w:p>
      <w:pPr>
        <w:pStyle w:val="Heading1"/>
      </w:pPr>
      <w:r>
        <w:t xml:space="preserve">5. Architecture technique</w:t>
      </w:r>
    </w:p>
    <w:p>
      <w:pPr>
        <w:spacing w:after="200"/>
      </w:pPr>
      <w:r>
        <w:t xml:space="preserve">On réutilise la stack AuditBiais. Zéro technologie nouvelle à apprendre.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800"/>
        <w:gridCol w:w="3113"/>
        <w:gridCol w:w="3113"/>
      </w:tblGrid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Couche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Techno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Réutilisation AuditBiais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Backend API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FastAPI + PostgreSQL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90% identique (nouveaux endpoints)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Génération PDF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ReportLab ou WeasyPrint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Template différent, même pipeline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Frontend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React + Tailwind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Composants réutilisables, nouveau formulaire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Auth / Multi-tenant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JWT + tenant_id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100% identique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Déploiement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Railway (back) + Vercel (front)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Même infra, nouveau projet</w:t>
            </w:r>
          </w:p>
        </w:tc>
      </w:tr>
      <w:tr>
        <w:tc>
          <w:tcPr>
            <w:tcW w:type="dxa" w:w="28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Moteur d’analyse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Python (règles + scoring)</w:t>
            </w:r>
          </w:p>
        </w:tc>
        <w:tc>
          <w:tcPr>
            <w:tcW w:type="dxa" w:w="31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Nouvelle logique, même pattern que le moteur biais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Modèle de données principal</w:t>
      </w:r>
    </w:p>
    <w:p>
      <w:pPr>
        <w:spacing w:after="100"/>
      </w:pPr>
      <w:r>
        <w:t xml:space="preserve">Quatre tables principales :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6826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Table</w:t>
            </w:r>
          </w:p>
        </w:tc>
        <w:tc>
          <w:tcPr>
            <w:tcW w:type="dxa" w:w="6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Champs clés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partners</w:t>
            </w:r>
          </w:p>
        </w:tc>
        <w:tc>
          <w:tcPr>
            <w:tcW w:type="dxa" w:w="6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name, logo_url, brand_colors, contact_email, stripe_customer_id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audits</w:t>
            </w:r>
          </w:p>
        </w:tc>
        <w:tc>
          <w:tcPr>
            <w:tcW w:type="dxa" w:w="6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partner_id, company_name, sector, website_url, status, global_score, risk_level, created_at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claims</w:t>
            </w:r>
          </w:p>
        </w:tc>
        <w:tc>
          <w:tcPr>
            <w:tcW w:type="dxa" w:w="6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audit_id, claim_text, support_type (web/packaging/pub/social), scope (product/company), has_proof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claim_results</w:t>
            </w:r>
          </w:p>
        </w:tc>
        <w:tc>
          <w:tcPr>
            <w:tcW w:type="dxa" w:w="6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id, claim_id, criterion (specificity/justification/...), score, verdict, recommendation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6. Grille d’analyse détaillée (logique métier)</w:t>
      </w:r>
    </w:p>
    <w:p>
      <w:pPr>
        <w:spacing w:after="200"/>
      </w:pPr>
      <w:r>
        <w:t xml:space="preserve">Voici comment le moteur d’analyse évalue chaque claim. C’est le cœur du produit.</w:t>
      </w:r>
    </w:p>
    <w:p>
      <w:pPr>
        <w:pStyle w:val="Heading3"/>
      </w:pPr>
      <w:r>
        <w:t xml:space="preserve">Règle 1 — Claims génériques interdites (Blacklist)</w:t>
      </w:r>
    </w:p>
    <w:p>
      <w:pPr>
        <w:spacing w:after="100"/>
      </w:pPr>
      <w:r>
        <w:t xml:space="preserve">Si la claim contient un terme générique SANS spécification → NON CONFORME automatique. Termes détectés :</w:t>
      </w:r>
    </w:p>
    <w:p>
      <w:pPr>
        <w:spacing w:after="200"/>
      </w:pPr>
      <w:r>
        <w:rPr>
          <w:i/>
          <w:iCs/>
          <w:color w:val="757575"/>
        </w:rPr>
        <w:t xml:space="preserve">écologique, éco-responsable, vert, green, respectueux de l’environnement, nature’s friend, durable (sans contexte), biodgradable (sans preuve), naturel (sur cosmétiques sans certification), climate friendly</w:t>
      </w:r>
    </w:p>
    <w:p>
      <w:pPr>
        <w:pStyle w:val="Heading3"/>
      </w:pPr>
      <w:r>
        <w:t xml:space="preserve">Règle 2 — Neutralité carbone par compensation = INTERDIT</w:t>
      </w:r>
    </w:p>
    <w:p>
      <w:pPr>
        <w:spacing w:after="200"/>
      </w:pPr>
      <w:r>
        <w:t xml:space="preserve">Toute claim de type « neutre en carbone », « zéro émission », « climate neutral » fondée sur la compensation (offsets) est systématiquement interdite par EmpCo. Verdict : NON CONFORME, pas de nuance.</w:t>
      </w:r>
    </w:p>
    <w:p>
      <w:pPr>
        <w:pStyle w:val="Heading3"/>
      </w:pPr>
      <w:r>
        <w:t xml:space="preserve">Règle 3 — Labels auto-décernés = NON CONFORME</w:t>
      </w:r>
    </w:p>
    <w:p>
      <w:pPr>
        <w:spacing w:after="200"/>
      </w:pPr>
      <w:r>
        <w:t xml:space="preserve">Tout label de durabilité qui n’est pas basé sur un système de certification tiers indépendant ou établi par une autorité publique est interdit. Le moteur vérifie : certification par un tiers ? Accès public aux critères ? Monitoring indépendant ?</w:t>
      </w:r>
    </w:p>
    <w:p>
      <w:pPr>
        <w:pStyle w:val="Heading3"/>
      </w:pPr>
      <w:r>
        <w:t xml:space="preserve">Règle 4 — Claims sur l’ensemble vs. un aspect</w:t>
      </w:r>
    </w:p>
    <w:p>
      <w:pPr>
        <w:spacing w:after="200"/>
      </w:pPr>
      <w:r>
        <w:t xml:space="preserve">Si une claim porte sur l’ensemble du produit/entreprise mais que l’avantage ne concerne qu’un aspect spécifique → RISQUE ou NON CONFORME. Exemple : « produit durable » alors que seul l’emballage est recyclé.</w:t>
      </w:r>
    </w:p>
    <w:p>
      <w:pPr>
        <w:pStyle w:val="Heading3"/>
      </w:pPr>
      <w:r>
        <w:t xml:space="preserve">Règle 5 — Engagements futurs sans plan vérifiable</w:t>
      </w:r>
    </w:p>
    <w:p>
      <w:pPr>
        <w:spacing w:after="200"/>
      </w:pPr>
      <w:r>
        <w:t xml:space="preserve">Les claims de type « d’ici 2030 nous serons… » doivent être accompagnées d’engagements clairs, mesurables et vérifiés par un tiers indépendant. Sans cela → NON CONFORME.</w:t>
      </w:r>
    </w:p>
    <w:p>
      <w:pPr>
        <w:pStyle w:val="Heading3"/>
      </w:pPr>
      <w:r>
        <w:t xml:space="preserve">Règle 6 — Preuve et traçabilité</w:t>
      </w:r>
    </w:p>
    <w:p>
      <w:pPr>
        <w:spacing w:after="200"/>
      </w:pPr>
      <w:r>
        <w:t xml:space="preserve">Pour chaque claim spécifique (ex: « 30% de plastique recyclé »), l’entreprise doit pouvoir fournir les preuves (certifications fournisseur, analyses, rapports). Le moteur vérifie la présence et la nature des preuves déclarées.</w:t>
      </w:r>
    </w:p>
    <w:p>
      <w:pPr>
        <w:pStyle w:val="Heading1"/>
      </w:pPr>
      <w:r>
        <w:t xml:space="preserve">7. Pricing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200"/>
        <w:gridCol w:w="1700"/>
        <w:gridCol w:w="1700"/>
        <w:gridCol w:w="1726"/>
        <w:gridCol w:w="1700"/>
      </w:tblGrid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Offre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White-label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Prix client sugg.</w:t>
            </w:r>
          </w:p>
        </w:tc>
        <w:tc>
          <w:tcPr>
            <w:tcW w:type="dxa" w:w="17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Marge partenaire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Contenu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Audit Initial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300€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2 000 - 3 000€</w:t>
            </w:r>
          </w:p>
        </w:tc>
        <w:tc>
          <w:tcPr>
            <w:tcW w:type="dxa" w:w="17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6x à 10x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Rapport complet + plan de correction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Pack Premium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500€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3 000 - 5 000€</w:t>
            </w:r>
          </w:p>
        </w:tc>
        <w:tc>
          <w:tcPr>
            <w:tcW w:type="dxa" w:w="17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6x à 10x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Audit + suivi corrections + 2ème audit de validation</w:t>
            </w:r>
          </w:p>
        </w:tc>
      </w:tr>
      <w:tr>
        <w:tc>
          <w:tcPr>
            <w:tcW w:type="dxa" w:w="22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Abonnement annuel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200€/an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1 500 - 2 000€/an</w:t>
            </w:r>
          </w:p>
        </w:tc>
        <w:tc>
          <w:tcPr>
            <w:tcW w:type="dxa" w:w="17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7x à 10x</w:t>
            </w:r>
          </w:p>
        </w:tc>
        <w:tc>
          <w:tcPr>
            <w:tcW w:type="dxa" w:w="17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Re-audit trimestriel + alertes réglementaires</w:t>
            </w:r>
          </w:p>
        </w:tc>
      </w:tr>
    </w:tbl>
    <w:p>
      <w:pPr>
        <w:spacing w:after="200"/>
      </w:pPr>
    </w:p>
    <w:p>
      <w:pPr>
        <w:pStyle w:val="Heading2"/>
      </w:pPr>
      <w:r>
        <w:t xml:space="preserve">Projection de revenus (12 premiers mois)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000"/>
        <w:gridCol w:w="1756"/>
        <w:gridCol w:w="1756"/>
        <w:gridCol w:w="1757"/>
        <w:gridCol w:w="1757"/>
      </w:tblGrid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Mois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Partenaires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Audits/mois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CA mensuel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Lancement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M1-M3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3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6-9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2 100 - 3 150€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Croissance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M4-M8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8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20-30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7 000 - 10 500€</w:t>
            </w:r>
          </w:p>
        </w:tc>
      </w:tr>
      <w:tr>
        <w:tc>
          <w:tcPr>
            <w:tcW w:type="dxa" w:w="2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Maturité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M9-M12</w:t>
            </w:r>
          </w:p>
        </w:tc>
        <w:tc>
          <w:tcPr>
            <w:tcW w:type="dxa" w:w="175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15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40-60</w:t>
            </w:r>
          </w:p>
        </w:tc>
        <w:tc>
          <w:tcPr>
            <w:tcW w:type="dxa" w:w="1757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14 000 - 21 000€</w:t>
            </w:r>
          </w:p>
        </w:tc>
      </w:tr>
    </w:tbl>
    <w:p>
      <w:pPr>
        <w:spacing w:after="100"/>
      </w:pPr>
    </w:p>
    <w:p>
      <w:pPr>
        <w:spacing w:after="200"/>
      </w:pPr>
      <w:r>
        <w:rPr>
          <w:b/>
          <w:bCs/>
          <w:color w:val="1B5E20"/>
          <w:sz w:val="24"/>
          <w:szCs w:val="24"/>
        </w:rPr>
        <w:t xml:space="preserve">Objectif année 1 : 80 000 - 130 000€ de CA, en parallèle d’AuditBiais.</w:t>
      </w:r>
    </w:p>
    <w:p>
      <w:pPr>
        <w:pStyle w:val="Heading1"/>
      </w:pPr>
      <w:r>
        <w:t xml:space="preserve">8. Planning de développement (7 mois)</w:t>
      </w:r>
    </w:p>
    <w:p>
      <w:pPr>
        <w:spacing w:after="200"/>
      </w:pPr>
      <w:r>
        <w:t xml:space="preserve">Objectif : MVP vendable AVANT le 27 septembre 2026. Idéalement prêt mi-juillet pour commencer la prospection commerciale 2 mois avant la deadline.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1600"/>
        <w:gridCol w:w="1600"/>
        <w:gridCol w:w="5826"/>
      </w:tblGrid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Phase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Période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Livrables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1 — Specs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Fév. sem 3-4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Grille d’analyse finalisée (valider avec 1-2 avocats/consultants RSE). Wireframes formulaire + rapport PDF. Modèle de données PostgreSQL.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2 — Backend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Mars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API FastAPI : CRUD audits, claims, claim_results. Moteur d’analyse (scoring rules engine). Génération PDF avec branding white-label. Auth + multi-tenant (copier AuditBiais).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3 — Frontend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Avril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Formulaire de saisie des claims (React). Dashboard partenaire. Page de résultats + téléchargement PDF. Personnalisation branding.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4 — Test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 sem 1-2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5 audits pilotes gratuits avec des entreprises réelles (trouver via tes contacts agences com). Itération sur le rapport PDF et la grille d’analyse.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5 — Go-to-market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Mai sem 3-4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Landing page dédiée. Démo interactive. Plaquette commerciale white-label pour les partenaires. Déploiement production.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6 — Prospection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Juin - Juillet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Outreach LinkedIn vers agences com + cabinets RSE (même méthode que Arboriia pour AuditBiais). 3 premiers partenaires signés. Premiers audits payants.</w:t>
            </w:r>
          </w:p>
        </w:tc>
      </w:tr>
      <w:tr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E8F5E9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2E7D32"/>
                <w:sz w:val="20"/>
                <w:szCs w:val="20"/>
              </w:rPr>
              <w:t xml:space="preserve">7 — Scale</w:t>
            </w:r>
          </w:p>
        </w:tc>
        <w:tc>
          <w:tcPr>
            <w:tcW w:type="dxa" w:w="16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Août - Sept</w:t>
            </w:r>
          </w:p>
        </w:tc>
        <w:tc>
          <w:tcPr>
            <w:tcW w:type="dxa" w:w="5826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Panique du marché avant le 27 sept. Accélération. Objectif 8-10 partenaires actifs. Premières itérations V1.1 basées sur les retours.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9. Synergies avec AuditBiais</w:t>
      </w:r>
    </w:p>
    <w:p>
      <w:pPr>
        <w:spacing w:after="100"/>
      </w:pPr>
      <w:r>
        <w:t xml:space="preserve">Les deux produits partagent la même infrastructure et peuvent se renforcer mutuellement :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Code partagé : </w:t>
      </w:r>
      <w:r>
        <w:t xml:space="preserve">auth, multi-tenant, génération PDF, dashboard partenaire → 50% du code est réutilisable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Cross-sell : </w:t>
      </w:r>
      <w:r>
        <w:t xml:space="preserve">un cabinet RH partenaire AuditBiais peut aussi vendre GreenAudit si ses clients font des claims environnementales sur leurs offres d’emploi (« entreprise responsable »)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Crédibilité : </w:t>
      </w:r>
      <w:r>
        <w:t xml:space="preserve">avoir deux produits de conformité réglementaire renforce ton positionnement « expert SaaS compliance »</w:t>
      </w:r>
    </w:p>
    <w:p>
      <w:pPr>
        <w:pStyle w:val="ListParagraph"/>
        <w:numPr>
          <w:ilvl w:val="0"/>
          <w:numId w:val="2"/>
        </w:numPr>
        <w:spacing w:after="60"/>
      </w:pPr>
      <w:r>
        <w:rPr>
          <w:b/>
          <w:bCs/>
        </w:rPr>
        <w:t xml:space="preserve">Marque ombrelle possible : </w:t>
      </w:r>
      <w:r>
        <w:t xml:space="preserve">regrouper sous une marque « ComplianceHub » ou similaire à terme</w:t>
      </w:r>
    </w:p>
    <w:p>
      <w:pPr>
        <w:pStyle w:val="ListParagraph"/>
        <w:numPr>
          <w:ilvl w:val="0"/>
          <w:numId w:val="2"/>
        </w:numPr>
        <w:spacing w:after="200"/>
      </w:pPr>
      <w:r>
        <w:rPr>
          <w:b/>
          <w:bCs/>
        </w:rPr>
        <w:t xml:space="preserve">Infra mutualisée : </w:t>
      </w:r>
      <w:r>
        <w:t xml:space="preserve">même Railway, même Vercel, même PostgreSQL (schemas séparés ou DB différente)</w:t>
      </w:r>
    </w:p>
    <w:p>
      <w:pPr>
        <w:pStyle w:val="Heading1"/>
      </w:pPr>
      <w:r>
        <w:t xml:space="preserve">10. Risques et mitigations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13"/>
        <w:gridCol w:w="3013"/>
        <w:gridCol w:w="3000"/>
      </w:tblGrid>
      <w:tr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Risque</w:t>
            </w:r>
          </w:p>
        </w:tc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Impact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shd w:fill="1B5E20" w:val="clear"/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b/>
                <w:bCs/>
                <w:color w:val="FFFFFF"/>
                <w:sz w:val="20"/>
                <w:szCs w:val="20"/>
              </w:rPr>
              <w:t xml:space="preserve">Mitigation</w:t>
            </w:r>
          </w:p>
        </w:tc>
      </w:tr>
      <w:tr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Report de la deadline EmpCo</w:t>
            </w:r>
          </w:p>
        </w:tc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Retard de l’urgence d’achat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Faible : la loi AGEC et la DGCCRF sanctionnent déjà. EmpCo est définitivement adoptée.</w:t>
            </w:r>
          </w:p>
        </w:tc>
      </w:tr>
      <w:tr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Marché pas encore conscient du problème</w:t>
            </w:r>
          </w:p>
        </w:tc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Cycle de vente long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Créer du contenu éducatif LinkedIn. Miser sur les premiers contrôles DGCCRF comme déclencheur.</w:t>
            </w:r>
          </w:p>
        </w:tc>
      </w:tr>
      <w:tr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Concurrence de gros acteurs</w:t>
            </w:r>
          </w:p>
        </w:tc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Perte de différenciation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Avantage premier entrant sur le créneau PME/white-label. Les gros font du conseil cher.</w:t>
            </w:r>
          </w:p>
        </w:tc>
      </w:tr>
      <w:tr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Qualité de l’analyse contestée</w:t>
            </w:r>
          </w:p>
        </w:tc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Perte de crédibilité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Faire valider la grille par 1-2 avocats spécialisés. Disclaimer « outil d’aide, non substitut au conseil juridique ».</w:t>
            </w:r>
          </w:p>
        </w:tc>
      </w:tr>
      <w:tr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Dispersion entre 2 produits</w:t>
            </w:r>
          </w:p>
        </w:tc>
        <w:tc>
          <w:tcPr>
            <w:tcW w:type="dxa" w:w="3013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Retard sur les deux</w:t>
            </w:r>
          </w:p>
        </w:tc>
        <w:tc>
          <w:tcPr>
            <w:tcW w:type="dxa" w:w="3000"/>
            <w:tcBorders>
              <w:top w:val="single" w:color="C8E6C9" w:sz="1"/>
              <w:left w:val="single" w:color="C8E6C9" w:sz="1"/>
              <w:bottom w:val="single" w:color="C8E6C9" w:sz="1"/>
              <w:right w:val="single" w:color="C8E6C9" w:sz="1"/>
            </w:tcBorders>
            <w:tcMar>
              <w:top w:type="dxa" w:w="80"/>
              <w:left w:type="dxa" w:w="120"/>
              <w:bottom w:type="dxa" w:w="80"/>
              <w:right w:type="dxa" w:w="120"/>
            </w:tcMar>
          </w:tcPr>
          <w:p>
            <w:r>
              <w:rPr>
                <w:rFonts w:ascii="Arial" w:cs="Arial" w:eastAsia="Arial" w:hAnsi="Arial"/>
                <w:color w:val="212121"/>
                <w:sz w:val="20"/>
                <w:szCs w:val="20"/>
              </w:rPr>
              <w:t xml:space="preserve">AuditBiais est déjà en production. GreenAudit réutilise 50% du code. Planning réaliste de 5 mois de dev.</w:t>
            </w:r>
          </w:p>
        </w:tc>
      </w:tr>
    </w:tbl>
    <w:p>
      <w:pPr>
        <w:spacing w:after="200"/>
      </w:pPr>
    </w:p>
    <w:p>
      <w:pPr>
        <w:pStyle w:val="Heading1"/>
      </w:pPr>
      <w:r>
        <w:t xml:space="preserve">11. Prochaine action immédiate</w:t>
      </w:r>
    </w:p>
    <w:tbl>
      <w:tblPr>
        <w:tblW w:type="dxa" w:w="9026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026"/>
      </w:tblGrid>
      <w:tr>
        <w:tc>
          <w:tcPr>
            <w:tcBorders>
              <w:top w:val="single" w:color="D32F2F" w:sz="6"/>
              <w:left w:val="single" w:color="D32F2F" w:sz="6"/>
              <w:bottom w:val="single" w:color="D32F2F" w:sz="6"/>
              <w:right w:val="single" w:color="D32F2F" w:sz="6"/>
            </w:tcBorders>
            <w:shd w:fill="FFEBEE" w:val="clear"/>
            <w:tcMar>
              <w:top w:type="dxa" w:w="200"/>
              <w:left w:type="dxa" w:w="200"/>
              <w:bottom w:type="dxa" w:w="200"/>
              <w:right w:type="dxa" w:w="200"/>
            </w:tcMar>
          </w:tcPr>
          <w:p>
            <w:pPr>
              <w:spacing w:after="120"/>
            </w:pPr>
            <w:r>
              <w:rPr>
                <w:b/>
                <w:bCs/>
                <w:color w:val="D32F2F"/>
                <w:sz w:val="26"/>
                <w:szCs w:val="26"/>
              </w:rPr>
              <w:t xml:space="preserve">Cette semaine :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1. Télécharger le guide ADEME anti-greenwashing 2025 et lire les articles 6 à 6quater de la directive EmpCo pour affiner la grille d’analyse.</w:t>
            </w:r>
          </w:p>
          <w:p>
            <w:pPr>
              <w:spacing w:after="80"/>
            </w:pPr>
            <w:r>
              <w:rPr>
                <w:sz w:val="22"/>
                <w:szCs w:val="22"/>
              </w:rPr>
              <w:t xml:space="preserve">2. Contacter 2-3 agences de com dans ton réseau pour valider le besoin : « Tes clients sont-ils prêts pour la directive anti-greenwashing de septembre ? »</w:t>
            </w:r>
          </w:p>
          <w:p>
            <w:r>
              <w:rPr>
                <w:sz w:val="22"/>
                <w:szCs w:val="22"/>
              </w:rPr>
              <w:t xml:space="preserve">3. Poser le modèle de données PostgreSQL et le premier endpoint FastAPI « créer un audit ».</w:t>
            </w:r>
          </w:p>
        </w:tc>
      </w:tr>
    </w:tbl>
    <w:sectPr>
      <w:headerReference w:type="default" r:id="rId6"/>
      <w:footerReference w:type="default" r:id="rId7"/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>
  <w:p>
    <w:pPr>
      <w:pBdr>
        <w:top w:val="single" w:color="C8E6C9" w:sz="2" w:space="8"/>
      </w:pBdr>
      <w:jc w:val="right"/>
    </w:pPr>
    <w:r>
      <w:rPr>
        <w:rFonts w:ascii="Arial" w:cs="Arial" w:eastAsia="Arial" w:hAnsi="Arial"/>
        <w:color w:val="757575"/>
        <w:sz w:val="16"/>
        <w:szCs w:val="16"/>
      </w:rPr>
      <w:t xml:space="preserve">Page </w:t>
    </w:r>
    <w:r>
      <w:rPr>
        <w:rFonts w:ascii="Arial" w:cs="Arial" w:eastAsia="Arial" w:hAnsi="Arial"/>
        <w:color w:val="757575"/>
        <w:sz w:val="16"/>
        <w:szCs w:val="16"/>
      </w:rPr>
      <w:fldChar w:fldCharType="begin"/>
      <w:instrText xml:space="preserve">PAGE</w:instrText>
      <w:fldChar w:fldCharType="separate"/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w16cid="http://schemas.microsoft.com/office/word/2016/wordml/cid" xmlns:w16se="http://schemas.microsoft.com/office/word/2015/wordml/symex">
  <w:p>
    <w:pPr>
      <w:pBdr>
        <w:bottom w:val="single" w:color="4CAF50" w:sz="4" w:space="8"/>
      </w:pBdr>
    </w:pPr>
    <w:r>
      <w:rPr>
        <w:rFonts w:ascii="Arial" w:cs="Arial" w:eastAsia="Arial" w:hAnsi="Arial"/>
        <w:b/>
        <w:bCs/>
        <w:color w:val="1B5E20"/>
        <w:sz w:val="18"/>
        <w:szCs w:val="18"/>
      </w:rPr>
      <w:t xml:space="preserve">GreenAudit</w:t>
    </w:r>
    <w:r>
      <w:rPr>
        <w:rFonts w:ascii="Arial" w:cs="Arial" w:eastAsia="Arial" w:hAnsi="Arial"/>
        <w:color w:val="757575"/>
        <w:sz w:val="18"/>
        <w:szCs w:val="18"/>
      </w:rPr>
      <w:t xml:space="preserve">  |  Spécifications MVP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Phase %1 -"/>
      <w:lvlJc w:val="left"/>
      <w:pPr>
        <w:ind w:left="720" w:hanging="72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color w:val="212121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before="360" w:after="200"/>
      <w:outlineLvl w:val="0"/>
    </w:pPr>
    <w:rPr>
      <w:rFonts w:ascii="Arial" w:cs="Arial" w:eastAsia="Arial" w:hAnsi="Arial"/>
      <w:b/>
      <w:bCs/>
      <w:color w:val="1B5E20"/>
      <w:sz w:val="36"/>
      <w:szCs w:val="36"/>
    </w:rPr>
  </w:style>
  <w:style w:type="paragraph" w:styleId="Heading2">
    <w:name w:val="Heading 2"/>
    <w:basedOn w:val="Normal"/>
    <w:next w:val="Normal"/>
    <w:qFormat/>
    <w:pPr>
      <w:spacing w:before="280" w:after="160"/>
      <w:outlineLvl w:val="1"/>
    </w:pPr>
    <w:rPr>
      <w:rFonts w:ascii="Arial" w:cs="Arial" w:eastAsia="Arial" w:hAnsi="Arial"/>
      <w:b/>
      <w:bCs/>
      <w:color w:val="2E7D32"/>
      <w:sz w:val="28"/>
      <w:szCs w:val="28"/>
    </w:rPr>
  </w:style>
  <w:style w:type="paragraph" w:styleId="Heading3">
    <w:name w:val="Heading 3"/>
    <w:basedOn w:val="Normal"/>
    <w:next w:val="Normal"/>
    <w:qFormat/>
    <w:pPr>
      <w:spacing w:before="200" w:after="120"/>
      <w:outlineLvl w:val="2"/>
    </w:pPr>
    <w:rPr>
      <w:rFonts w:ascii="Arial" w:cs="Arial" w:eastAsia="Arial" w:hAnsi="Arial"/>
      <w:b/>
      <w:bCs/>
      <w:color w:val="2E7D32"/>
      <w:sz w:val="24"/>
      <w:szCs w:val="24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header" Target="header1.xml"/><Relationship Id="rId7" Type="http://schemas.openxmlformats.org/officeDocument/2006/relationships/footer" Target="footer1.xml"/><Relationship Id="rId8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er1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word/_rels/header1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2026-02-19T18:57:03.934Z</dcterms:created>
  <dcterms:modified xsi:type="dcterms:W3CDTF">2026-02-19T18:57:03.935Z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