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158"/>
        <w:tblW w:w="11307" w:type="dxa"/>
        <w:tblBorders>
          <w:top w:val="nil"/>
          <w:left w:val="nil"/>
          <w:bottom w:val="nil"/>
          <w:right w:val="nil"/>
          <w:insideH w:val="nil"/>
          <w:insideV w:val="nil"/>
        </w:tblBorders>
        <w:shd w:val="clear" w:color="auto" w:fill="FFFFFF"/>
        <w:tblLook w:val="01E0" w:firstRow="1" w:lastRow="1" w:firstColumn="1" w:lastColumn="1" w:noHBand="0" w:noVBand="0"/>
      </w:tblPr>
      <w:tblGrid>
        <w:gridCol w:w="11307"/>
      </w:tblGrid>
      <w:tr w:rsidR="00746815" w14:paraId="5354D0B4" w14:textId="77777777">
        <w:trPr>
          <w:trHeight w:val="1559"/>
        </w:trPr>
        <w:tc>
          <w:tcPr>
            <w:tcW w:w="11307" w:type="dxa"/>
            <w:shd w:val="clear" w:color="auto" w:fill="FFFFFF"/>
            <w:vAlign w:val="center"/>
          </w:tcPr>
          <w:p w14:paraId="3DF0A0C7" w14:textId="07E21DB0" w:rsidR="00746815" w:rsidRDefault="00000000">
            <w:pPr>
              <w:jc w:val="center"/>
              <w:rPr>
                <w:rFonts w:ascii="Verdana" w:hAnsi="Verdana"/>
              </w:rPr>
            </w:pPr>
            <w:r w:rsidRPr="002A03EE">
              <w:rPr>
                <w:noProof/>
              </w:rPr>
              <w:pict w14:anchorId="2C50C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226.8pt;height:78pt;visibility:visible;mso-wrap-style:square">
                  <v:imagedata r:id="rId6" o:title=""/>
                </v:shape>
              </w:pict>
            </w:r>
          </w:p>
        </w:tc>
      </w:tr>
    </w:tbl>
    <w:p w14:paraId="77D75E22" w14:textId="77777777" w:rsidR="00746815" w:rsidRDefault="00000000">
      <w:pPr>
        <w:pStyle w:val="Retraitcorpsdetexte"/>
        <w:pBdr>
          <w:bottom w:val="single" w:sz="4" w:space="12" w:color="auto"/>
        </w:pBdr>
        <w:tabs>
          <w:tab w:val="clear" w:pos="993"/>
          <w:tab w:val="clear" w:pos="2410"/>
        </w:tabs>
        <w:rPr>
          <w:rFonts w:ascii="Verdana" w:hAnsi="Verdana" w:cs="Times New Roman"/>
          <w:color w:val="auto"/>
        </w:rPr>
      </w:pPr>
      <w:r>
        <w:rPr>
          <w:rFonts w:ascii="Verdana" w:hAnsi="Verdana" w:cs="Times New Roman"/>
          <w:color w:val="auto"/>
        </w:rPr>
        <w:t>Résumé de l’expertise n° 2411-20447</w:t>
      </w:r>
    </w:p>
    <w:p w14:paraId="1C4328E7" w14:textId="77777777" w:rsidR="00746815" w:rsidRDefault="00746815">
      <w:pPr>
        <w:spacing w:after="120"/>
        <w:jc w:val="right"/>
        <w:rPr>
          <w:rFonts w:ascii="Verdana" w:hAnsi="Verdana"/>
          <w:sz w:val="8"/>
          <w:szCs w:val="8"/>
        </w:rPr>
      </w:pPr>
    </w:p>
    <w:tbl>
      <w:tblPr>
        <w:tblW w:w="10528" w:type="dxa"/>
        <w:tblInd w:w="-72" w:type="dxa"/>
        <w:tblBorders>
          <w:top w:val="nil"/>
          <w:left w:val="nil"/>
          <w:bottom w:val="nil"/>
          <w:right w:val="nil"/>
          <w:insideH w:val="single" w:sz="4" w:space="0" w:color="auto"/>
          <w:insideV w:val="single" w:sz="4" w:space="0" w:color="auto"/>
        </w:tblBorders>
        <w:tblLayout w:type="fixed"/>
        <w:tblLook w:val="04A0" w:firstRow="1" w:lastRow="0" w:firstColumn="1" w:lastColumn="0" w:noHBand="0" w:noVBand="1"/>
      </w:tblPr>
      <w:tblGrid>
        <w:gridCol w:w="10528"/>
      </w:tblGrid>
      <w:tr w:rsidR="00746815" w14:paraId="2049B5B5" w14:textId="77777777">
        <w:tc>
          <w:tcPr>
            <w:tcW w:w="10528" w:type="dxa"/>
            <w:shd w:val="clear" w:color="auto" w:fill="D9D9D9"/>
          </w:tcPr>
          <w:p w14:paraId="5784E4C8" w14:textId="77777777" w:rsidR="00746815" w:rsidRDefault="00000000">
            <w:pPr>
              <w:jc w:val="center"/>
              <w:rPr>
                <w:rFonts w:ascii="Verdana" w:hAnsi="Verdana"/>
                <w:sz w:val="20"/>
                <w:szCs w:val="20"/>
              </w:rPr>
            </w:pPr>
            <w:r>
              <w:rPr>
                <w:rFonts w:ascii="Calibri" w:hAnsi="Calibri" w:cs="Calibri"/>
                <w:b/>
                <w:bCs/>
                <w:color w:val="000000"/>
                <w:sz w:val="16"/>
                <w:szCs w:val="16"/>
              </w:rPr>
              <w:t>Les renseignements ci-dessous utilisés seuls ne sauraient engager la responsabilité de DIAG 75, et en aucun cas, ne peuvent se substituer aux rapports de diagnostics originaux. La note de synthèse ne dispense pas de la lecture attentive du rapport.</w:t>
            </w:r>
          </w:p>
        </w:tc>
      </w:tr>
    </w:tbl>
    <w:p w14:paraId="46CCAD8E" w14:textId="77777777" w:rsidR="00746815" w:rsidRDefault="00746815">
      <w:pPr>
        <w:pStyle w:val="En-tte0"/>
        <w:tabs>
          <w:tab w:val="clear" w:pos="4536"/>
          <w:tab w:val="clear" w:pos="9072"/>
        </w:tabs>
        <w:rPr>
          <w:rFonts w:ascii="Verdana" w:hAnsi="Verdana" w:cs="Times New Roman"/>
          <w:sz w:val="16"/>
          <w:szCs w:val="16"/>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bottom w:w="60" w:type="dxa"/>
        </w:tblCellMar>
        <w:tblLook w:val="01E0" w:firstRow="1" w:lastRow="1" w:firstColumn="1" w:lastColumn="1" w:noHBand="0" w:noVBand="0"/>
      </w:tblPr>
      <w:tblGrid>
        <w:gridCol w:w="10456"/>
      </w:tblGrid>
      <w:tr w:rsidR="00746815" w14:paraId="4DE14D3E" w14:textId="77777777">
        <w:trPr>
          <w:trHeight w:val="29"/>
        </w:trPr>
        <w:tc>
          <w:tcPr>
            <w:tcW w:w="10456" w:type="dxa"/>
            <w:tcBorders>
              <w:bottom w:val="single" w:sz="4" w:space="0" w:color="auto"/>
            </w:tcBorders>
            <w:shd w:val="clear" w:color="auto" w:fill="D9D9D9"/>
            <w:vAlign w:val="center"/>
          </w:tcPr>
          <w:p w14:paraId="352B0165" w14:textId="77777777" w:rsidR="00746815" w:rsidRDefault="00000000">
            <w:pPr>
              <w:pStyle w:val="xl33"/>
              <w:spacing w:before="0" w:beforeAutospacing="0" w:after="0" w:afterAutospacing="0"/>
              <w:rPr>
                <w:rFonts w:ascii="Verdana" w:hAnsi="Verdana" w:cs="Tahoma"/>
                <w:b w:val="0"/>
                <w:bCs w:val="0"/>
                <w:sz w:val="18"/>
                <w:szCs w:val="18"/>
              </w:rPr>
            </w:pPr>
            <w:r>
              <w:rPr>
                <w:rFonts w:ascii="Verdana" w:hAnsi="Verdana" w:cs="Tahoma"/>
                <w:b w:val="0"/>
                <w:bCs w:val="0"/>
                <w:sz w:val="22"/>
                <w:szCs w:val="22"/>
              </w:rPr>
              <w:t>Désignation du ou des bâtiments</w:t>
            </w:r>
          </w:p>
        </w:tc>
      </w:tr>
      <w:tr w:rsidR="00746815" w14:paraId="2C492037" w14:textId="77777777">
        <w:trPr>
          <w:trHeight w:val="1455"/>
        </w:trPr>
        <w:tc>
          <w:tcPr>
            <w:tcW w:w="10456" w:type="dxa"/>
            <w:tcBorders>
              <w:bottom w:val="single" w:sz="4" w:space="0" w:color="auto"/>
            </w:tcBorders>
            <w:vAlign w:val="center"/>
          </w:tcPr>
          <w:p w14:paraId="575D1D49" w14:textId="77777777" w:rsidR="00746815" w:rsidRDefault="00000000">
            <w:pPr>
              <w:pStyle w:val="xl33"/>
              <w:tabs>
                <w:tab w:val="left" w:leader="dot" w:pos="2880"/>
              </w:tabs>
              <w:spacing w:before="0" w:beforeAutospacing="0" w:after="0" w:afterAutospacing="0"/>
              <w:ind w:left="2880" w:hanging="2880"/>
              <w:rPr>
                <w:rFonts w:ascii="Verdana" w:hAnsi="Verdana" w:cs="Tahoma"/>
                <w:sz w:val="16"/>
                <w:szCs w:val="16"/>
              </w:rPr>
            </w:pPr>
            <w:r>
              <w:rPr>
                <w:rFonts w:ascii="Verdana" w:hAnsi="Verdana" w:cs="Tahoma"/>
                <w:b w:val="0"/>
                <w:bCs w:val="0"/>
                <w:i/>
                <w:sz w:val="16"/>
                <w:szCs w:val="16"/>
              </w:rPr>
              <w:t>Localisation du ou des bâtiments :</w:t>
            </w:r>
            <w:r>
              <w:rPr>
                <w:rFonts w:ascii="Verdana" w:hAnsi="Verdana" w:cs="Tahoma"/>
                <w:sz w:val="16"/>
                <w:szCs w:val="16"/>
              </w:rPr>
              <w:t xml:space="preserve"> </w:t>
            </w:r>
          </w:p>
          <w:p w14:paraId="2A396A97" w14:textId="77777777" w:rsidR="00746815" w:rsidRDefault="00000000">
            <w:pPr>
              <w:pStyle w:val="xl33"/>
              <w:tabs>
                <w:tab w:val="left" w:leader="dot" w:pos="2268"/>
              </w:tabs>
              <w:spacing w:before="0" w:beforeAutospacing="0" w:after="0" w:afterAutospacing="0"/>
              <w:ind w:left="2268" w:hanging="2268"/>
              <w:rPr>
                <w:rFonts w:ascii="Verdana" w:hAnsi="Verdana" w:cs="Tahoma"/>
                <w:sz w:val="16"/>
                <w:szCs w:val="16"/>
              </w:rPr>
            </w:pPr>
            <w:r>
              <w:rPr>
                <w:rFonts w:ascii="Verdana" w:hAnsi="Verdana" w:cs="Tahoma"/>
                <w:b w:val="0"/>
                <w:bCs w:val="0"/>
                <w:sz w:val="16"/>
                <w:szCs w:val="16"/>
              </w:rPr>
              <w:t>Adresse :</w:t>
            </w:r>
            <w:r>
              <w:rPr>
                <w:rFonts w:ascii="Verdana" w:hAnsi="Verdana" w:cs="Tahoma"/>
                <w:b w:val="0"/>
                <w:bCs w:val="0"/>
                <w:sz w:val="16"/>
                <w:szCs w:val="16"/>
              </w:rPr>
              <w:tab/>
            </w:r>
            <w:r>
              <w:rPr>
                <w:rFonts w:ascii="Verdana" w:hAnsi="Verdana" w:cs="Tahoma"/>
                <w:sz w:val="16"/>
                <w:szCs w:val="16"/>
              </w:rPr>
              <w:t>7 Rue des Cottages</w:t>
            </w:r>
          </w:p>
          <w:p w14:paraId="77BADA00" w14:textId="77777777" w:rsidR="00746815" w:rsidRDefault="00000000">
            <w:pPr>
              <w:pStyle w:val="xl33"/>
              <w:tabs>
                <w:tab w:val="left" w:leader="dot" w:pos="2268"/>
              </w:tabs>
              <w:spacing w:before="0" w:beforeAutospacing="0" w:after="0" w:afterAutospacing="0"/>
              <w:ind w:left="2268" w:hanging="2268"/>
              <w:rPr>
                <w:rFonts w:ascii="Verdana" w:hAnsi="Verdana" w:cs="Tahoma"/>
                <w:sz w:val="16"/>
                <w:szCs w:val="16"/>
              </w:rPr>
            </w:pPr>
            <w:r>
              <w:rPr>
                <w:rFonts w:ascii="Verdana" w:hAnsi="Verdana" w:cs="Tahoma"/>
                <w:b w:val="0"/>
                <w:bCs w:val="0"/>
                <w:sz w:val="16"/>
                <w:szCs w:val="16"/>
              </w:rPr>
              <w:t>Commune :</w:t>
            </w:r>
            <w:r>
              <w:rPr>
                <w:rFonts w:ascii="Verdana" w:hAnsi="Verdana" w:cs="Tahoma"/>
                <w:b w:val="0"/>
                <w:bCs w:val="0"/>
                <w:sz w:val="16"/>
                <w:szCs w:val="16"/>
              </w:rPr>
              <w:tab/>
            </w:r>
            <w:r>
              <w:rPr>
                <w:rFonts w:ascii="Verdana" w:hAnsi="Verdana" w:cs="Tahoma"/>
                <w:sz w:val="16"/>
                <w:szCs w:val="16"/>
              </w:rPr>
              <w:t>75018 PARIS</w:t>
            </w:r>
          </w:p>
          <w:p w14:paraId="564A2636" w14:textId="77777777" w:rsidR="00746815" w:rsidRDefault="00000000">
            <w:pPr>
              <w:pStyle w:val="xl33"/>
              <w:tabs>
                <w:tab w:val="left" w:pos="2880"/>
              </w:tabs>
              <w:spacing w:before="0" w:beforeAutospacing="0" w:after="0" w:afterAutospacing="0"/>
              <w:ind w:left="2880" w:hanging="2880"/>
              <w:rPr>
                <w:rFonts w:ascii="Verdana" w:hAnsi="Verdana" w:cs="Tahoma"/>
                <w:b w:val="0"/>
                <w:bCs w:val="0"/>
                <w:sz w:val="16"/>
                <w:szCs w:val="16"/>
              </w:rPr>
            </w:pPr>
            <w:r>
              <w:rPr>
                <w:rFonts w:ascii="Verdana" w:hAnsi="Verdana" w:cs="Tahoma"/>
                <w:b w:val="0"/>
                <w:bCs w:val="0"/>
                <w:sz w:val="16"/>
                <w:szCs w:val="16"/>
              </w:rPr>
              <w:t>Situation du ou des lot(s) de copropriété :</w:t>
            </w:r>
          </w:p>
          <w:p w14:paraId="75A8DB54" w14:textId="77777777" w:rsidR="00746815" w:rsidRDefault="00000000">
            <w:pPr>
              <w:pStyle w:val="xl33"/>
              <w:tabs>
                <w:tab w:val="left" w:pos="2268"/>
              </w:tabs>
              <w:spacing w:before="0" w:beforeAutospacing="0" w:after="0" w:afterAutospacing="0"/>
              <w:ind w:left="2268" w:hanging="2268"/>
              <w:rPr>
                <w:rFonts w:ascii="Verdana" w:hAnsi="Verdana" w:cs="Tahoma"/>
                <w:b w:val="0"/>
                <w:bCs w:val="0"/>
                <w:sz w:val="16"/>
                <w:szCs w:val="16"/>
              </w:rPr>
            </w:pPr>
            <w:r>
              <w:rPr>
                <w:rFonts w:ascii="Verdana" w:hAnsi="Verdana" w:cs="Tahoma"/>
                <w:b w:val="0"/>
                <w:bCs w:val="0"/>
                <w:sz w:val="16"/>
                <w:szCs w:val="16"/>
              </w:rPr>
              <w:tab/>
            </w:r>
            <w:r>
              <w:rPr>
                <w:rFonts w:ascii="Verdana" w:hAnsi="Verdana" w:cs="Tahoma"/>
                <w:sz w:val="16"/>
                <w:szCs w:val="16"/>
              </w:rPr>
              <w:t xml:space="preserve">Etage : 7 ; </w:t>
            </w:r>
          </w:p>
          <w:p w14:paraId="69F30D10" w14:textId="77777777" w:rsidR="00746815" w:rsidRDefault="00000000">
            <w:pPr>
              <w:pStyle w:val="xl33"/>
              <w:tabs>
                <w:tab w:val="left" w:leader="dot" w:pos="2268"/>
              </w:tabs>
              <w:spacing w:before="0" w:beforeAutospacing="0" w:after="0" w:afterAutospacing="0"/>
              <w:ind w:left="2268" w:hanging="2268"/>
              <w:rPr>
                <w:rFonts w:ascii="Verdana" w:hAnsi="Verdana" w:cs="Tahoma"/>
                <w:b w:val="0"/>
                <w:bCs w:val="0"/>
                <w:sz w:val="16"/>
                <w:szCs w:val="16"/>
              </w:rPr>
            </w:pPr>
            <w:r>
              <w:rPr>
                <w:rFonts w:ascii="Verdana" w:hAnsi="Verdana" w:cs="Tahoma"/>
                <w:b w:val="0"/>
                <w:bCs w:val="0"/>
                <w:sz w:val="16"/>
                <w:szCs w:val="16"/>
              </w:rPr>
              <w:t>Périmètre de repérage :</w:t>
            </w:r>
            <w:r>
              <w:rPr>
                <w:rFonts w:ascii="Verdana" w:hAnsi="Verdana" w:cs="Tahoma"/>
                <w:b w:val="0"/>
                <w:bCs w:val="0"/>
                <w:sz w:val="16"/>
                <w:szCs w:val="16"/>
              </w:rPr>
              <w:tab/>
            </w:r>
            <w:r>
              <w:rPr>
                <w:rFonts w:ascii="Verdana" w:hAnsi="Verdana" w:cs="Tahoma"/>
                <w:sz w:val="16"/>
                <w:szCs w:val="16"/>
              </w:rPr>
              <w:t>Toutes parties accessibles sans démontage ni destruction</w:t>
            </w:r>
          </w:p>
        </w:tc>
      </w:tr>
    </w:tbl>
    <w:p w14:paraId="0C65AC0F" w14:textId="77777777" w:rsidR="00746815" w:rsidRDefault="00746815">
      <w:pPr>
        <w:pStyle w:val="Titre5"/>
        <w:tabs>
          <w:tab w:val="clear" w:pos="993"/>
          <w:tab w:val="clear" w:pos="2410"/>
        </w:tabs>
        <w:spacing w:before="0" w:after="0"/>
        <w:rPr>
          <w:rFonts w:ascii="Verdana" w:hAnsi="Verdana"/>
          <w:smallCaps w:val="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9"/>
        <w:gridCol w:w="6487"/>
      </w:tblGrid>
      <w:tr w:rsidR="00746815" w14:paraId="600EB2DE" w14:textId="77777777">
        <w:trPr>
          <w:cantSplit/>
          <w:trHeight w:val="283"/>
        </w:trPr>
        <w:tc>
          <w:tcPr>
            <w:tcW w:w="3969" w:type="dxa"/>
            <w:shd w:val="clear" w:color="auto" w:fill="D9D9D9"/>
            <w:vAlign w:val="center"/>
          </w:tcPr>
          <w:p w14:paraId="33867944" w14:textId="77777777" w:rsidR="00746815" w:rsidRDefault="00000000">
            <w:pPr>
              <w:jc w:val="center"/>
              <w:rPr>
                <w:rFonts w:ascii="Verdana" w:hAnsi="Verdana"/>
                <w:b/>
                <w:bCs/>
                <w:sz w:val="20"/>
                <w:szCs w:val="20"/>
              </w:rPr>
            </w:pPr>
            <w:r>
              <w:rPr>
                <w:rFonts w:ascii="Verdana" w:hAnsi="Verdana" w:cs="Tahoma"/>
                <w:sz w:val="22"/>
                <w:szCs w:val="22"/>
              </w:rPr>
              <w:t>Prestations</w:t>
            </w:r>
          </w:p>
        </w:tc>
        <w:tc>
          <w:tcPr>
            <w:tcW w:w="6487" w:type="dxa"/>
            <w:shd w:val="clear" w:color="auto" w:fill="D9D9D9"/>
            <w:vAlign w:val="center"/>
          </w:tcPr>
          <w:p w14:paraId="48E6F9EC" w14:textId="77777777" w:rsidR="00746815" w:rsidRDefault="00000000">
            <w:pPr>
              <w:jc w:val="center"/>
              <w:rPr>
                <w:rFonts w:ascii="Verdana" w:hAnsi="Verdana" w:cs="Tahoma"/>
                <w:sz w:val="22"/>
                <w:szCs w:val="22"/>
              </w:rPr>
            </w:pPr>
            <w:r>
              <w:rPr>
                <w:rFonts w:ascii="Verdana" w:hAnsi="Verdana" w:cs="Tahoma"/>
                <w:sz w:val="22"/>
                <w:szCs w:val="22"/>
              </w:rPr>
              <w:t>Conclusion</w:t>
            </w:r>
          </w:p>
        </w:tc>
      </w:tr>
      <w:tr w:rsidR="00746815" w14:paraId="637CC380" w14:textId="77777777">
        <w:trPr>
          <w:cantSplit/>
          <w:trHeight w:val="30"/>
        </w:trPr>
        <w:tc>
          <w:tcPr>
            <w:tcW w:w="3969" w:type="dxa"/>
            <w:tcMar>
              <w:top w:w="40" w:type="dxa"/>
              <w:bottom w:w="40" w:type="dxa"/>
            </w:tcMar>
            <w:vAlign w:val="center"/>
          </w:tcPr>
          <w:p w14:paraId="2EF0CA36" w14:textId="77777777" w:rsidR="00746815" w:rsidRDefault="00000000">
            <w:pPr>
              <w:rPr>
                <w:rFonts w:ascii="Verdana" w:hAnsi="Verdana"/>
                <w:sz w:val="20"/>
                <w:szCs w:val="20"/>
              </w:rPr>
            </w:pPr>
            <w:r>
              <w:rPr>
                <w:rFonts w:ascii="Verdana" w:hAnsi="Verdana"/>
                <w:sz w:val="20"/>
                <w:szCs w:val="20"/>
              </w:rPr>
              <w:t>Etat Amiante</w:t>
            </w:r>
          </w:p>
        </w:tc>
        <w:tc>
          <w:tcPr>
            <w:tcW w:w="6487" w:type="dxa"/>
            <w:tcMar>
              <w:top w:w="40" w:type="dxa"/>
              <w:bottom w:w="40" w:type="dxa"/>
            </w:tcMar>
            <w:vAlign w:val="center"/>
          </w:tcPr>
          <w:p w14:paraId="668A521B" w14:textId="77777777" w:rsidR="00746815" w:rsidRDefault="00000000">
            <w:pPr>
              <w:rPr>
                <w:rFonts w:ascii="Verdana" w:hAnsi="Verdana"/>
                <w:sz w:val="16"/>
                <w:szCs w:val="16"/>
              </w:rPr>
            </w:pPr>
            <w:r>
              <w:rPr>
                <w:rFonts w:ascii="Verdana" w:hAnsi="Verdana"/>
                <w:sz w:val="16"/>
                <w:szCs w:val="16"/>
              </w:rPr>
              <w:t>Dans le cadre de la mission, il n'a pas été repéré de matériaux et produits susceptibles de contenir de l'amiante.</w:t>
            </w:r>
          </w:p>
        </w:tc>
      </w:tr>
      <w:tr w:rsidR="00746815" w14:paraId="28A75F94" w14:textId="77777777">
        <w:trPr>
          <w:cantSplit/>
          <w:trHeight w:val="30"/>
        </w:trPr>
        <w:tc>
          <w:tcPr>
            <w:tcW w:w="3969" w:type="dxa"/>
            <w:tcMar>
              <w:top w:w="40" w:type="dxa"/>
              <w:bottom w:w="40" w:type="dxa"/>
            </w:tcMar>
            <w:vAlign w:val="center"/>
          </w:tcPr>
          <w:p w14:paraId="446502B5" w14:textId="77777777" w:rsidR="00746815" w:rsidRDefault="00000000">
            <w:pPr>
              <w:rPr>
                <w:rFonts w:ascii="Verdana" w:hAnsi="Verdana"/>
                <w:sz w:val="20"/>
                <w:szCs w:val="20"/>
              </w:rPr>
            </w:pPr>
            <w:r>
              <w:rPr>
                <w:rFonts w:ascii="Verdana" w:hAnsi="Verdana"/>
                <w:sz w:val="20"/>
                <w:szCs w:val="20"/>
              </w:rPr>
              <w:t>Etat Termites</w:t>
            </w:r>
          </w:p>
        </w:tc>
        <w:tc>
          <w:tcPr>
            <w:tcW w:w="6487" w:type="dxa"/>
            <w:tcMar>
              <w:top w:w="40" w:type="dxa"/>
              <w:bottom w:w="40" w:type="dxa"/>
            </w:tcMar>
            <w:vAlign w:val="center"/>
          </w:tcPr>
          <w:p w14:paraId="7225A13C" w14:textId="77777777" w:rsidR="00746815" w:rsidRDefault="00000000">
            <w:pPr>
              <w:rPr>
                <w:rFonts w:ascii="Verdana" w:hAnsi="Verdana"/>
                <w:sz w:val="16"/>
                <w:szCs w:val="16"/>
              </w:rPr>
            </w:pPr>
            <w:r>
              <w:rPr>
                <w:rFonts w:ascii="Verdana" w:hAnsi="Verdana"/>
                <w:sz w:val="16"/>
                <w:szCs w:val="16"/>
              </w:rPr>
              <w:t>Il n'a pas été repéré d'indice d'infestation de termites.</w:t>
            </w:r>
          </w:p>
        </w:tc>
      </w:tr>
      <w:tr w:rsidR="00746815" w14:paraId="0866426C" w14:textId="77777777">
        <w:trPr>
          <w:cantSplit/>
          <w:trHeight w:val="30"/>
        </w:trPr>
        <w:tc>
          <w:tcPr>
            <w:tcW w:w="3969" w:type="dxa"/>
            <w:tcMar>
              <w:top w:w="40" w:type="dxa"/>
              <w:bottom w:w="40" w:type="dxa"/>
            </w:tcMar>
            <w:vAlign w:val="center"/>
          </w:tcPr>
          <w:p w14:paraId="380A7015" w14:textId="77777777" w:rsidR="00746815" w:rsidRDefault="00000000">
            <w:pPr>
              <w:rPr>
                <w:rFonts w:ascii="Verdana" w:hAnsi="Verdana"/>
                <w:sz w:val="20"/>
                <w:szCs w:val="20"/>
              </w:rPr>
            </w:pPr>
            <w:r>
              <w:rPr>
                <w:rFonts w:ascii="Verdana" w:hAnsi="Verdana"/>
                <w:sz w:val="20"/>
                <w:szCs w:val="20"/>
              </w:rPr>
              <w:t>Etat des Risques et Pollutions</w:t>
            </w:r>
          </w:p>
        </w:tc>
        <w:tc>
          <w:tcPr>
            <w:tcW w:w="6487" w:type="dxa"/>
            <w:tcMar>
              <w:top w:w="40" w:type="dxa"/>
              <w:bottom w:w="40" w:type="dxa"/>
            </w:tcMar>
            <w:vAlign w:val="center"/>
          </w:tcPr>
          <w:p w14:paraId="037A9BC4" w14:textId="77777777" w:rsidR="00746815" w:rsidRDefault="00000000">
            <w:pPr>
              <w:rPr>
                <w:rFonts w:ascii="Verdana" w:hAnsi="Verdana"/>
                <w:sz w:val="16"/>
                <w:szCs w:val="16"/>
              </w:rPr>
            </w:pPr>
            <w:r>
              <w:rPr>
                <w:rFonts w:ascii="Verdana" w:hAnsi="Verdana"/>
                <w:sz w:val="16"/>
                <w:szCs w:val="16"/>
              </w:rPr>
              <w:t>Le bien est situé dans le périmètre d'un plan de prévention des risques naturels (Mouvement de terrain, Autres: Zone comportant des poches de gypse antéludien (PPRn), anciennes carrières)</w:t>
            </w:r>
          </w:p>
          <w:p w14:paraId="11B66248" w14:textId="77777777" w:rsidR="00746815" w:rsidRDefault="00000000">
            <w:r>
              <w:rPr>
                <w:rFonts w:ascii="Verdana" w:hAnsi="Verdana"/>
                <w:sz w:val="16"/>
                <w:szCs w:val="16"/>
              </w:rPr>
              <w:t>Le bien n'est pas situé dans le périmètre d'un plan de prévention des risques miniers</w:t>
            </w:r>
          </w:p>
          <w:p w14:paraId="1CE520DA" w14:textId="77777777" w:rsidR="00746815" w:rsidRDefault="00000000">
            <w:r>
              <w:rPr>
                <w:rFonts w:ascii="Verdana" w:hAnsi="Verdana"/>
                <w:sz w:val="16"/>
                <w:szCs w:val="16"/>
              </w:rPr>
              <w:t>Le bien n'est pas situé dans le périmètre d'un plan de prévention des risques technologiques</w:t>
            </w:r>
          </w:p>
          <w:p w14:paraId="1D2A039E" w14:textId="77777777" w:rsidR="00746815" w:rsidRDefault="00000000">
            <w:r>
              <w:rPr>
                <w:rFonts w:ascii="Verdana" w:hAnsi="Verdana"/>
                <w:sz w:val="16"/>
                <w:szCs w:val="16"/>
              </w:rPr>
              <w:t>Zone sismique définie en zone 1 selon la règlementation parasismique 2011</w:t>
            </w:r>
          </w:p>
          <w:p w14:paraId="6FD9959E" w14:textId="77777777" w:rsidR="00746815" w:rsidRDefault="00000000">
            <w:r>
              <w:rPr>
                <w:rFonts w:ascii="Verdana" w:hAnsi="Verdana"/>
                <w:sz w:val="16"/>
                <w:szCs w:val="16"/>
              </w:rPr>
              <w:t>ENSA : L'immeuble n'est pas concerné par un plan d'exposition aux bruits</w:t>
            </w:r>
          </w:p>
          <w:p w14:paraId="094DCAB5" w14:textId="77777777" w:rsidR="00746815" w:rsidRDefault="00000000">
            <w:r>
              <w:rPr>
                <w:rFonts w:ascii="Verdana" w:hAnsi="Verdana"/>
                <w:sz w:val="16"/>
                <w:szCs w:val="16"/>
              </w:rPr>
              <w:t>ENSA : Aucune nuisance aérienne n'a été identifiée sur le bien</w:t>
            </w:r>
          </w:p>
        </w:tc>
      </w:tr>
      <w:tr w:rsidR="00746815" w14:paraId="400C6274" w14:textId="77777777">
        <w:trPr>
          <w:cantSplit/>
          <w:trHeight w:val="30"/>
        </w:trPr>
        <w:tc>
          <w:tcPr>
            <w:tcW w:w="3969" w:type="dxa"/>
            <w:tcMar>
              <w:top w:w="40" w:type="dxa"/>
              <w:bottom w:w="40" w:type="dxa"/>
            </w:tcMar>
            <w:vAlign w:val="center"/>
          </w:tcPr>
          <w:p w14:paraId="560ED358" w14:textId="77777777" w:rsidR="00746815" w:rsidRDefault="00000000">
            <w:pPr>
              <w:rPr>
                <w:rFonts w:ascii="Verdana" w:hAnsi="Verdana"/>
                <w:sz w:val="20"/>
                <w:szCs w:val="20"/>
              </w:rPr>
            </w:pPr>
            <w:r>
              <w:rPr>
                <w:rFonts w:ascii="Verdana" w:hAnsi="Verdana"/>
                <w:sz w:val="20"/>
                <w:szCs w:val="20"/>
              </w:rPr>
              <w:t>DPE</w:t>
            </w:r>
          </w:p>
        </w:tc>
        <w:tc>
          <w:tcPr>
            <w:tcW w:w="6487" w:type="dxa"/>
            <w:tcMar>
              <w:top w:w="40" w:type="dxa"/>
              <w:bottom w:w="40" w:type="dxa"/>
            </w:tcMar>
            <w:vAlign w:val="center"/>
          </w:tcPr>
          <w:p w14:paraId="11CEB3F5" w14:textId="77777777" w:rsidR="00746815" w:rsidRDefault="00000000">
            <w:pPr>
              <w:rPr>
                <w:rFonts w:ascii="Verdana" w:hAnsi="Verdana"/>
                <w:sz w:val="16"/>
                <w:szCs w:val="16"/>
              </w:rPr>
            </w:pPr>
            <w:r>
              <w:rPr>
                <w:rFonts w:ascii="Verdana" w:hAnsi="Verdana"/>
                <w:sz w:val="16"/>
                <w:szCs w:val="16"/>
              </w:rPr>
              <w:t>Consommation conventionnelle : 358 kWh ep/m².an (Classe F)</w:t>
            </w:r>
          </w:p>
          <w:p w14:paraId="41DA8171" w14:textId="77777777" w:rsidR="00746815" w:rsidRDefault="00000000">
            <w:r>
              <w:rPr>
                <w:rFonts w:ascii="Verdana" w:hAnsi="Verdana"/>
                <w:sz w:val="16"/>
                <w:szCs w:val="16"/>
              </w:rPr>
              <w:t>Estimation des émissions : 74 kg eqCO2/m².an (Classe F)</w:t>
            </w:r>
          </w:p>
          <w:p w14:paraId="76A491CE" w14:textId="77777777" w:rsidR="00746815" w:rsidRDefault="00000000">
            <w:r>
              <w:rPr>
                <w:rFonts w:ascii="Verdana" w:hAnsi="Verdana"/>
                <w:sz w:val="16"/>
                <w:szCs w:val="16"/>
              </w:rPr>
              <w:t>Estimation des coûts annuels : entre 1 190 € et 1 660 € par an, prix moyens des énergies indexés sur les années 2021, 2022, 2023</w:t>
            </w:r>
          </w:p>
          <w:p w14:paraId="227A9029" w14:textId="77777777" w:rsidR="00746815" w:rsidRDefault="00000000">
            <w:r>
              <w:rPr>
                <w:rFonts w:ascii="Verdana" w:hAnsi="Verdana"/>
                <w:sz w:val="16"/>
                <w:szCs w:val="16"/>
              </w:rPr>
              <w:t>Méthode : 3CL-DPE 2021</w:t>
            </w:r>
          </w:p>
          <w:p w14:paraId="52F94657" w14:textId="77777777" w:rsidR="00746815" w:rsidRDefault="00000000">
            <w:r>
              <w:rPr>
                <w:rFonts w:ascii="Verdana" w:hAnsi="Verdana"/>
                <w:sz w:val="16"/>
                <w:szCs w:val="16"/>
              </w:rPr>
              <w:t>N° ADEME : 2475E4088810Y</w:t>
            </w:r>
          </w:p>
        </w:tc>
      </w:tr>
      <w:tr w:rsidR="00746815" w14:paraId="1BAD00DB" w14:textId="77777777">
        <w:trPr>
          <w:cantSplit/>
          <w:trHeight w:val="30"/>
        </w:trPr>
        <w:tc>
          <w:tcPr>
            <w:tcW w:w="3969" w:type="dxa"/>
            <w:tcMar>
              <w:top w:w="40" w:type="dxa"/>
              <w:bottom w:w="40" w:type="dxa"/>
            </w:tcMar>
            <w:vAlign w:val="center"/>
          </w:tcPr>
          <w:p w14:paraId="3629D6BB" w14:textId="77777777" w:rsidR="00746815" w:rsidRDefault="00000000">
            <w:pPr>
              <w:rPr>
                <w:rFonts w:ascii="Verdana" w:hAnsi="Verdana"/>
                <w:sz w:val="20"/>
                <w:szCs w:val="20"/>
              </w:rPr>
            </w:pPr>
            <w:r>
              <w:rPr>
                <w:rFonts w:ascii="Verdana" w:hAnsi="Verdana"/>
                <w:sz w:val="20"/>
                <w:szCs w:val="20"/>
              </w:rPr>
              <w:t>Electricité</w:t>
            </w:r>
          </w:p>
        </w:tc>
        <w:tc>
          <w:tcPr>
            <w:tcW w:w="6487" w:type="dxa"/>
            <w:tcMar>
              <w:top w:w="40" w:type="dxa"/>
              <w:bottom w:w="40" w:type="dxa"/>
            </w:tcMar>
            <w:vAlign w:val="center"/>
          </w:tcPr>
          <w:p w14:paraId="7E1F8E8F" w14:textId="77777777" w:rsidR="00746815" w:rsidRDefault="00000000">
            <w:pPr>
              <w:rPr>
                <w:rFonts w:ascii="Verdana" w:hAnsi="Verdana"/>
                <w:sz w:val="16"/>
                <w:szCs w:val="16"/>
              </w:rPr>
            </w:pPr>
            <w:r>
              <w:rPr>
                <w:rFonts w:ascii="Verdana" w:hAnsi="Verdana"/>
                <w:sz w:val="16"/>
                <w:szCs w:val="16"/>
              </w:rPr>
              <w:t>L'installation intérieure d'électricité comporte une ou des anomalies pour laquelle ou lesquelles il est vivement recommandé d'agir afin d'éliminer les dangers qu'elle(s) présente(nt).</w:t>
            </w:r>
          </w:p>
        </w:tc>
      </w:tr>
      <w:tr w:rsidR="00746815" w14:paraId="7547AF80" w14:textId="77777777">
        <w:trPr>
          <w:cantSplit/>
          <w:trHeight w:val="30"/>
        </w:trPr>
        <w:tc>
          <w:tcPr>
            <w:tcW w:w="3969" w:type="dxa"/>
            <w:tcMar>
              <w:top w:w="40" w:type="dxa"/>
              <w:bottom w:w="40" w:type="dxa"/>
            </w:tcMar>
            <w:vAlign w:val="center"/>
          </w:tcPr>
          <w:p w14:paraId="5706A39B" w14:textId="77777777" w:rsidR="00746815" w:rsidRDefault="00000000">
            <w:pPr>
              <w:rPr>
                <w:rFonts w:ascii="Verdana" w:hAnsi="Verdana"/>
                <w:sz w:val="20"/>
                <w:szCs w:val="20"/>
              </w:rPr>
            </w:pPr>
            <w:r>
              <w:rPr>
                <w:rFonts w:ascii="Verdana" w:hAnsi="Verdana"/>
                <w:sz w:val="20"/>
                <w:szCs w:val="20"/>
              </w:rPr>
              <w:t>Mesurage (surface Loi Carrez)</w:t>
            </w:r>
          </w:p>
        </w:tc>
        <w:tc>
          <w:tcPr>
            <w:tcW w:w="6487" w:type="dxa"/>
            <w:tcMar>
              <w:top w:w="40" w:type="dxa"/>
              <w:bottom w:w="40" w:type="dxa"/>
            </w:tcMar>
            <w:vAlign w:val="center"/>
          </w:tcPr>
          <w:p w14:paraId="34BF472D" w14:textId="77777777" w:rsidR="00746815" w:rsidRDefault="00000000">
            <w:pPr>
              <w:rPr>
                <w:rFonts w:ascii="Verdana" w:hAnsi="Verdana"/>
                <w:sz w:val="16"/>
                <w:szCs w:val="16"/>
              </w:rPr>
            </w:pPr>
            <w:r>
              <w:rPr>
                <w:rFonts w:ascii="Verdana" w:hAnsi="Verdana"/>
                <w:sz w:val="16"/>
                <w:szCs w:val="16"/>
              </w:rPr>
              <w:t>Superficie Loi Carrez totale : 41,12 m²</w:t>
            </w:r>
          </w:p>
          <w:p w14:paraId="291A6955" w14:textId="77777777" w:rsidR="00746815" w:rsidRDefault="00000000">
            <w:r>
              <w:rPr>
                <w:rFonts w:ascii="Verdana" w:hAnsi="Verdana"/>
                <w:sz w:val="16"/>
                <w:szCs w:val="16"/>
              </w:rPr>
              <w:t>Surface au sol totale : 41,12 m²</w:t>
            </w:r>
          </w:p>
        </w:tc>
      </w:tr>
    </w:tbl>
    <w:p w14:paraId="5A24C898" w14:textId="77777777" w:rsidR="00746815" w:rsidRDefault="00746815"/>
    <w:tbl>
      <w:tblPr>
        <w:tblW w:w="6034" w:type="dxa"/>
        <w:jc w:val="center"/>
        <w:tblBorders>
          <w:top w:val="nil"/>
          <w:left w:val="nil"/>
          <w:bottom w:val="nil"/>
          <w:right w:val="nil"/>
          <w:insideH w:val="nil"/>
          <w:insideV w:val="nil"/>
        </w:tblBorders>
        <w:tblLayout w:type="fixed"/>
        <w:tblCellMar>
          <w:left w:w="70" w:type="dxa"/>
          <w:right w:w="70" w:type="dxa"/>
        </w:tblCellMar>
        <w:tblLook w:val="0000" w:firstRow="0" w:lastRow="0" w:firstColumn="0" w:lastColumn="0" w:noHBand="0" w:noVBand="0"/>
      </w:tblPr>
      <w:tblGrid>
        <w:gridCol w:w="2836"/>
        <w:gridCol w:w="269"/>
        <w:gridCol w:w="2929"/>
      </w:tblGrid>
      <w:tr w:rsidR="00746815" w14:paraId="57DF94CD" w14:textId="77777777">
        <w:trPr>
          <w:trHeight w:hRule="exact" w:val="2390"/>
          <w:jc w:val="center"/>
        </w:trPr>
        <w:tc>
          <w:tcPr>
            <w:tcW w:w="2836" w:type="dxa"/>
            <w:vAlign w:val="center"/>
          </w:tcPr>
          <w:p w14:paraId="50305C3D" w14:textId="21A669BE" w:rsidR="00746815" w:rsidRDefault="00000000">
            <w:pPr>
              <w:pStyle w:val="En-tte"/>
              <w:tabs>
                <w:tab w:val="clear" w:pos="4536"/>
                <w:tab w:val="clear" w:pos="9072"/>
              </w:tabs>
              <w:jc w:val="center"/>
              <w:rPr>
                <w:rFonts w:ascii="Verdana" w:hAnsi="Verdana" w:cs="Arial"/>
              </w:rPr>
            </w:pPr>
            <w:r w:rsidRPr="002A03EE">
              <w:rPr>
                <w:noProof/>
              </w:rPr>
              <w:pict w14:anchorId="4093888F">
                <v:shape id="Picture 3" o:spid="_x0000_i1026" type="#_x0000_t75" style="width:135pt;height:105.6pt;visibility:visible;mso-wrap-style:square">
                  <v:imagedata r:id="rId7" o:title=""/>
                </v:shape>
              </w:pict>
            </w:r>
          </w:p>
        </w:tc>
        <w:tc>
          <w:tcPr>
            <w:tcW w:w="269" w:type="dxa"/>
            <w:vAlign w:val="center"/>
          </w:tcPr>
          <w:p w14:paraId="6A4F7503" w14:textId="77777777" w:rsidR="00746815" w:rsidRDefault="00746815">
            <w:pPr>
              <w:pStyle w:val="En-tte"/>
              <w:tabs>
                <w:tab w:val="clear" w:pos="4536"/>
                <w:tab w:val="clear" w:pos="9072"/>
              </w:tabs>
              <w:jc w:val="center"/>
              <w:rPr>
                <w:rFonts w:ascii="Verdana" w:hAnsi="Verdana" w:cs="Arial"/>
              </w:rPr>
            </w:pPr>
          </w:p>
        </w:tc>
        <w:tc>
          <w:tcPr>
            <w:tcW w:w="2929" w:type="dxa"/>
            <w:vAlign w:val="center"/>
          </w:tcPr>
          <w:p w14:paraId="0548E0AA" w14:textId="586F0436" w:rsidR="00746815" w:rsidRDefault="00000000">
            <w:pPr>
              <w:pStyle w:val="En-tte"/>
              <w:tabs>
                <w:tab w:val="clear" w:pos="4536"/>
                <w:tab w:val="clear" w:pos="9072"/>
              </w:tabs>
              <w:jc w:val="center"/>
              <w:rPr>
                <w:rFonts w:ascii="Verdana" w:hAnsi="Verdana" w:cs="Arial"/>
              </w:rPr>
            </w:pPr>
            <w:r w:rsidRPr="002A03EE">
              <w:rPr>
                <w:noProof/>
              </w:rPr>
              <w:pict w14:anchorId="6D50CB88">
                <v:shape id="Picture 5" o:spid="_x0000_i1025" type="#_x0000_t75" style="width:112.8pt;height:120pt;visibility:visible;mso-wrap-style:square">
                  <v:imagedata r:id="rId8" o:title=""/>
                </v:shape>
              </w:pict>
            </w:r>
          </w:p>
        </w:tc>
      </w:tr>
    </w:tbl>
    <w:p w14:paraId="529EB906" w14:textId="77777777" w:rsidR="00746815" w:rsidRDefault="00000000">
      <w:pPr>
        <w:rPr>
          <w:b/>
          <w:bCs/>
          <w:sz w:val="16"/>
          <w:szCs w:val="16"/>
        </w:rPr>
      </w:pPr>
      <w:r>
        <w:rPr>
          <w:b/>
          <w:bCs/>
          <w:sz w:val="16"/>
          <w:szCs w:val="16"/>
        </w:rPr>
        <w:t>Etat rédigé à PARIS, le 20/11/2024</w:t>
      </w:r>
    </w:p>
    <w:p w14:paraId="2E2D0AF9" w14:textId="77777777" w:rsidR="00746815" w:rsidRDefault="00746815">
      <w:pPr>
        <w:rPr>
          <w:sz w:val="16"/>
          <w:szCs w:val="16"/>
        </w:rPr>
      </w:pPr>
    </w:p>
    <w:sectPr w:rsidR="00746815">
      <w:headerReference w:type="default" r:id="rId9"/>
      <w:footerReference w:type="default" r:id="rId10"/>
      <w:pgSz w:w="11907" w:h="16840" w:code="9"/>
      <w:pgMar w:top="851" w:right="851" w:bottom="851" w:left="1134" w:header="680" w:footer="680"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E8880" w14:textId="77777777" w:rsidR="00614CC0" w:rsidRDefault="00614CC0">
      <w:r>
        <w:separator/>
      </w:r>
    </w:p>
  </w:endnote>
  <w:endnote w:type="continuationSeparator" w:id="0">
    <w:p w14:paraId="0D4F25C7" w14:textId="77777777" w:rsidR="00614CC0" w:rsidRDefault="0061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980" w:type="dxa"/>
      <w:tblInd w:w="-432" w:type="dxa"/>
      <w:tblBorders>
        <w:top w:val="nil"/>
        <w:left w:val="nil"/>
        <w:bottom w:val="nil"/>
        <w:right w:val="nil"/>
        <w:insideH w:val="nil"/>
        <w:insideV w:val="nil"/>
      </w:tblBorders>
      <w:tblLook w:val="01E0" w:firstRow="1" w:lastRow="1" w:firstColumn="1" w:lastColumn="1" w:noHBand="0" w:noVBand="0"/>
    </w:tblPr>
    <w:tblGrid>
      <w:gridCol w:w="10980"/>
    </w:tblGrid>
    <w:tr w:rsidR="00746815" w14:paraId="4B0E0F0E" w14:textId="77777777">
      <w:tc>
        <w:tcPr>
          <w:tcW w:w="10980" w:type="dxa"/>
          <w:tcMar>
            <w:top w:w="85" w:type="dxa"/>
          </w:tcMar>
        </w:tcPr>
        <w:p w14:paraId="58064FA6" w14:textId="77777777" w:rsidR="00746815" w:rsidRDefault="00000000">
          <w:pPr>
            <w:pStyle w:val="En-tte"/>
            <w:tabs>
              <w:tab w:val="clear" w:pos="4536"/>
              <w:tab w:val="clear" w:pos="9072"/>
            </w:tabs>
            <w:jc w:val="center"/>
            <w:rPr>
              <w:rFonts w:ascii="Calibri" w:hAnsi="Calibri" w:cs="Calibri"/>
              <w:sz w:val="16"/>
              <w:szCs w:val="16"/>
            </w:rPr>
          </w:pPr>
          <w:r>
            <w:rPr>
              <w:rFonts w:ascii="Calibri" w:hAnsi="Calibri" w:cs="Calibri"/>
              <w:sz w:val="16"/>
              <w:szCs w:val="16"/>
            </w:rPr>
            <w:t>DIAG 75 | TMM - 33, avenue du Maine 75015 PARIS | Tél. : 0142541864 -  | RCS :  522373430 | Assurance : AXA n° 10592956604</w:t>
          </w:r>
        </w:p>
        <w:p w14:paraId="052A83C7" w14:textId="77777777" w:rsidR="00746815" w:rsidRDefault="00000000">
          <w:pPr>
            <w:pStyle w:val="En-tte"/>
            <w:tabs>
              <w:tab w:val="clear" w:pos="4536"/>
              <w:tab w:val="clear" w:pos="9072"/>
            </w:tabs>
            <w:jc w:val="center"/>
            <w:rPr>
              <w:rFonts w:ascii="Calibri" w:hAnsi="Calibri" w:cs="Calibri"/>
            </w:rPr>
          </w:pPr>
          <w:r>
            <w:rPr>
              <w:rFonts w:ascii="Calibri" w:hAnsi="Calibri" w:cs="Calibri"/>
            </w:rPr>
            <w:t>info@diag75.com</w:t>
          </w:r>
        </w:p>
      </w:tc>
    </w:tr>
  </w:tbl>
  <w:p w14:paraId="75647AE7" w14:textId="77777777" w:rsidR="00746815" w:rsidRDefault="007468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68110" w14:textId="77777777" w:rsidR="00614CC0" w:rsidRDefault="00614CC0">
      <w:r>
        <w:separator/>
      </w:r>
    </w:p>
  </w:footnote>
  <w:footnote w:type="continuationSeparator" w:id="0">
    <w:p w14:paraId="20FC5528" w14:textId="77777777" w:rsidR="00614CC0" w:rsidRDefault="00614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71FA8" w14:textId="77777777" w:rsidR="00746815" w:rsidRDefault="00746815">
    <w:pPr>
      <w:pStyle w:val="En-tte"/>
      <w:tabs>
        <w:tab w:val="clear" w:pos="4536"/>
        <w:tab w:val="clear" w:pos="90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443"/>
    <w:rsid w:val="00083350"/>
    <w:rsid w:val="000D646A"/>
    <w:rsid w:val="00102030"/>
    <w:rsid w:val="00105ED5"/>
    <w:rsid w:val="00122902"/>
    <w:rsid w:val="00127F71"/>
    <w:rsid w:val="001D4CE4"/>
    <w:rsid w:val="00216274"/>
    <w:rsid w:val="00237C94"/>
    <w:rsid w:val="00261BE4"/>
    <w:rsid w:val="002C0759"/>
    <w:rsid w:val="002C7E5B"/>
    <w:rsid w:val="002D57D2"/>
    <w:rsid w:val="002E606B"/>
    <w:rsid w:val="00343347"/>
    <w:rsid w:val="00346978"/>
    <w:rsid w:val="003535CD"/>
    <w:rsid w:val="003714F3"/>
    <w:rsid w:val="00377742"/>
    <w:rsid w:val="00397933"/>
    <w:rsid w:val="003A24AA"/>
    <w:rsid w:val="003E212F"/>
    <w:rsid w:val="003E6CA1"/>
    <w:rsid w:val="003F058B"/>
    <w:rsid w:val="00422DC2"/>
    <w:rsid w:val="00461818"/>
    <w:rsid w:val="00497402"/>
    <w:rsid w:val="004A0107"/>
    <w:rsid w:val="004D3B9E"/>
    <w:rsid w:val="004F5B1F"/>
    <w:rsid w:val="00593B5F"/>
    <w:rsid w:val="00595E0A"/>
    <w:rsid w:val="005A128A"/>
    <w:rsid w:val="005A7A68"/>
    <w:rsid w:val="00614CC0"/>
    <w:rsid w:val="00646BDE"/>
    <w:rsid w:val="00704252"/>
    <w:rsid w:val="00746307"/>
    <w:rsid w:val="00746815"/>
    <w:rsid w:val="007B34E6"/>
    <w:rsid w:val="007C3DFF"/>
    <w:rsid w:val="0081040A"/>
    <w:rsid w:val="008156D3"/>
    <w:rsid w:val="0082111A"/>
    <w:rsid w:val="00823180"/>
    <w:rsid w:val="00843CEE"/>
    <w:rsid w:val="0086743F"/>
    <w:rsid w:val="00873C0E"/>
    <w:rsid w:val="00874CB6"/>
    <w:rsid w:val="00886443"/>
    <w:rsid w:val="008B2694"/>
    <w:rsid w:val="008D582B"/>
    <w:rsid w:val="008E7DCB"/>
    <w:rsid w:val="008F737C"/>
    <w:rsid w:val="0090104D"/>
    <w:rsid w:val="00957D11"/>
    <w:rsid w:val="0096515B"/>
    <w:rsid w:val="00966D4D"/>
    <w:rsid w:val="00973952"/>
    <w:rsid w:val="00991E50"/>
    <w:rsid w:val="009C55B8"/>
    <w:rsid w:val="00A251DC"/>
    <w:rsid w:val="00A364C5"/>
    <w:rsid w:val="00AB2799"/>
    <w:rsid w:val="00AD355D"/>
    <w:rsid w:val="00AE71CA"/>
    <w:rsid w:val="00B4010D"/>
    <w:rsid w:val="00B46118"/>
    <w:rsid w:val="00BD5A22"/>
    <w:rsid w:val="00BE1C9A"/>
    <w:rsid w:val="00BE574D"/>
    <w:rsid w:val="00C23CFC"/>
    <w:rsid w:val="00C725BC"/>
    <w:rsid w:val="00C90E00"/>
    <w:rsid w:val="00CB258B"/>
    <w:rsid w:val="00CD694D"/>
    <w:rsid w:val="00CF0E07"/>
    <w:rsid w:val="00CF2096"/>
    <w:rsid w:val="00D12FC3"/>
    <w:rsid w:val="00D17196"/>
    <w:rsid w:val="00D4174E"/>
    <w:rsid w:val="00D767BE"/>
    <w:rsid w:val="00D80CAE"/>
    <w:rsid w:val="00DB2B63"/>
    <w:rsid w:val="00DB3443"/>
    <w:rsid w:val="00DB7D2F"/>
    <w:rsid w:val="00DC412A"/>
    <w:rsid w:val="00DF0F5D"/>
    <w:rsid w:val="00E21E35"/>
    <w:rsid w:val="00E406CA"/>
    <w:rsid w:val="00E50F36"/>
    <w:rsid w:val="00E86E12"/>
    <w:rsid w:val="00EA7458"/>
    <w:rsid w:val="00EE47DF"/>
    <w:rsid w:val="00EE7F0E"/>
    <w:rsid w:val="00F22445"/>
    <w:rsid w:val="00F538D4"/>
    <w:rsid w:val="00F54F26"/>
    <w:rsid w:val="00F7386A"/>
    <w:rsid w:val="00F92EB7"/>
    <w:rsid w:val="00FB2136"/>
    <w:rsid w:val="00FB7D10"/>
    <w:rsid w:val="00FD7577"/>
    <w:rsid w:val="00FE75AF"/>
    <w:rsid w:val="00FF3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64349"/>
  <w15:docId w15:val="{22541A9C-D458-4412-97DB-D045AD43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itre5">
    <w:name w:val="heading 5"/>
    <w:basedOn w:val="Normal"/>
    <w:next w:val="Normal"/>
    <w:qFormat/>
    <w:pPr>
      <w:tabs>
        <w:tab w:val="left" w:pos="993"/>
        <w:tab w:val="left" w:pos="2410"/>
      </w:tabs>
      <w:spacing w:before="120" w:after="120"/>
      <w:jc w:val="both"/>
      <w:outlineLvl w:val="4"/>
    </w:pPr>
    <w:rPr>
      <w:b/>
      <w:bCs/>
      <w:small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tabs>
        <w:tab w:val="left" w:pos="993"/>
        <w:tab w:val="left" w:pos="2410"/>
      </w:tabs>
      <w:jc w:val="center"/>
    </w:pPr>
    <w:rPr>
      <w:rFonts w:ascii="Arial" w:hAnsi="Arial" w:cs="Arial"/>
      <w:b/>
      <w:bCs/>
      <w:color w:val="000000"/>
      <w:sz w:val="40"/>
      <w:szCs w:val="40"/>
    </w:rPr>
  </w:style>
  <w:style w:type="paragraph" w:styleId="En-tte">
    <w:name w:val="header"/>
    <w:basedOn w:val="Normal"/>
    <w:pPr>
      <w:tabs>
        <w:tab w:val="center" w:pos="4536"/>
        <w:tab w:val="right" w:pos="9072"/>
      </w:tabs>
    </w:pPr>
    <w:rPr>
      <w:sz w:val="20"/>
      <w:szCs w:val="20"/>
    </w:rPr>
  </w:style>
  <w:style w:type="paragraph" w:customStyle="1" w:styleId="xl28">
    <w:name w:val="xl28"/>
    <w:basedOn w:val="Normal"/>
    <w:pPr>
      <w:pBdr>
        <w:left w:val="single" w:sz="4" w:space="0" w:color="auto"/>
        <w:right w:val="single" w:sz="4" w:space="0" w:color="auto"/>
      </w:pBdr>
      <w:spacing w:before="100" w:beforeAutospacing="1" w:after="100" w:afterAutospacing="1"/>
    </w:pPr>
  </w:style>
  <w:style w:type="paragraph" w:styleId="Pieddepage">
    <w:name w:val="footer"/>
    <w:basedOn w:val="Normal"/>
    <w:pPr>
      <w:tabs>
        <w:tab w:val="center" w:pos="4536"/>
        <w:tab w:val="right" w:pos="9072"/>
      </w:tabs>
    </w:pPr>
    <w:rPr>
      <w:sz w:val="20"/>
      <w:szCs w:val="20"/>
    </w:rPr>
  </w:style>
  <w:style w:type="character" w:customStyle="1" w:styleId="CarCar">
    <w:name w:val="Car Car"/>
    <w:rPr>
      <w:b/>
      <w:bCs/>
      <w:smallCaps/>
      <w:sz w:val="24"/>
      <w:szCs w:val="24"/>
      <w:lang w:val="fr-FR" w:eastAsia="fr-FR" w:bidi="ar-SA"/>
    </w:rPr>
  </w:style>
  <w:style w:type="paragraph" w:customStyle="1" w:styleId="xl33">
    <w:name w:val="xl33"/>
    <w:basedOn w:val="Normal"/>
    <w:pPr>
      <w:spacing w:before="100" w:beforeAutospacing="1" w:after="100" w:afterAutospacing="1"/>
    </w:pPr>
    <w:rPr>
      <w:b/>
      <w:bCs/>
    </w:rPr>
  </w:style>
  <w:style w:type="paragraph" w:customStyle="1" w:styleId="En-tte0">
    <w:name w:val="En-tête/"/>
    <w:basedOn w:val="Normal"/>
    <w:pPr>
      <w:tabs>
        <w:tab w:val="center" w:pos="4536"/>
        <w:tab w:val="right" w:pos="9072"/>
      </w:tabs>
    </w:pPr>
    <w:rPr>
      <w:rFonts w:ascii="Arial" w:hAnsi="Arial" w:cs="Arial"/>
      <w:sz w:val="20"/>
      <w:szCs w:val="20"/>
    </w:rPr>
  </w:style>
  <w:style w:type="paragraph" w:customStyle="1" w:styleId="Sansinterligne1">
    <w:name w:val="Sans interligne1"/>
    <w:qFormat/>
    <w:rPr>
      <w:rFonts w:ascii="Calibri" w:eastAsia="Calibri" w:hAnsi="Calibri"/>
      <w:sz w:val="22"/>
      <w:szCs w:val="22"/>
      <w:lang w:eastAsia="en-US"/>
    </w:rPr>
  </w:style>
  <w:style w:type="character" w:styleId="Appelnotedebasdep">
    <w:name w:val="footnote reference"/>
    <w:uiPriority w:val="99"/>
    <w:semiHidden/>
    <w:unhideWhenUsed/>
    <w:qFormat/>
    <w:rPr>
      <w:vertAlign w:val="superscript"/>
    </w:rPr>
  </w:style>
  <w:style w:type="character" w:styleId="Appeldenotedefin">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904032">
      <w:bodyDiv w:val="1"/>
      <w:marLeft w:val="0"/>
      <w:marRight w:val="0"/>
      <w:marTop w:val="0"/>
      <w:marBottom w:val="0"/>
      <w:divBdr>
        <w:top w:val="none" w:sz="0" w:space="0" w:color="auto"/>
        <w:left w:val="none" w:sz="0" w:space="0" w:color="auto"/>
        <w:bottom w:val="none" w:sz="0" w:space="0" w:color="auto"/>
        <w:right w:val="none" w:sz="0" w:space="0" w:color="auto"/>
      </w:divBdr>
    </w:div>
    <w:div w:id="1421291393">
      <w:bodyDiv w:val="1"/>
      <w:marLeft w:val="0"/>
      <w:marRight w:val="0"/>
      <w:marTop w:val="0"/>
      <w:marBottom w:val="0"/>
      <w:divBdr>
        <w:top w:val="none" w:sz="0" w:space="0" w:color="auto"/>
        <w:left w:val="none" w:sz="0" w:space="0" w:color="auto"/>
        <w:bottom w:val="none" w:sz="0" w:space="0" w:color="auto"/>
        <w:right w:val="none" w:sz="0" w:space="0" w:color="auto"/>
      </w:divBdr>
    </w:div>
    <w:div w:id="175007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312</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Resume </vt:lpstr>
    </vt:vector>
  </TitlesOfParts>
  <Company>DIAG 75</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A0 - Resume  04 09 2018  10 26</dc:title>
  <dc:creator>DIAG 75 v4.277</dc:creator>
  <dc:description>Diagnostics Immobiliers</dc:description>
  <cp:lastModifiedBy>Alexandre LACOSTE</cp:lastModifiedBy>
  <cp:revision>19</cp:revision>
  <dcterms:created xsi:type="dcterms:W3CDTF">2016-10-24T03:50:00Z</dcterms:created>
  <dcterms:modified xsi:type="dcterms:W3CDTF">2024-11-20T10:18:00Z</dcterms:modified>
</cp:coreProperties>
</file>