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F0E7" w14:textId="607B6255"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الأمر ومعناه في القرآن الكريم سورة الروم (دراسة البلاغة)</w:t>
      </w:r>
      <w:r w:rsidRPr="00925404">
        <w:rPr>
          <w:rFonts w:ascii="Sakkal Majalla" w:eastAsia="Noto Naskh Arabic" w:hAnsi="Sakkal Majalla" w:cs="Sakkal Majalla"/>
          <w:b/>
          <w:color w:val="27272A"/>
          <w:sz w:val="40"/>
          <w:szCs w:val="40"/>
        </w:rPr>
        <w:t xml:space="preserve"> </w:t>
      </w:r>
      <w:r w:rsidR="002C133E">
        <w:rPr>
          <w:rFonts w:ascii="Times New Roman" w:eastAsia="Times New Roman" w:hAnsi="Times New Roman" w:cs="Times New Roman"/>
          <w:b/>
          <w:noProof/>
          <w:sz w:val="30"/>
          <w:szCs w:val="30"/>
        </w:rPr>
        <w:drawing>
          <wp:anchor distT="0" distB="0" distL="114300" distR="114300" simplePos="0" relativeHeight="251658240" behindDoc="0" locked="0" layoutInCell="1" allowOverlap="1" wp14:anchorId="1F9DDADE" wp14:editId="3D1818C7">
            <wp:simplePos x="0" y="0"/>
            <wp:positionH relativeFrom="column">
              <wp:posOffset>1816100</wp:posOffset>
            </wp:positionH>
            <wp:positionV relativeFrom="paragraph">
              <wp:posOffset>533400</wp:posOffset>
            </wp:positionV>
            <wp:extent cx="2317750" cy="24657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465705"/>
                    </a:xfrm>
                    <a:prstGeom prst="rect">
                      <a:avLst/>
                    </a:prstGeom>
                    <a:ln/>
                  </pic:spPr>
                </pic:pic>
              </a:graphicData>
            </a:graphic>
          </wp:anchor>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7777777" w:rsidR="009C3634"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lastRenderedPageBreak/>
        <w:t>الباب الأول</w:t>
      </w:r>
    </w:p>
    <w:p w14:paraId="67D9E54C" w14:textId="661F78B2" w:rsidR="00F440B6"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221AFE23"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w:t>
      </w:r>
      <w:r w:rsidR="00CD4924" w:rsidRPr="00CD4924">
        <w:rPr>
          <w:rFonts w:ascii="Sakkal Majalla" w:eastAsia="Noto Naskh Arabic" w:hAnsi="Sakkal Majalla" w:cs="Sakkal Majalla"/>
          <w:sz w:val="36"/>
          <w:szCs w:val="36"/>
          <w:rtl/>
        </w:rPr>
        <w:t>الكلام الإنشائي الذي يندرج تحت عمل الأمر في القرآن الكريم</w:t>
      </w:r>
      <w:r w:rsidRPr="001474CC">
        <w:rPr>
          <w:rFonts w:ascii="Sakkal Majalla" w:eastAsia="Noto Naskh Arabic" w:hAnsi="Sakkal Majalla" w:cs="Sakkal Majalla"/>
          <w:sz w:val="36"/>
          <w:szCs w:val="36"/>
          <w:rtl/>
        </w:rPr>
        <w:t>،</w:t>
      </w:r>
      <w:r w:rsidR="00CD4924">
        <w:rPr>
          <w:rFonts w:ascii="Sakkal Majalla" w:eastAsia="Noto Naskh Arabic" w:hAnsi="Sakkal Majalla" w:cs="Sakkal Majalla" w:hint="cs"/>
          <w:sz w:val="36"/>
          <w:szCs w:val="36"/>
          <w:rtl/>
          <w:lang w:bidi="ar-EG"/>
        </w:rPr>
        <w:t>الذي</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الطلب بفعل شيء يأتي من الأعلى إلى الأسفل</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كما هو الحال في سورة الروم في القرآن الكريم التي تحتوي على آيات تحمل أوامرًا من الله لعباده.</w:t>
      </w:r>
      <w:r w:rsidR="00D13D3B">
        <w:rPr>
          <w:rFonts w:ascii="Sakkal Majalla" w:eastAsia="Noto Naskh Arabic" w:hAnsi="Sakkal Majalla" w:cs="Sakkal Majalla" w:hint="cs"/>
          <w:sz w:val="36"/>
          <w:szCs w:val="36"/>
          <w:rtl/>
          <w:lang w:bidi="ar-EG"/>
        </w:rPr>
        <w:t xml:space="preserve"> </w:t>
      </w:r>
      <w:r w:rsidR="00D13D3B" w:rsidRPr="00D13D3B">
        <w:rPr>
          <w:rFonts w:ascii="Sakkal Majalla" w:eastAsia="Noto Naskh Arabic" w:hAnsi="Sakkal Majalla" w:cs="Sakkal Majalla"/>
          <w:sz w:val="36"/>
          <w:szCs w:val="36"/>
          <w:rtl/>
          <w:lang w:bidi="ar-EG"/>
        </w:rPr>
        <w:t>في سورة الروم لديها أيضا نقطة رئيسية وهي الإيمان, الأحكام, القصة و الأشياء المتعلقة بقوة الله المطلقة كل الأمور</w:t>
      </w:r>
      <w:r w:rsidR="00D13D3B">
        <w:rPr>
          <w:rFonts w:ascii="Sakkal Majalla" w:eastAsia="Noto Naskh Arabic" w:hAnsi="Sakkal Majalla" w:cs="Sakkal Majalla" w:hint="cs"/>
          <w:sz w:val="36"/>
          <w:szCs w:val="36"/>
          <w:rtl/>
          <w:lang w:bidi="ar-EG"/>
        </w:rPr>
        <w:t>.</w:t>
      </w:r>
      <w:r w:rsidR="00CD4924">
        <w:rPr>
          <w:rFonts w:ascii="Sakkal Majalla" w:eastAsia="Noto Naskh Arabic" w:hAnsi="Sakkal Majalla" w:cs="Sakkal Majalla" w:hint="cs"/>
          <w:sz w:val="36"/>
          <w:szCs w:val="36"/>
          <w:rtl/>
        </w:rPr>
        <w:t xml:space="preserve"> </w:t>
      </w:r>
      <w:r w:rsidR="00CD4924" w:rsidRPr="00CD4924">
        <w:rPr>
          <w:rFonts w:ascii="Sakkal Majalla" w:eastAsia="Noto Naskh Arabic" w:hAnsi="Sakkal Majalla" w:cs="Sakkal Majalla"/>
          <w:sz w:val="36"/>
          <w:szCs w:val="36"/>
          <w:rtl/>
        </w:rPr>
        <w:t>يظهر الأمر في القرآن بأشكال متنوعة، حيث يُعبر عادة عن الأمر بلغة الأمر، ولكن هناك فرصًا أخرى لاستخدام جملة الماضي كبديل</w:t>
      </w:r>
      <w:r w:rsidRPr="001474CC">
        <w:rPr>
          <w:rFonts w:ascii="Sakkal Majalla" w:eastAsia="Noto Naskh Arabic" w:hAnsi="Sakkal Majalla" w:cs="Sakkal Majalla"/>
          <w:sz w:val="36"/>
          <w:szCs w:val="36"/>
          <w:rtl/>
        </w:rPr>
        <w:t>.</w:t>
      </w:r>
      <w:r w:rsidR="00CD4924">
        <w:rPr>
          <w:rStyle w:val="FootnoteReference"/>
          <w:rFonts w:ascii="Sakkal Majalla" w:eastAsia="Noto Naskh Arabic" w:hAnsi="Sakkal Majalla" w:cs="Sakkal Majalla"/>
          <w:sz w:val="36"/>
          <w:szCs w:val="36"/>
          <w:rtl/>
        </w:rPr>
        <w:footnoteReference w:id="1"/>
      </w:r>
      <w:r w:rsidRPr="001474CC">
        <w:rPr>
          <w:rFonts w:ascii="Sakkal Majalla" w:eastAsia="Noto Naskh Arabic" w:hAnsi="Sakkal Majalla" w:cs="Sakkal Majalla"/>
          <w:sz w:val="36"/>
          <w:szCs w:val="36"/>
          <w:rtl/>
        </w:rPr>
        <w:t xml:space="preserve">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6AEE5683"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535146">
        <w:rPr>
          <w:rStyle w:val="FootnoteReference"/>
          <w:rFonts w:ascii="Sakkal Majalla" w:eastAsia="Noto Naskh Arabic" w:hAnsi="Sakkal Majalla" w:cs="Sakkal Majalla"/>
          <w:sz w:val="36"/>
          <w:szCs w:val="36"/>
          <w:rtl/>
        </w:rPr>
        <w:footnoteReference w:id="2"/>
      </w:r>
      <w:r w:rsidR="007D0732" w:rsidRPr="001474CC">
        <w:rPr>
          <w:rFonts w:ascii="Sakkal Majalla" w:eastAsia="Noto Naskh Arabic" w:hAnsi="Sakkal Majalla" w:cs="Sakkal Majalla"/>
          <w:sz w:val="36"/>
          <w:szCs w:val="36"/>
          <w:rtl/>
        </w:rPr>
        <w:t xml:space="preserve">. يأتي القرآن كدليل عالمي لجميع البشر، ويعمل كدليل </w:t>
      </w:r>
      <w:r w:rsidR="007D0732" w:rsidRPr="001474CC">
        <w:rPr>
          <w:rFonts w:ascii="Sakkal Majalla" w:eastAsia="Noto Naskh Arabic" w:hAnsi="Sakkal Majalla" w:cs="Sakkal Majalla"/>
          <w:sz w:val="36"/>
          <w:szCs w:val="36"/>
          <w:rtl/>
        </w:rPr>
        <w:lastRenderedPageBreak/>
        <w:t>للحياة، سواء في الدنيا أو في الآخرة. أحد جوانبه المعجزة يكمن في اللغة التي يستخدمها، وهي اللغة 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4C2551EB" w14:textId="4EC47059" w:rsidR="0017107B" w:rsidRDefault="0017107B"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F0DBEEB" w14:textId="3134A832" w:rsidR="00535903" w:rsidRDefault="00254E46"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254E46">
        <w:rPr>
          <w:rFonts w:ascii="Sakkal Majalla" w:eastAsia="Noto Naskh Arabic" w:hAnsi="Sakkal Majalla" w:cs="Sakkal Majalla"/>
          <w:sz w:val="36"/>
          <w:szCs w:val="36"/>
          <w:rtl/>
        </w:rPr>
        <w:t xml:space="preserve">من هذا القرآن تنشأ مجموعة متنوعة من العلوم </w:t>
      </w:r>
      <w:r w:rsidR="00385360" w:rsidRPr="00385360">
        <w:rPr>
          <w:rFonts w:ascii="Sakkal Majalla" w:eastAsia="Noto Naskh Arabic" w:hAnsi="Sakkal Majalla" w:cs="Sakkal Majalla"/>
          <w:sz w:val="36"/>
          <w:szCs w:val="36"/>
          <w:rtl/>
        </w:rPr>
        <w:t>،</w:t>
      </w:r>
      <w:r w:rsidRPr="00254E46">
        <w:rPr>
          <w:rtl/>
        </w:rPr>
        <w:t xml:space="preserve"> </w:t>
      </w:r>
      <w:r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535146">
        <w:rPr>
          <w:rStyle w:val="FootnoteReference"/>
          <w:rFonts w:ascii="Sakkal Majalla" w:eastAsia="Noto Naskh Arabic" w:hAnsi="Sakkal Majalla" w:cs="Sakkal Majalla"/>
          <w:sz w:val="36"/>
          <w:szCs w:val="36"/>
          <w:rtl/>
        </w:rPr>
        <w:footnoteReference w:id="4"/>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sidR="00535146">
        <w:rPr>
          <w:rStyle w:val="FootnoteReference"/>
          <w:rFonts w:ascii="Sakkal Majalla" w:eastAsia="Noto Naskh Arabic" w:hAnsi="Sakkal Majalla" w:cs="Sakkal Majalla"/>
          <w:sz w:val="36"/>
          <w:szCs w:val="36"/>
          <w:rtl/>
        </w:rPr>
        <w:footnoteReference w:id="5"/>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w:t>
      </w:r>
      <w:r w:rsidR="00535903" w:rsidRPr="00535903">
        <w:rPr>
          <w:rFonts w:ascii="Sakkal Majalla" w:eastAsia="Noto Naskh Arabic" w:hAnsi="Sakkal Majalla" w:cs="Sakkal Majalla"/>
          <w:sz w:val="36"/>
          <w:szCs w:val="36"/>
          <w:rtl/>
        </w:rPr>
        <w:lastRenderedPageBreak/>
        <w:t xml:space="preserve">القرآن، الذي يمتلك تنوعًا في جمال لغته، يتطلب إتقان إحدى علوم البلاغة لفهم آيات القرآن، وهي علم البلاغة. </w:t>
      </w:r>
    </w:p>
    <w:p w14:paraId="6EBE3DED" w14:textId="77777777" w:rsidR="003846B8" w:rsidRDefault="007A2189"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7A2189">
        <w:rPr>
          <w:rFonts w:ascii="Sakkal Majalla" w:eastAsia="Noto Naskh Arabic" w:hAnsi="Sakkal Majalla" w:cs="Sakkal Majalla"/>
          <w:sz w:val="36"/>
          <w:szCs w:val="36"/>
          <w:rtl/>
        </w:rPr>
        <w:t>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6"/>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وجاذبة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8"/>
      </w:r>
      <w:r w:rsidR="003846B8">
        <w:rPr>
          <w:rFonts w:ascii="Sakkal Majalla" w:eastAsia="Noto Naskh Arabic" w:hAnsi="Sakkal Majalla" w:cs="Sakkal Majalla" w:hint="cs"/>
          <w:sz w:val="36"/>
          <w:szCs w:val="36"/>
          <w:rtl/>
        </w:rPr>
        <w:t xml:space="preserve"> </w:t>
      </w:r>
    </w:p>
    <w:p w14:paraId="7105B517" w14:textId="57DA5A12" w:rsidR="00C36F26" w:rsidRPr="00C36F26" w:rsidRDefault="0038323A"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rPr>
      </w:pPr>
      <w:r w:rsidRPr="0038323A">
        <w:rPr>
          <w:rFonts w:ascii="Sakkal Majalla" w:eastAsia="Noto Naskh Arabic" w:hAnsi="Sakkal Majalla" w:cs="Sakkal Majalla"/>
          <w:sz w:val="36"/>
          <w:szCs w:val="36"/>
          <w:rtl/>
        </w:rPr>
        <w:t>وكالام الإنشاء جزء من علم المعاني، وهو يندرج ضمن نطاق دراسة علم البلاغة، وتحديدًا بين علم البيان وعلم البديع</w:t>
      </w:r>
      <w:r w:rsidR="00ED3164">
        <w:rPr>
          <w:rFonts w:ascii="Sakkal Majalla" w:eastAsia="Noto Naskh Arabic" w:hAnsi="Sakkal Majalla" w:cs="Sakkal Majalla" w:hint="cs"/>
          <w:color w:val="27272A"/>
          <w:sz w:val="36"/>
          <w:szCs w:val="36"/>
          <w:rtl/>
        </w:rPr>
        <w:t>.</w:t>
      </w:r>
      <w:r w:rsidR="00ED3164" w:rsidRPr="00ED3164">
        <w:rPr>
          <w:rtl/>
        </w:rPr>
        <w:t xml:space="preserve"> </w:t>
      </w:r>
      <w:r w:rsidR="00ED3164" w:rsidRPr="00ED3164">
        <w:rPr>
          <w:rFonts w:ascii="Sakkal Majalla" w:eastAsia="Noto Naskh Arabic" w:hAnsi="Sakkal Majalla" w:cs="Sakkal Majalla"/>
          <w:color w:val="27272A"/>
          <w:sz w:val="36"/>
          <w:szCs w:val="36"/>
          <w:rtl/>
        </w:rPr>
        <w:t>ويعد علم المعاني هو العلم الذي</w:t>
      </w:r>
      <w:r w:rsidR="00ED3164">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00ED3164"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xml:space="preserve">. وهو يهدف إلى نقل المعاني المختزنة التي تكون هدفًا للمتكلم من </w:t>
      </w:r>
      <w:r w:rsidR="002C133E" w:rsidRPr="001474CC">
        <w:rPr>
          <w:rFonts w:ascii="Sakkal Majalla" w:eastAsia="Noto Naskh Arabic" w:hAnsi="Sakkal Majalla" w:cs="Sakkal Majalla"/>
          <w:sz w:val="36"/>
          <w:szCs w:val="36"/>
          <w:rtl/>
        </w:rPr>
        <w:lastRenderedPageBreak/>
        <w:t>خلال توظيف كلمات تعبر عن جميع هذه المعاني بشكل مناسب وواضح حسب السياق والظروف</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9"/>
      </w:r>
      <w:r w:rsidR="002C133E" w:rsidRPr="001474CC">
        <w:rPr>
          <w:rFonts w:ascii="Sakkal Majalla" w:eastAsia="Noto Naskh Arabic" w:hAnsi="Sakkal Majalla" w:cs="Sakkal Majalla"/>
          <w:sz w:val="36"/>
          <w:szCs w:val="36"/>
          <w:rtl/>
        </w:rPr>
        <w:t xml:space="preserve"> </w:t>
      </w:r>
      <w:r w:rsidRPr="0038323A">
        <w:rPr>
          <w:rFonts w:ascii="Sakkal Majalla" w:eastAsia="Noto Naskh Arabic" w:hAnsi="Sakkal Majalla" w:cs="Sakkal Majalla"/>
          <w:sz w:val="36"/>
          <w:szCs w:val="36"/>
          <w:rtl/>
        </w:rPr>
        <w:t xml:space="preserve">ويمكن تصنيف كلام الإنشاء إلى نوعين، وهما إنشاء ثلاثي وإنشاء غير </w:t>
      </w:r>
      <w:r w:rsidRPr="001474CC">
        <w:rPr>
          <w:rFonts w:ascii="Sakkal Majalla" w:eastAsia="Noto Naskh Arabic" w:hAnsi="Sakkal Majalla" w:cs="Sakkal Majalla"/>
          <w:color w:val="27272A"/>
          <w:sz w:val="36"/>
          <w:szCs w:val="36"/>
          <w:highlight w:val="white"/>
          <w:rtl/>
        </w:rPr>
        <w:t>الطلبي</w:t>
      </w:r>
      <w:r w:rsidRPr="0038323A">
        <w:rPr>
          <w:rFonts w:ascii="Sakkal Majalla" w:eastAsia="Noto Naskh Arabic" w:hAnsi="Sakkal Majalla" w:cs="Sakkal Majalla"/>
          <w:sz w:val="36"/>
          <w:szCs w:val="36"/>
          <w:rtl/>
        </w:rPr>
        <w:t>.</w:t>
      </w:r>
      <w:r w:rsidR="00C36F26">
        <w:rPr>
          <w:rStyle w:val="FootnoteReference"/>
          <w:rFonts w:ascii="Sakkal Majalla" w:eastAsia="Noto Naskh Arabic" w:hAnsi="Sakkal Majalla" w:cs="Sakkal Majalla"/>
          <w:sz w:val="36"/>
          <w:szCs w:val="36"/>
          <w:rtl/>
        </w:rPr>
        <w:footnoteReference w:id="10"/>
      </w:r>
    </w:p>
    <w:p w14:paraId="019936AE" w14:textId="77777777" w:rsidR="003846B8" w:rsidRDefault="0038323A"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11"/>
      </w:r>
      <w:r w:rsidR="00C36F26">
        <w:rPr>
          <w:rFonts w:ascii="Sakkal Majalla" w:eastAsia="Noto Naskh Arabic" w:hAnsi="Sakkal Majalla" w:cs="Sakkal Majalla" w:hint="cs"/>
          <w:sz w:val="36"/>
          <w:szCs w:val="36"/>
          <w:rtl/>
        </w:rPr>
        <w:t xml:space="preserve"> </w:t>
      </w:r>
      <w:r w:rsidR="00C36F26" w:rsidRPr="00C36F26">
        <w:rPr>
          <w:rFonts w:ascii="Sakkal Majalla" w:eastAsia="Noto Naskh Arabic" w:hAnsi="Sakkal Majalla" w:cs="Sakkal Majalla"/>
          <w:sz w:val="36"/>
          <w:szCs w:val="36"/>
          <w:rtl/>
        </w:rPr>
        <w:t xml:space="preserve">وفي سياق آخر، يُعتبر كلام الإنشاء </w:t>
      </w:r>
      <w:r w:rsidR="00D56CD6" w:rsidRPr="001474CC">
        <w:rPr>
          <w:rFonts w:ascii="Sakkal Majalla" w:eastAsia="Noto Naskh Arabic" w:hAnsi="Sakkal Majalla" w:cs="Sakkal Majalla"/>
          <w:color w:val="27272A"/>
          <w:sz w:val="36"/>
          <w:szCs w:val="36"/>
          <w:highlight w:val="white"/>
          <w:rtl/>
        </w:rPr>
        <w:t>الطلبي</w:t>
      </w:r>
      <w:r w:rsidR="00D56CD6" w:rsidRPr="00C36F26">
        <w:rPr>
          <w:rFonts w:ascii="Sakkal Majalla" w:eastAsia="Noto Naskh Arabic" w:hAnsi="Sakkal Majalla" w:cs="Sakkal Majalla"/>
          <w:sz w:val="36"/>
          <w:szCs w:val="36"/>
          <w:rtl/>
        </w:rPr>
        <w:t xml:space="preserve"> </w:t>
      </w:r>
      <w:r w:rsidR="00C36F26" w:rsidRPr="00C36F26">
        <w:rPr>
          <w:rFonts w:ascii="Sakkal Majalla" w:eastAsia="Noto Naskh Arabic" w:hAnsi="Sakkal Majalla" w:cs="Sakkal Majalla"/>
          <w:sz w:val="36"/>
          <w:szCs w:val="36"/>
          <w:rtl/>
        </w:rPr>
        <w:t>عبارة عن جملة تعبر عن رغبة في حدوث شيء لم يحدث بعد في وقت نطق الجملة</w:t>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2"/>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من بين العديد من أنواع الإنشاء الطلابي، قام الباحث بتحديده على دراسة الإنشاء الطلابي في صيغة الأمر المعروفة أيضًا بكلمة "أمر".</w:t>
      </w:r>
      <w:r w:rsidR="003846B8">
        <w:rPr>
          <w:rFonts w:ascii="Sakkal Majalla" w:eastAsia="Noto Naskh Arabic" w:hAnsi="Sakkal Majalla" w:cs="Sakkal Majalla" w:hint="cs"/>
          <w:sz w:val="36"/>
          <w:szCs w:val="36"/>
          <w:rtl/>
        </w:rPr>
        <w:t xml:space="preserve"> </w:t>
      </w:r>
    </w:p>
    <w:p w14:paraId="2C29F863" w14:textId="02C95A48" w:rsidR="00F10ABE" w:rsidRDefault="00F10ABE"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lastRenderedPageBreak/>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3"/>
      </w:r>
      <w:r w:rsidRPr="00F10ABE">
        <w:rPr>
          <w:rFonts w:ascii="Sakkal Majalla" w:eastAsia="Noto Naskh Arabic" w:hAnsi="Sakkal Majalla" w:cs="Sakkal Majalla"/>
          <w:sz w:val="36"/>
          <w:szCs w:val="36"/>
          <w:rtl/>
        </w:rPr>
        <w:t xml:space="preserve"> 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4"/>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1F6725A7" w14:textId="66E664D2" w:rsidR="00D4059F" w:rsidRDefault="00D4059F" w:rsidP="00D4059F">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D4059F">
        <w:rPr>
          <w:rFonts w:ascii="Sakkal Majalla" w:eastAsia="Noto Naskh Arabic" w:hAnsi="Sakkal Majalla" w:cs="Sakkal Majalla"/>
          <w:sz w:val="36"/>
          <w:szCs w:val="36"/>
          <w:rtl/>
        </w:rPr>
        <w:t>هناك العديد من الأبحاث التي تتناول موضوع الأمر في القرآن الكريم. ومن بين هذه الأبحاث، هناك بحث كتبته زهراء موليدينا بعنوان "أسلوب النهي والأمر ومعانيهما في القرآن الكريم سورة النور وتأثيرها على تعلم علم البلاغة"، حيث خلصت الباحثة إلى أن جمل الأمر في سورة النور في القرآن الكريم تحتوي على 32 نقطة متنوعة في 15 آية. 11 منها تعبر عن المعنى الأصلي و 21 نقطة تعبر عن المعنى البلاغي. ويتنوع معاني البلاغة بين النصيحة والإرشاد بلغة 18 نقطة، والسخرية نقطة واحدة، والتوسل نقطة واحدة، والتوبيخ نقطة واحدة. واستمرارًا في هذا البحث، اتخذ الباحث نفس الموضوع، وهو الإنشاء الطلابي في الأمر في القرآن الكريم، لاستكشاف هذا الموضوع بشكل أعمق.</w:t>
      </w:r>
      <w:r>
        <w:rPr>
          <w:rStyle w:val="FootnoteReference"/>
          <w:rFonts w:ascii="Sakkal Majalla" w:eastAsia="Noto Naskh Arabic" w:hAnsi="Sakkal Majalla" w:cs="Sakkal Majalla"/>
          <w:sz w:val="36"/>
          <w:szCs w:val="36"/>
          <w:rtl/>
        </w:rPr>
        <w:footnoteReference w:id="15"/>
      </w:r>
    </w:p>
    <w:p w14:paraId="2F54153B" w14:textId="678114CE" w:rsidR="00C36F26" w:rsidRPr="00C36F26"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lastRenderedPageBreak/>
        <w:t>في سياق هذا البحث، يأخذ الباحث سورة الروم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 ككائن دراسي يعود إلى العثور على عدة آيات في سورة الروم تحتوي على إنشاء طلابي من نوع الأمر. لذلك يرغب الباحث في استكشاف هذا النوع من الإنشاء الطلابي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 سورة الروم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6"/>
      </w:r>
      <w:r w:rsidR="00AF1154">
        <w:rPr>
          <w:rFonts w:ascii="Sakkal Majalla" w:eastAsia="Noto Naskh Arabic" w:hAnsi="Sakkal Majalla" w:cs="Sakkal Majalla" w:hint="cs"/>
          <w:sz w:val="36"/>
          <w:szCs w:val="36"/>
          <w:rtl/>
        </w:rPr>
        <w:t xml:space="preserve"> </w:t>
      </w:r>
    </w:p>
    <w:p w14:paraId="472CADC6" w14:textId="6C4DDD2B" w:rsidR="00195D2D" w:rsidRDefault="00195D2D"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95D2D">
        <w:rPr>
          <w:rFonts w:ascii="Sakkal Majalla" w:eastAsia="Noto Naskh Arabic" w:hAnsi="Sakkal Majalla" w:cs="Sakkal Majalla"/>
          <w:sz w:val="36"/>
          <w:szCs w:val="36"/>
          <w:rtl/>
        </w:rPr>
        <w:t xml:space="preserve">كما جاء في الأبحاث السابقة التي أجراها حسين وكمال بعنوان "أسلوب الإضافة بحرف "و" في سورة الروم" والتي أشاروا في بحثهم إلى وجود ارتباط مرادفي في اختيار كلمة أو سلسلة من الكلمات في آية معينة. فإن كل جملة لا تُوضع في موضعها كما هو دون سبب. وبالعكس، يُشير اختيار جملة معينة إلى معنى معين يمكن تحليله بشكل أفضل من خلال دراسة عميقة تتعلق </w:t>
      </w:r>
      <w:r w:rsidRPr="00195D2D">
        <w:rPr>
          <w:rFonts w:ascii="Sakkal Majalla" w:eastAsia="Noto Naskh Arabic" w:hAnsi="Sakkal Majalla" w:cs="Sakkal Majalla"/>
          <w:sz w:val="36"/>
          <w:szCs w:val="36"/>
          <w:rtl/>
        </w:rPr>
        <w:lastRenderedPageBreak/>
        <w:t>باللغة الإلهية</w:t>
      </w:r>
      <w:r w:rsidR="00B10753">
        <w:rPr>
          <w:rFonts w:ascii="Sakkal Majalla" w:eastAsia="Noto Naskh Arabic" w:hAnsi="Sakkal Majalla" w:cs="Sakkal Majalla"/>
          <w:sz w:val="36"/>
          <w:szCs w:val="36"/>
        </w:rPr>
        <w:t>.</w:t>
      </w:r>
      <w:r>
        <w:rPr>
          <w:rStyle w:val="FootnoteReference"/>
          <w:rFonts w:ascii="Sakkal Majalla" w:eastAsia="Noto Naskh Arabic" w:hAnsi="Sakkal Majalla" w:cs="Sakkal Majalla"/>
          <w:sz w:val="36"/>
          <w:szCs w:val="36"/>
          <w:rtl/>
        </w:rPr>
        <w:footnoteReference w:id="17"/>
      </w:r>
      <w:r w:rsidR="00B10753">
        <w:rPr>
          <w:rFonts w:ascii="Sakkal Majalla" w:eastAsia="Noto Naskh Arabic" w:hAnsi="Sakkal Majalla" w:cs="Sakkal Majalla"/>
          <w:sz w:val="36"/>
          <w:szCs w:val="36"/>
        </w:rPr>
        <w:t xml:space="preserve"> </w:t>
      </w:r>
      <w:r w:rsidRPr="00195D2D">
        <w:rPr>
          <w:rFonts w:ascii="Sakkal Majalla" w:eastAsia="Noto Naskh Arabic" w:hAnsi="Sakkal Majalla" w:cs="Sakkal Majalla"/>
          <w:sz w:val="36"/>
          <w:szCs w:val="36"/>
          <w:rtl/>
        </w:rPr>
        <w:t>وهذا يشير إلى أن سورة الروم تحتوي على عناصر لغوية غنية يمكن دراستها بشكل أعمق.</w:t>
      </w:r>
    </w:p>
    <w:p w14:paraId="2135188A" w14:textId="0358A5D5" w:rsidR="00B10753"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B10753">
        <w:rPr>
          <w:rFonts w:ascii="Sakkal Majalla" w:eastAsia="Noto Naskh Arabic" w:hAnsi="Sakkal Majalla" w:cs="Sakkal Majalla"/>
          <w:sz w:val="36"/>
          <w:szCs w:val="36"/>
          <w:rtl/>
        </w:rPr>
        <w:t>بناءً على عدة أبحاث سابقة، تبين أن سورة الروم تحتوي على العديد من الآيات التي تجمع بين عناصر بلاغة، خاصة في علم البديع. من بين هذه الأبحاث، الدراسة التي قام بها رحمة رضوان في بحث بعنوان "التِّبَاقُ وَالْجِنَاسُ فِي سورة الرُّوم (دِرَاسَة تَحْلِيلِيَّةٌ بَلَاغِيَّةٌ)" حيث تم تسجيل وجود 25 عنصرًا من الجِنَاسِ وَالتِّبَاقِ، مُقسَّمة إلى 19 آية تحتوي على التِّبَاقِ وَ6 آيات جِنَاسٍ</w:t>
      </w:r>
      <w:r>
        <w:rPr>
          <w:rFonts w:ascii="Sakkal Majalla" w:eastAsia="Noto Naskh Arabic" w:hAnsi="Sakkal Majalla" w:cs="Sakkal Majalla"/>
          <w:sz w:val="36"/>
          <w:szCs w:val="36"/>
        </w:rPr>
        <w:t>.</w:t>
      </w:r>
      <w:r w:rsidR="00AF1154">
        <w:rPr>
          <w:rFonts w:ascii="Sakkal Majalla" w:eastAsia="Noto Naskh Arabic" w:hAnsi="Sakkal Majalla" w:cs="Sakkal Majalla" w:hint="cs"/>
          <w:sz w:val="36"/>
          <w:szCs w:val="36"/>
          <w:rtl/>
        </w:rPr>
        <w:t xml:space="preserve"> </w:t>
      </w:r>
      <w:r w:rsidR="00AF1154">
        <w:rPr>
          <w:rStyle w:val="FootnoteReference"/>
          <w:rFonts w:ascii="Sakkal Majalla" w:eastAsia="Noto Naskh Arabic" w:hAnsi="Sakkal Majalla" w:cs="Sakkal Majalla"/>
          <w:sz w:val="36"/>
          <w:szCs w:val="36"/>
          <w:rtl/>
        </w:rPr>
        <w:footnoteReference w:id="18"/>
      </w:r>
      <w:r w:rsidR="00AF1154">
        <w:rPr>
          <w:rFonts w:ascii="Sakkal Majalla" w:eastAsia="Noto Naskh Arabic" w:hAnsi="Sakkal Majalla" w:cs="Sakkal Majalla" w:hint="cs"/>
          <w:sz w:val="36"/>
          <w:szCs w:val="36"/>
          <w:rtl/>
        </w:rPr>
        <w:t xml:space="preserve"> </w:t>
      </w:r>
      <w:r>
        <w:rPr>
          <w:rFonts w:ascii="Sakkal Majalla" w:eastAsia="Noto Naskh Arabic" w:hAnsi="Sakkal Majalla" w:cs="Sakkal Majalla"/>
          <w:sz w:val="36"/>
          <w:szCs w:val="36"/>
        </w:rPr>
        <w:t xml:space="preserve"> </w:t>
      </w:r>
      <w:r w:rsidRPr="00B10753">
        <w:rPr>
          <w:rFonts w:ascii="Sakkal Majalla" w:eastAsia="Noto Naskh Arabic" w:hAnsi="Sakkal Majalla" w:cs="Sakkal Majalla"/>
          <w:sz w:val="36"/>
          <w:szCs w:val="36"/>
          <w:rtl/>
        </w:rPr>
        <w:t>وهذا يشير إلى أن الآيات الموجودة في سورة الروم تظهر بأن لديها أساليب لغوية متنوعة من حيث البلاغة.</w:t>
      </w:r>
    </w:p>
    <w:p w14:paraId="3FDACE8D" w14:textId="07D6984E" w:rsidR="00F440B6" w:rsidRDefault="00B10753"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Pr>
          <w:rFonts w:ascii="Sakkal Majalla" w:eastAsia="Noto Naskh Arabic" w:hAnsi="Sakkal Majalla" w:cs="Sakkal Majalla"/>
          <w:sz w:val="36"/>
          <w:szCs w:val="36"/>
        </w:rPr>
        <w:t xml:space="preserve"> </w:t>
      </w:r>
      <w:r w:rsidR="002C133E" w:rsidRPr="001474CC">
        <w:rPr>
          <w:rFonts w:ascii="Sakkal Majalla" w:eastAsia="Noto Naskh Arabic" w:hAnsi="Sakkal Majalla" w:cs="Sakkal Majalla"/>
          <w:sz w:val="36"/>
          <w:szCs w:val="36"/>
          <w:rtl/>
        </w:rPr>
        <w:t>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r w:rsidR="00484BD7">
        <w:rPr>
          <w:rFonts w:ascii="Sakkal Majalla" w:eastAsia="Noto Naskh Arabic" w:hAnsi="Sakkal Majalla" w:cs="Sakkal Majalla" w:hint="cs"/>
          <w:sz w:val="36"/>
          <w:szCs w:val="36"/>
          <w:rtl/>
          <w:lang w:bidi="ar-EG"/>
        </w:rPr>
        <w:t>.</w:t>
      </w:r>
      <w:r w:rsidR="009F73E6">
        <w:rPr>
          <w:rStyle w:val="FootnoteReference"/>
          <w:rFonts w:ascii="Sakkal Majalla" w:eastAsia="Noto Naskh Arabic" w:hAnsi="Sakkal Majalla" w:cs="Sakkal Majalla"/>
          <w:sz w:val="36"/>
          <w:szCs w:val="36"/>
          <w:rtl/>
          <w:lang w:bidi="ar-EG"/>
        </w:rPr>
        <w:footnoteReference w:id="19"/>
      </w:r>
    </w:p>
    <w:p w14:paraId="6CA85935" w14:textId="422671C9" w:rsidR="00484BD7" w:rsidRDefault="00484BD7"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484BD7">
        <w:rPr>
          <w:rFonts w:ascii="Sakkal Majalla" w:eastAsia="Noto Naskh Arabic" w:hAnsi="Sakkal Majalla" w:cs="Sakkal Majalla"/>
          <w:sz w:val="36"/>
          <w:szCs w:val="36"/>
          <w:rtl/>
          <w:lang w:val="en-US" w:bidi="ar-EG"/>
        </w:rPr>
        <w:lastRenderedPageBreak/>
        <w:t>وجد أيضًا في بحث آخر قامت به كارونيا خليفة ديني أغسطين بعنوان "تحليل الدلالي لكلمة "ضَعِيف" في آيات النساء 28 وآل عمران 54" أن معنى كلمة "ضَعِيف" المتضمنة في سورة الروم الآية 54 في القرآن هو مرحلة من مراحل الإنسان تكون في البداية قد خُلِقَت في مرحلة أو حالة ضعف مثل الرضيع، وفي النهاية ستعود إلى مرحلة الضعف. وعدم التوافق في وضع هذه المراحل سيؤدي إلى سلوك سيء للفرد.</w:t>
      </w:r>
      <w:r w:rsidR="009F73E6">
        <w:rPr>
          <w:rStyle w:val="FootnoteReference"/>
          <w:rFonts w:ascii="Sakkal Majalla" w:eastAsia="Noto Naskh Arabic" w:hAnsi="Sakkal Majalla" w:cs="Sakkal Majalla"/>
          <w:sz w:val="36"/>
          <w:szCs w:val="36"/>
          <w:rtl/>
          <w:lang w:val="en-US" w:bidi="ar-EG"/>
        </w:rPr>
        <w:footnoteReference w:id="20"/>
      </w:r>
    </w:p>
    <w:p w14:paraId="57E7F3CD" w14:textId="32BE8EF0" w:rsidR="00F363BB" w:rsidRPr="00484BD7" w:rsidRDefault="00F363BB" w:rsidP="00F363B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21"/>
      </w:r>
      <w:r w:rsidRPr="00F363BB">
        <w:rPr>
          <w:rFonts w:ascii="Sakkal Majalla" w:eastAsia="Noto Naskh Arabic" w:hAnsi="Sakkal Majalla" w:cs="Sakkal Majalla"/>
          <w:sz w:val="36"/>
          <w:szCs w:val="36"/>
          <w:rtl/>
          <w:lang w:val="en-US" w:bidi="ar-EG"/>
        </w:rPr>
        <w:t xml:space="preserve"> 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CE6A9E">
        <w:rPr>
          <w:rStyle w:val="FootnoteReference"/>
          <w:rFonts w:ascii="Sakkal Majalla" w:eastAsia="Noto Naskh Arabic" w:hAnsi="Sakkal Majalla" w:cs="Sakkal Majalla"/>
          <w:sz w:val="36"/>
          <w:szCs w:val="36"/>
          <w:rtl/>
          <w:lang w:val="en-US" w:bidi="ar-EG"/>
        </w:rPr>
        <w:footnoteReference w:id="22"/>
      </w:r>
      <w:r w:rsidRPr="00F363BB">
        <w:rPr>
          <w:rFonts w:ascii="Sakkal Majalla" w:eastAsia="Noto Naskh Arabic" w:hAnsi="Sakkal Majalla" w:cs="Sakkal Majalla"/>
          <w:sz w:val="36"/>
          <w:szCs w:val="36"/>
          <w:rtl/>
          <w:lang w:val="en-US" w:bidi="ar-EG"/>
        </w:rPr>
        <w:t xml:space="preserve"> في سورة الروم.</w:t>
      </w:r>
    </w:p>
    <w:p w14:paraId="5F8E2FDD" w14:textId="0C24A15C" w:rsidR="00F440B6" w:rsidRPr="0035638E" w:rsidRDefault="00707BBE" w:rsidP="0035638E">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FE410C" w:rsidRPr="00FE410C">
        <w:rPr>
          <w:rtl/>
        </w:rPr>
        <w:t xml:space="preserve"> </w:t>
      </w:r>
      <w:r w:rsidR="00FE410C" w:rsidRPr="00FE410C">
        <w:rPr>
          <w:rFonts w:ascii="Sakkal Majalla" w:eastAsia="Noto Naskh Arabic" w:hAnsi="Sakkal Majalla" w:cs="Sakkal Majalla"/>
          <w:sz w:val="36"/>
          <w:szCs w:val="36"/>
          <w:rtl/>
        </w:rPr>
        <w:t xml:space="preserve">الأمر ومعناه في القرآن الكريم، سورة الروم (دراسة البلاغة) </w:t>
      </w:r>
      <w:r w:rsidRPr="00707BBE">
        <w:rPr>
          <w:rFonts w:ascii="Sakkal Majalla" w:eastAsia="Noto Naskh Arabic" w:hAnsi="Sakkal Majalla" w:cs="Sakkal Majalla"/>
          <w:sz w:val="36"/>
          <w:szCs w:val="36"/>
          <w:rtl/>
        </w:rPr>
        <w:t xml:space="preserve">". وتهدف هذه الدراسة إلى </w:t>
      </w:r>
      <w:r w:rsidRPr="00707BBE">
        <w:rPr>
          <w:rFonts w:ascii="Sakkal Majalla" w:eastAsia="Noto Naskh Arabic" w:hAnsi="Sakkal Majalla" w:cs="Sakkal Majalla"/>
          <w:sz w:val="36"/>
          <w:szCs w:val="36"/>
          <w:rtl/>
        </w:rPr>
        <w:lastRenderedPageBreak/>
        <w:t xml:space="preserve">الكشف عن معاني البلاغة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6CCF1C0E" w14:textId="3B326B11" w:rsidR="00F440B6" w:rsidRDefault="00F440B6" w:rsidP="001474CC">
      <w:pPr>
        <w:spacing w:line="360" w:lineRule="auto"/>
        <w:jc w:val="both"/>
        <w:rPr>
          <w:rFonts w:ascii="Sakkal Majalla" w:eastAsia="Noto Naskh Arabic" w:hAnsi="Sakkal Majalla" w:cs="Sakkal Majalla"/>
          <w:sz w:val="32"/>
          <w:szCs w:val="32"/>
          <w:rtl/>
        </w:rPr>
      </w:pPr>
    </w:p>
    <w:p w14:paraId="18422F37" w14:textId="77777777" w:rsidR="003846B8" w:rsidRPr="001474CC" w:rsidRDefault="003846B8"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6FDD0C29" w:rsidR="00F440B6" w:rsidRDefault="002C133E" w:rsidP="00707BBE">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707BBE">
        <w:rPr>
          <w:rFonts w:ascii="Sakkal Majalla" w:eastAsia="Noto Naskh Arabic" w:hAnsi="Sakkal Majalla" w:cs="Sakkal Majalla"/>
          <w:bCs/>
          <w:color w:val="27272A"/>
          <w:sz w:val="36"/>
          <w:szCs w:val="36"/>
          <w:highlight w:val="white"/>
          <w:rtl/>
        </w:rPr>
        <w:t>التركيز البحثي:</w:t>
      </w:r>
    </w:p>
    <w:p w14:paraId="0E2877F5" w14:textId="49EF8975" w:rsidR="002B0C14" w:rsidRPr="002B0C14" w:rsidRDefault="002B0C14" w:rsidP="002B0C14">
      <w:pPr>
        <w:tabs>
          <w:tab w:val="right" w:pos="1080"/>
        </w:tabs>
        <w:bidi/>
        <w:spacing w:line="360" w:lineRule="auto"/>
        <w:ind w:left="1080"/>
        <w:jc w:val="both"/>
        <w:rPr>
          <w:rFonts w:ascii="Sakkal Majalla" w:eastAsia="Noto Naskh Arabic" w:hAnsi="Sakkal Majalla" w:cs="Sakkal Majalla"/>
          <w:sz w:val="36"/>
          <w:szCs w:val="36"/>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الباحثة هذا البحث عن </w:t>
      </w:r>
      <w:r w:rsidR="00581ABE">
        <w:rPr>
          <w:rFonts w:ascii="Sakkal Majalla" w:eastAsia="Noto Naskh Arabic" w:hAnsi="Sakkal Majalla" w:cs="Sakkal Majalla" w:hint="cs"/>
          <w:color w:val="27272A"/>
          <w:sz w:val="36"/>
          <w:szCs w:val="36"/>
          <w:highlight w:val="white"/>
          <w:rtl/>
          <w:lang w:val="en-US"/>
        </w:rPr>
        <w:t xml:space="preserve">أسلوب </w:t>
      </w:r>
      <w:r w:rsidR="00581ABE" w:rsidRPr="00440AD6">
        <w:rPr>
          <w:rFonts w:ascii="Sakkal Majalla" w:eastAsia="Noto Naskh Arabic" w:hAnsi="Sakkal Majalla" w:cs="Sakkal Majalla"/>
          <w:color w:val="27272A"/>
          <w:sz w:val="36"/>
          <w:szCs w:val="36"/>
          <w:highlight w:val="white"/>
          <w:rtl/>
        </w:rPr>
        <w:t>الإنشا</w:t>
      </w:r>
      <w:r w:rsidR="00581ABE" w:rsidRPr="00440AD6">
        <w:rPr>
          <w:rFonts w:ascii="Sakkal Majalla" w:eastAsia="Noto Naskh Arabic" w:hAnsi="Sakkal Majalla" w:cs="Sakkal Majalla" w:hint="cs"/>
          <w:color w:val="27272A"/>
          <w:sz w:val="36"/>
          <w:szCs w:val="36"/>
          <w:highlight w:val="white"/>
          <w:rtl/>
        </w:rPr>
        <w:t>ء</w:t>
      </w:r>
      <w:r w:rsidR="00581ABE" w:rsidRPr="00440AD6">
        <w:rPr>
          <w:rFonts w:ascii="Sakkal Majalla" w:eastAsia="Noto Naskh Arabic" w:hAnsi="Sakkal Majalla" w:cs="Sakkal Majalla"/>
          <w:color w:val="27272A"/>
          <w:sz w:val="36"/>
          <w:szCs w:val="36"/>
          <w:highlight w:val="white"/>
          <w:rtl/>
        </w:rPr>
        <w:t xml:space="preserve"> الطلبي</w:t>
      </w:r>
      <w:r w:rsidR="00581ABE">
        <w:rPr>
          <w:rFonts w:ascii="Sakkal Majalla" w:eastAsia="Noto Naskh Arabic" w:hAnsi="Sakkal Majalla" w:cs="Sakkal Majalla" w:hint="cs"/>
          <w:color w:val="27272A"/>
          <w:sz w:val="36"/>
          <w:szCs w:val="36"/>
          <w:highlight w:val="white"/>
          <w:rtl/>
          <w:lang w:val="en-US"/>
        </w:rPr>
        <w:t xml:space="preserve"> </w:t>
      </w:r>
      <w:r w:rsidR="00581ABE">
        <w:rPr>
          <w:rFonts w:ascii="Sakkal Majalla" w:eastAsia="Noto Naskh Arabic" w:hAnsi="Sakkal Majalla" w:cs="Sakkal Majalla" w:hint="cs"/>
          <w:color w:val="27272A"/>
          <w:sz w:val="36"/>
          <w:szCs w:val="36"/>
          <w:highlight w:val="white"/>
          <w:rtl/>
          <w:lang w:val="en-US" w:bidi="ar-EG"/>
        </w:rPr>
        <w:t>ال</w:t>
      </w:r>
      <w:r w:rsidR="00FE410C">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ومعانيها</w:t>
      </w:r>
      <w:r w:rsidR="00FE410C">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p>
    <w:p w14:paraId="108D0048" w14:textId="13C85AE3" w:rsidR="002B0C14" w:rsidRPr="002B0C14" w:rsidRDefault="002B0C14" w:rsidP="002B0C14">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2B0C14">
        <w:rPr>
          <w:rFonts w:ascii="Sakkal Majalla" w:eastAsia="Noto Naskh Arabic" w:hAnsi="Sakkal Majalla" w:cs="Sakkal Majalla"/>
          <w:bCs/>
          <w:color w:val="27272A"/>
          <w:sz w:val="36"/>
          <w:szCs w:val="36"/>
          <w:highlight w:val="white"/>
          <w:rtl/>
        </w:rPr>
        <w:t xml:space="preserve">النووية افرعيته: </w:t>
      </w:r>
    </w:p>
    <w:p w14:paraId="7506C146" w14:textId="4C27ADAC"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Pr>
          <w:rFonts w:ascii="Sakkal Majalla" w:eastAsia="Noto Naskh Arabic" w:hAnsi="Sakkal Majalla" w:cs="Sakkal Majalla" w:hint="cs"/>
          <w:color w:val="27272A"/>
          <w:sz w:val="36"/>
          <w:szCs w:val="36"/>
          <w:highlight w:val="white"/>
          <w:rtl/>
        </w:rPr>
        <w:t xml:space="preserve">ا )  </w:t>
      </w:r>
      <w:r w:rsidR="002C133E" w:rsidRPr="00440AD6">
        <w:rPr>
          <w:rFonts w:ascii="Sakkal Majalla" w:eastAsia="Noto Naskh Arabic" w:hAnsi="Sakkal Majalla" w:cs="Sakkal Majalla"/>
          <w:color w:val="27272A"/>
          <w:sz w:val="36"/>
          <w:szCs w:val="36"/>
          <w:highlight w:val="white"/>
          <w:rtl/>
        </w:rPr>
        <w:t>آيات تحتوي على</w:t>
      </w:r>
      <w:r w:rsidR="00581ABE">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 </w:t>
      </w:r>
      <w:r w:rsidR="00020CEF">
        <w:rPr>
          <w:rFonts w:ascii="Sakkal Majalla" w:eastAsia="Noto Naskh Arabic" w:hAnsi="Sakkal Majalla" w:cs="Sakkal Majalla" w:hint="cs"/>
          <w:color w:val="27272A"/>
          <w:sz w:val="36"/>
          <w:szCs w:val="36"/>
          <w:highlight w:val="white"/>
          <w:rtl/>
        </w:rPr>
        <w:t>أسلوب</w:t>
      </w:r>
      <w:r w:rsidR="00581ABE">
        <w:rPr>
          <w:rFonts w:ascii="Sakkal Majalla" w:eastAsia="Noto Naskh Arabic" w:hAnsi="Sakkal Majalla" w:cs="Sakkal Majalla" w:hint="cs"/>
          <w:color w:val="27272A"/>
          <w:sz w:val="36"/>
          <w:szCs w:val="36"/>
          <w:highlight w:val="white"/>
          <w:rtl/>
          <w:lang w:val="en-US"/>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في سورة الروم.</w:t>
      </w:r>
    </w:p>
    <w:p w14:paraId="1F319FA8" w14:textId="3D3ED5A4"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sidRPr="00440AD6">
        <w:rPr>
          <w:rFonts w:ascii="Sakkal Majalla" w:eastAsia="Noto Naskh Arabic" w:hAnsi="Sakkal Majalla" w:cs="Sakkal Majalla" w:hint="cs"/>
          <w:color w:val="27272A"/>
          <w:sz w:val="36"/>
          <w:szCs w:val="36"/>
          <w:highlight w:val="white"/>
          <w:rtl/>
        </w:rPr>
        <w:t>ب</w:t>
      </w:r>
      <w:r>
        <w:rPr>
          <w:rFonts w:ascii="Sakkal Majalla" w:eastAsia="Noto Naskh Arabic" w:hAnsi="Sakkal Majalla" w:cs="Sakkal Majalla" w:hint="cs"/>
          <w:color w:val="27272A"/>
          <w:sz w:val="36"/>
          <w:szCs w:val="36"/>
          <w:highlight w:val="white"/>
          <w:rtl/>
        </w:rPr>
        <w:t xml:space="preserve"> </w:t>
      </w:r>
      <w:r w:rsidRPr="00440AD6">
        <w:rPr>
          <w:rFonts w:ascii="Sakkal Majalla" w:eastAsia="Noto Naskh Arabic" w:hAnsi="Sakkal Majalla" w:cs="Sakkal Majalla" w:hint="cs"/>
          <w:color w:val="27272A"/>
          <w:sz w:val="36"/>
          <w:szCs w:val="36"/>
          <w:highlight w:val="white"/>
          <w:rtl/>
        </w:rPr>
        <w:t>)</w:t>
      </w:r>
      <w:r>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أنواع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في القرآن الكريم </w:t>
      </w:r>
      <w:r w:rsidR="002C133E" w:rsidRPr="00440AD6">
        <w:rPr>
          <w:rFonts w:ascii="Sakkal Majalla" w:eastAsia="Noto Naskh Arabic" w:hAnsi="Sakkal Majalla" w:cs="Sakkal Majalla"/>
          <w:sz w:val="36"/>
          <w:szCs w:val="36"/>
          <w:rtl/>
        </w:rPr>
        <w:t xml:space="preserve">سورة الروم </w:t>
      </w:r>
    </w:p>
    <w:p w14:paraId="2EE92A96" w14:textId="7979594B" w:rsidR="002B0C14" w:rsidRPr="00440AD6" w:rsidRDefault="00440AD6" w:rsidP="00440AD6">
      <w:pPr>
        <w:bidi/>
        <w:spacing w:line="360" w:lineRule="auto"/>
        <w:ind w:left="108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ج ) </w:t>
      </w:r>
      <w:r w:rsidRPr="00440AD6">
        <w:rPr>
          <w:rFonts w:ascii="Sakkal Majalla" w:eastAsia="Noto Naskh Arabic" w:hAnsi="Sakkal Majalla" w:cs="Sakkal Majalla"/>
          <w:sz w:val="36"/>
          <w:szCs w:val="36"/>
          <w:rtl/>
        </w:rPr>
        <w:t xml:space="preserve">المعنى الوارد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440AD6">
        <w:rPr>
          <w:rFonts w:ascii="Sakkal Majalla" w:eastAsia="Noto Naskh Arabic" w:hAnsi="Sakkal Majalla" w:cs="Sakkal Majalla"/>
          <w:sz w:val="36"/>
          <w:szCs w:val="36"/>
          <w:rtl/>
        </w:rPr>
        <w:t xml:space="preserve"> في سورة الروم.</w:t>
      </w:r>
    </w:p>
    <w:p w14:paraId="5842067C" w14:textId="6DD35F5E" w:rsidR="00F440B6" w:rsidRDefault="00F440B6" w:rsidP="001474CC">
      <w:pPr>
        <w:bidi/>
        <w:spacing w:line="360" w:lineRule="auto"/>
        <w:ind w:firstLine="360"/>
        <w:jc w:val="both"/>
        <w:rPr>
          <w:rFonts w:ascii="Sakkal Majalla" w:eastAsia="Noto Naskh Arabic" w:hAnsi="Sakkal Majalla" w:cs="Sakkal Majalla"/>
          <w:color w:val="27272A"/>
          <w:sz w:val="36"/>
          <w:szCs w:val="36"/>
          <w:highlight w:val="white"/>
          <w:rtl/>
        </w:rPr>
      </w:pPr>
    </w:p>
    <w:p w14:paraId="60FE85C9" w14:textId="1F5F6BBA" w:rsidR="003846B8" w:rsidRDefault="003846B8" w:rsidP="003846B8">
      <w:pPr>
        <w:bidi/>
        <w:spacing w:line="360" w:lineRule="auto"/>
        <w:ind w:firstLine="360"/>
        <w:jc w:val="both"/>
        <w:rPr>
          <w:rFonts w:ascii="Sakkal Majalla" w:eastAsia="Noto Naskh Arabic" w:hAnsi="Sakkal Majalla" w:cs="Sakkal Majalla"/>
          <w:color w:val="27272A"/>
          <w:sz w:val="36"/>
          <w:szCs w:val="36"/>
          <w:highlight w:val="white"/>
          <w:rtl/>
        </w:rPr>
      </w:pPr>
    </w:p>
    <w:p w14:paraId="2AB49424" w14:textId="77777777" w:rsidR="003846B8" w:rsidRPr="00827E47" w:rsidRDefault="003846B8" w:rsidP="003846B8">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399EFA5"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1. </w:t>
      </w:r>
      <w:r w:rsidR="002C133E" w:rsidRPr="00544CA5">
        <w:rPr>
          <w:rFonts w:ascii="Sakkal Majalla" w:eastAsia="Noto Naskh Arabic" w:hAnsi="Sakkal Majalla" w:cs="Sakkal Majalla"/>
          <w:bCs/>
          <w:color w:val="27272A"/>
          <w:sz w:val="36"/>
          <w:szCs w:val="36"/>
          <w:highlight w:val="white"/>
          <w:rtl/>
        </w:rPr>
        <w:t>تنطيم المشكلة</w:t>
      </w:r>
    </w:p>
    <w:p w14:paraId="67F84673" w14:textId="77777777" w:rsidR="00F440B6" w:rsidRPr="00E80379" w:rsidRDefault="002C133E" w:rsidP="00440AD6">
      <w:pPr>
        <w:bidi/>
        <w:spacing w:line="360" w:lineRule="auto"/>
        <w:ind w:left="990" w:firstLine="9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بناءً على الخلفية المُقدَّمة للمشكلة، يُصيَغ مشكلة هذا البحث كما يلي:</w:t>
      </w:r>
    </w:p>
    <w:p w14:paraId="3AB3923A" w14:textId="22D8341A" w:rsidR="00F440B6" w:rsidRPr="00E80379" w:rsidRDefault="00440AD6" w:rsidP="009C3634">
      <w:pPr>
        <w:bidi/>
        <w:spacing w:line="360" w:lineRule="auto"/>
        <w:ind w:left="1440" w:hanging="9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كيف تستخدم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 في القرآن الكريم وتحلل وتكشف معنى البلاغة؟</w:t>
      </w:r>
    </w:p>
    <w:p w14:paraId="3D77329C" w14:textId="0DC45D8C"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2. </w:t>
      </w:r>
      <w:r w:rsidR="002C133E" w:rsidRPr="00544CA5">
        <w:rPr>
          <w:rFonts w:ascii="Sakkal Majalla" w:eastAsia="Noto Naskh Arabic" w:hAnsi="Sakkal Majalla" w:cs="Sakkal Majalla"/>
          <w:bCs/>
          <w:color w:val="27272A"/>
          <w:sz w:val="36"/>
          <w:szCs w:val="36"/>
          <w:highlight w:val="white"/>
          <w:rtl/>
        </w:rPr>
        <w:t>أسئلة البحث</w:t>
      </w:r>
    </w:p>
    <w:p w14:paraId="20DD553A" w14:textId="1E433D79"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w:t>
      </w:r>
    </w:p>
    <w:p w14:paraId="661B61A4" w14:textId="5E55E464"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002C133E" w:rsidRPr="00E80379">
        <w:rPr>
          <w:rFonts w:ascii="Sakkal Majalla" w:eastAsia="Noto Naskh Arabic" w:hAnsi="Sakkal Majalla" w:cs="Sakkal Majalla"/>
          <w:color w:val="27272A"/>
          <w:sz w:val="36"/>
          <w:szCs w:val="36"/>
          <w:highlight w:val="white"/>
          <w:rtl/>
        </w:rPr>
        <w:t xml:space="preserve">كيف أنواع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w:t>
      </w:r>
    </w:p>
    <w:p w14:paraId="437DCD09" w14:textId="2FE81F67"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ج ) </w:t>
      </w:r>
      <w:r w:rsidR="002C133E" w:rsidRPr="00E80379">
        <w:rPr>
          <w:rFonts w:ascii="Sakkal Majalla" w:eastAsia="Noto Naskh Arabic" w:hAnsi="Sakkal Majalla" w:cs="Sakkal Majalla"/>
          <w:color w:val="27272A"/>
          <w:sz w:val="36"/>
          <w:szCs w:val="36"/>
          <w:highlight w:val="white"/>
          <w:rtl/>
        </w:rPr>
        <w:t xml:space="preserve">ما معنى البلاغة الواردة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w:t>
      </w:r>
    </w:p>
    <w:p w14:paraId="204AA7A1" w14:textId="77777777" w:rsidR="003846B8" w:rsidRDefault="003846B8" w:rsidP="001474CC">
      <w:pPr>
        <w:bidi/>
        <w:spacing w:line="360" w:lineRule="auto"/>
        <w:ind w:firstLine="360"/>
        <w:jc w:val="both"/>
        <w:rPr>
          <w:rFonts w:ascii="Sakkal Majalla" w:eastAsia="Noto Naskh Arabic" w:hAnsi="Sakkal Majalla" w:cs="Sakkal Majalla"/>
          <w:bCs/>
          <w:color w:val="27272A"/>
          <w:sz w:val="36"/>
          <w:szCs w:val="36"/>
          <w:highlight w:val="white"/>
          <w:rtl/>
        </w:rPr>
      </w:pPr>
    </w:p>
    <w:p w14:paraId="5A38735F" w14:textId="031D90DA" w:rsidR="00F440B6" w:rsidRPr="00544CA5" w:rsidRDefault="002C133E" w:rsidP="003846B8">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42AEE55E" w14:textId="6A464075"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 في القرآن الكريم</w:t>
      </w:r>
    </w:p>
    <w:p w14:paraId="4AA22987" w14:textId="055AB74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p>
    <w:p w14:paraId="4A99640E" w14:textId="09B0917A" w:rsidR="00F440B6" w:rsidRPr="00440AD6" w:rsidRDefault="002C133E" w:rsidP="00440AD6">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Pr="001474CC">
        <w:rPr>
          <w:rFonts w:ascii="Sakkal Majalla" w:eastAsia="Noto Naskh Arabic" w:hAnsi="Sakkal Majalla" w:cs="Sakkal Majalla"/>
          <w:color w:val="27272A"/>
          <w:sz w:val="32"/>
          <w:szCs w:val="32"/>
          <w:highlight w:val="white"/>
          <w:rtl/>
        </w:rPr>
        <w:t>.</w:t>
      </w:r>
    </w:p>
    <w:p w14:paraId="67CF288C" w14:textId="77777777" w:rsidR="003846B8" w:rsidRDefault="003846B8" w:rsidP="001474CC">
      <w:pPr>
        <w:bidi/>
        <w:spacing w:line="360" w:lineRule="auto"/>
        <w:ind w:firstLine="360"/>
        <w:jc w:val="both"/>
        <w:rPr>
          <w:rFonts w:ascii="Sakkal Majalla" w:eastAsia="Noto Naskh Arabic" w:hAnsi="Sakkal Majalla" w:cs="Sakkal Majalla"/>
          <w:bCs/>
          <w:color w:val="27272A"/>
          <w:sz w:val="36"/>
          <w:szCs w:val="36"/>
          <w:highlight w:val="white"/>
          <w:rtl/>
        </w:rPr>
      </w:pPr>
    </w:p>
    <w:p w14:paraId="46E70763" w14:textId="77777777" w:rsidR="003846B8" w:rsidRDefault="003846B8" w:rsidP="003846B8">
      <w:pPr>
        <w:bidi/>
        <w:spacing w:line="360" w:lineRule="auto"/>
        <w:ind w:firstLine="360"/>
        <w:jc w:val="both"/>
        <w:rPr>
          <w:rFonts w:ascii="Sakkal Majalla" w:eastAsia="Noto Naskh Arabic" w:hAnsi="Sakkal Majalla" w:cs="Sakkal Majalla"/>
          <w:bCs/>
          <w:color w:val="27272A"/>
          <w:sz w:val="36"/>
          <w:szCs w:val="36"/>
          <w:highlight w:val="white"/>
          <w:rtl/>
        </w:rPr>
      </w:pPr>
    </w:p>
    <w:p w14:paraId="79A03FA7" w14:textId="64CB9466" w:rsidR="00F440B6" w:rsidRPr="00544CA5" w:rsidRDefault="002C133E" w:rsidP="003846B8">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ه. أهمية البحث:</w:t>
      </w:r>
    </w:p>
    <w:p w14:paraId="13B6F051" w14:textId="6C8CD528" w:rsidR="00F440B6" w:rsidRPr="00544CA5" w:rsidRDefault="009C3634"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lang w:bidi="ar-EG"/>
        </w:rPr>
        <w:t xml:space="preserve">1. </w:t>
      </w:r>
      <w:r w:rsidR="002C133E" w:rsidRPr="00544CA5">
        <w:rPr>
          <w:rFonts w:ascii="Sakkal Majalla" w:eastAsia="Noto Naskh Arabic" w:hAnsi="Sakkal Majalla" w:cs="Sakkal Majalla"/>
          <w:bCs/>
          <w:color w:val="27272A"/>
          <w:sz w:val="36"/>
          <w:szCs w:val="36"/>
          <w:highlight w:val="white"/>
          <w:rtl/>
        </w:rPr>
        <w:t>الأهمية النظرية/العلمية:</w:t>
      </w:r>
    </w:p>
    <w:p w14:paraId="3F27426F" w14:textId="18139D33" w:rsidR="00F440B6" w:rsidRPr="00E80379" w:rsidRDefault="002C133E" w:rsidP="009C3634">
      <w:pPr>
        <w:bidi/>
        <w:spacing w:line="360" w:lineRule="auto"/>
        <w:ind w:left="990" w:firstLine="1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وتحليل استخدام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925404">
        <w:rPr>
          <w:rFonts w:ascii="Sakkal Majalla" w:eastAsia="Noto Naskh Arabic" w:hAnsi="Sakkal Majalla" w:cs="Sakkal Majalla" w:hint="cs"/>
          <w:color w:val="27272A"/>
          <w:sz w:val="36"/>
          <w:szCs w:val="36"/>
          <w:highlight w:val="white"/>
          <w:rtl/>
          <w:lang w:val="en-US" w:bidi="ar-EG"/>
        </w:rPr>
        <w:t>ال</w:t>
      </w:r>
      <w:r w:rsidR="00925404">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النصوص الدينية بشكل أعمق.</w:t>
      </w:r>
    </w:p>
    <w:p w14:paraId="602C6048" w14:textId="5670C790" w:rsidR="00F440B6" w:rsidRPr="009C3634" w:rsidRDefault="009C3634" w:rsidP="009C3634">
      <w:pPr>
        <w:bidi/>
        <w:spacing w:line="360" w:lineRule="auto"/>
        <w:ind w:left="720"/>
        <w:jc w:val="both"/>
        <w:rPr>
          <w:rFonts w:ascii="Sakkal Majalla" w:eastAsia="Noto Naskh Arabic" w:hAnsi="Sakkal Majalla" w:cs="Sakkal Majalla"/>
          <w:bCs/>
          <w:color w:val="27272A"/>
          <w:sz w:val="36"/>
          <w:szCs w:val="36"/>
          <w:highlight w:val="white"/>
          <w:lang w:val="en-US"/>
        </w:rPr>
      </w:pPr>
      <w:r>
        <w:rPr>
          <w:rFonts w:ascii="Sakkal Majalla" w:eastAsia="Noto Naskh Arabic" w:hAnsi="Sakkal Majalla" w:cs="Sakkal Majalla" w:hint="cs"/>
          <w:bCs/>
          <w:color w:val="27272A"/>
          <w:sz w:val="36"/>
          <w:szCs w:val="36"/>
          <w:highlight w:val="white"/>
          <w:rtl/>
        </w:rPr>
        <w:t xml:space="preserve">2. </w:t>
      </w:r>
      <w:r w:rsidR="002C133E" w:rsidRPr="009C3634">
        <w:rPr>
          <w:rFonts w:ascii="Sakkal Majalla" w:eastAsia="Noto Naskh Arabic" w:hAnsi="Sakkal Majalla" w:cs="Sakkal Majalla"/>
          <w:bCs/>
          <w:color w:val="27272A"/>
          <w:sz w:val="36"/>
          <w:szCs w:val="36"/>
          <w:highlight w:val="white"/>
          <w:rtl/>
        </w:rPr>
        <w:t>الأهمية العملية:</w:t>
      </w:r>
    </w:p>
    <w:p w14:paraId="0FD835BF" w14:textId="3AA88989" w:rsidR="00F440B6" w:rsidRDefault="002C133E" w:rsidP="009C3634">
      <w:pPr>
        <w:bidi/>
        <w:spacing w:line="360" w:lineRule="auto"/>
        <w:ind w:left="990" w:firstLine="180"/>
        <w:jc w:val="both"/>
        <w:rPr>
          <w:rFonts w:ascii="Noto Naskh Arabic" w:eastAsia="Noto Naskh Arabic" w:hAnsi="Noto Naskh Arabic" w:cs="Noto Naskh Arabic"/>
          <w:b/>
          <w:color w:val="27272A"/>
          <w:sz w:val="32"/>
          <w:szCs w:val="32"/>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39DEB" w14:textId="77777777" w:rsidR="00F04AF6" w:rsidRDefault="00F04AF6">
      <w:pPr>
        <w:spacing w:line="240" w:lineRule="auto"/>
      </w:pPr>
      <w:r>
        <w:separator/>
      </w:r>
    </w:p>
  </w:endnote>
  <w:endnote w:type="continuationSeparator" w:id="0">
    <w:p w14:paraId="2A73561E" w14:textId="77777777" w:rsidR="00F04AF6" w:rsidRDefault="00F04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8D6E7" w14:textId="77777777" w:rsidR="00F04AF6" w:rsidRDefault="00F04AF6">
      <w:pPr>
        <w:spacing w:line="240" w:lineRule="auto"/>
      </w:pPr>
      <w:r>
        <w:separator/>
      </w:r>
    </w:p>
  </w:footnote>
  <w:footnote w:type="continuationSeparator" w:id="0">
    <w:p w14:paraId="3417F343" w14:textId="77777777" w:rsidR="00F04AF6" w:rsidRDefault="00F04AF6">
      <w:pPr>
        <w:spacing w:line="240" w:lineRule="auto"/>
      </w:pPr>
      <w:r>
        <w:continuationSeparator/>
      </w:r>
    </w:p>
  </w:footnote>
  <w:footnote w:id="1">
    <w:p w14:paraId="7F82F366" w14:textId="53B8FA26" w:rsidR="00CD4924" w:rsidRPr="00CD4924" w:rsidRDefault="00CD4924">
      <w:pPr>
        <w:pStyle w:val="FootnoteText"/>
        <w:rPr>
          <w:lang w:val="en-US"/>
        </w:rPr>
      </w:pPr>
      <w:r>
        <w:rPr>
          <w:rStyle w:val="FootnoteReference"/>
        </w:rPr>
        <w:footnoteRef/>
      </w:r>
      <w:r>
        <w:t xml:space="preserve"> </w:t>
      </w:r>
      <w:r>
        <w:fldChar w:fldCharType="begin"/>
      </w:r>
      <w:r>
        <w:instrText xml:space="preserve"> ADDIN ZOTERO_ITEM CSL_CITATION {"citationID":"05Y4bwjg","properties":{"formattedCitation":"Siti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177–80.","noteIndex":1},"citationItems":[{"id":37,"uris":["http://zotero.org/users/local/PxK9EVr5/items/LID98YZJ"],"itemData":{"id":37,"type":"article-journal","container-title":"Al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925404">
        <w:rPr>
          <w:rFonts w:asciiTheme="minorHAnsi" w:hAnsiTheme="minorHAnsi"/>
          <w:sz w:val="16"/>
        </w:rPr>
        <w:t xml:space="preserve">Siti Fahimah, “Kaidah-Kaidah Memahami Amr Dan Nahy: Urgensitasnya Dalam Memahami Al Qur’an,” </w:t>
      </w:r>
      <w:r w:rsidRPr="00925404">
        <w:rPr>
          <w:rFonts w:asciiTheme="minorHAnsi" w:hAnsiTheme="minorHAnsi"/>
          <w:i/>
          <w:iCs/>
          <w:sz w:val="16"/>
        </w:rPr>
        <w:t>Al Furqon</w:t>
      </w:r>
      <w:r w:rsidRPr="00CD4924">
        <w:rPr>
          <w:szCs w:val="24"/>
        </w:rPr>
        <w:t xml:space="preserve"> 1 (2018): 177–80.</w:t>
      </w:r>
      <w:r>
        <w:fldChar w:fldCharType="end"/>
      </w:r>
    </w:p>
  </w:footnote>
  <w:footnote w:id="2">
    <w:p w14:paraId="5479E0D7" w14:textId="7772C11F" w:rsidR="00535146" w:rsidRPr="00535146" w:rsidRDefault="00535146">
      <w:pPr>
        <w:pStyle w:val="FootnoteText"/>
        <w:rPr>
          <w:lang w:val="en-US"/>
        </w:rPr>
      </w:pPr>
      <w:r>
        <w:rPr>
          <w:rStyle w:val="FootnoteReference"/>
        </w:rPr>
        <w:footnoteRef/>
      </w:r>
      <w:r>
        <w:t xml:space="preserve"> </w:t>
      </w:r>
      <w:r>
        <w:fldChar w:fldCharType="begin"/>
      </w:r>
      <w:r>
        <w:instrText xml:space="preserve"> ADDIN ZOTERO_ITEM CSL_CITATION {"citationID":"fmUtOm7U","properties":{"formattedCitation":"Muhammad Ali Al-Shabuni, \\uc0\\u8220{}Al-Tibyan Fi \\uc0\\u8216{}Ulum al-Qur\\uc0\\u8217{}An,\\uc0\\u8221{} {\\i{}Beirut:\\uc0\\u8216{}Alam al-Kutub} (1985).","plainCitation":"Muhammad Ali Al-Shabuni, “Al-Tibyan Fi ‘Ulum al-Qur’An,” Beirut:‘Alam al-Kutub (1985).","noteIndex":1},"citationItems":[{"id":16,"uris":["http://zotero.org/users/local/PxK9EVr5/items/IGCMU8JU"],"itemData":{"id":16,"type":"article-journal","container-title":"Beirut:‘Alam al-Kutub","title":"al-Tibyan fi ‘Ulum al-Qur’an","author":[{"family":"Al-Shabuni","given":"Muhammad Ali"}],"issued":{"date-parts":[["1985"]]}}}],"schema":"https://github.com/citation-style-language/schema/raw/master/csl-citation.json"} </w:instrText>
      </w:r>
      <w:r>
        <w:fldChar w:fldCharType="separate"/>
      </w:r>
      <w:r w:rsidRPr="001E40E2">
        <w:rPr>
          <w:rFonts w:asciiTheme="minorHAnsi" w:hAnsiTheme="minorHAnsi"/>
          <w:sz w:val="16"/>
        </w:rPr>
        <w:t>Muhammad Ali Al-Shabuni, “</w:t>
      </w:r>
      <w:r w:rsidRPr="001E40E2">
        <w:rPr>
          <w:rFonts w:asciiTheme="minorHAnsi" w:hAnsiTheme="minorHAnsi"/>
          <w:sz w:val="16"/>
          <w:u w:val="single"/>
        </w:rPr>
        <w:t>Al-Tibyan Fi ‘Ulum al-Qur’An,”</w:t>
      </w:r>
      <w:r w:rsidRPr="001E40E2">
        <w:rPr>
          <w:rFonts w:asciiTheme="minorHAnsi" w:hAnsiTheme="minorHAnsi"/>
          <w:sz w:val="16"/>
        </w:rPr>
        <w:t xml:space="preserve"> </w:t>
      </w:r>
      <w:r w:rsidRPr="001E40E2">
        <w:rPr>
          <w:rFonts w:asciiTheme="minorHAnsi" w:hAnsiTheme="minorHAnsi"/>
          <w:i/>
          <w:iCs/>
          <w:sz w:val="16"/>
        </w:rPr>
        <w:t>Beirut:‘Alam al-Kutub</w:t>
      </w:r>
      <w:r w:rsidRPr="001E40E2">
        <w:rPr>
          <w:rFonts w:asciiTheme="minorHAnsi" w:hAnsiTheme="minorHAnsi"/>
          <w:sz w:val="16"/>
        </w:rPr>
        <w:t xml:space="preserve"> (</w:t>
      </w:r>
      <w:r w:rsidRPr="00535146">
        <w:rPr>
          <w:szCs w:val="24"/>
        </w:rPr>
        <w:t>1985).</w:t>
      </w:r>
      <w:r>
        <w:fldChar w:fldCharType="end"/>
      </w:r>
    </w:p>
  </w:footnote>
  <w:footnote w:id="3">
    <w:p w14:paraId="6116E736" w14:textId="7C912D61" w:rsidR="0017107B" w:rsidRPr="0017107B" w:rsidRDefault="0017107B">
      <w:pPr>
        <w:pStyle w:val="FootnoteText"/>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395–406.","noteIndex":2},"citationItems":[{"id":25,"uris":["http://zotero.org/users/local/PxK9EVr5/items/LSFXHV3J"],"itemData":{"id":25,"type":"article-journal","container-title":"A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7A4BA3" w:rsidRPr="00925404">
        <w:rPr>
          <w:rFonts w:asciiTheme="minorHAnsi" w:hAnsiTheme="minorHAnsi"/>
          <w:sz w:val="16"/>
          <w:szCs w:val="16"/>
        </w:rPr>
        <w:t xml:space="preserve">Randy Safii, Sriwahyuningsih R Shaleh, </w:t>
      </w:r>
      <w:r w:rsidR="001E40E2" w:rsidRPr="00925404">
        <w:rPr>
          <w:rFonts w:asciiTheme="minorHAnsi" w:hAnsiTheme="minorHAnsi"/>
          <w:sz w:val="16"/>
          <w:szCs w:val="16"/>
          <w:rtl/>
        </w:rPr>
        <w:t>و</w:t>
      </w:r>
      <w:r w:rsidR="007A4BA3" w:rsidRPr="00925404">
        <w:rPr>
          <w:rFonts w:asciiTheme="minorHAnsi" w:hAnsiTheme="minorHAnsi"/>
          <w:sz w:val="16"/>
          <w:szCs w:val="16"/>
        </w:rPr>
        <w:t xml:space="preserve"> </w:t>
      </w:r>
      <w:r w:rsidR="001E40E2" w:rsidRPr="00925404">
        <w:rPr>
          <w:rFonts w:asciiTheme="minorHAnsi" w:hAnsiTheme="minorHAnsi"/>
          <w:sz w:val="16"/>
          <w:szCs w:val="16"/>
          <w:rtl/>
        </w:rPr>
        <w:t xml:space="preserve"> </w:t>
      </w:r>
      <w:r w:rsidR="007A4BA3" w:rsidRPr="00925404">
        <w:rPr>
          <w:rFonts w:asciiTheme="minorHAnsi" w:hAnsiTheme="minorHAnsi"/>
          <w:sz w:val="16"/>
          <w:szCs w:val="16"/>
        </w:rPr>
        <w:t xml:space="preserve">Chaterina Puteri Doni, “Uslub Kalam Khabar Dan Insya’dalam Dialog Kisah Nabi Zakariyah Dalam Al-Qur’an,” </w:t>
      </w:r>
      <w:r w:rsidR="007A4BA3" w:rsidRPr="00925404">
        <w:rPr>
          <w:rFonts w:asciiTheme="minorHAnsi" w:hAnsiTheme="minorHAnsi"/>
          <w:i/>
          <w:iCs/>
          <w:sz w:val="16"/>
          <w:szCs w:val="16"/>
        </w:rPr>
        <w:t>A Jamiy: Jurnal Bahasa dan Sastra Arab</w:t>
      </w:r>
      <w:r w:rsidR="007A4BA3" w:rsidRPr="00925404">
        <w:rPr>
          <w:rFonts w:asciiTheme="minorHAnsi" w:hAnsiTheme="minorHAnsi"/>
          <w:sz w:val="16"/>
          <w:szCs w:val="16"/>
        </w:rPr>
        <w:t xml:space="preserve"> 11, no</w:t>
      </w:r>
      <w:r w:rsidR="007A4BA3" w:rsidRPr="007A4BA3">
        <w:rPr>
          <w:szCs w:val="24"/>
        </w:rPr>
        <w:t>. 2 (2022): 395–406.</w:t>
      </w:r>
      <w:r>
        <w:fldChar w:fldCharType="end"/>
      </w:r>
    </w:p>
  </w:footnote>
  <w:footnote w:id="4">
    <w:p w14:paraId="66BA52C5" w14:textId="3C32CA4A"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{"citationID":"3kFi87fY","properties":{"formattedCitation":"Sopwan Mulyawan, \\uc0\\u8220{}Studi Ilmu Ma\\uc0\\u8217{}ani (Stylistic) Terhadap Ayat-Ayat Surat Yasin,\\uc0\\u8221{} {\\i{}Holistik} 12, no. 2 (2011).","plainCitation":"Sopwan Mulyawan, “Studi Ilmu Ma’ani (Stylistic) Terhadap Ayat-Ayat Surat Yasin,” Holistik 12, no. 2 (2011).","noteIndex":3},"citationItems":[{"id":17,"uris":["http://zotero.org/users/local/PxK9EVr5/items/7IYFBIUX"],"itemData":{"id":17,"type":"article-journal","container-title":"Holistik","ISSN":"2527-9556","issue":"2","title":"Studi Ilmu Ma’ani (Stylistic) Terhadap Ayat-Ayat Surat Yasin","volume":"12","author":[{"family":"Mulyawan","given":"Sopwan"}],"issued":{"date-parts":[["2011"]]}}}],"schema":"https://github.com/citation-style-language/schema/raw/master/csl-citation.json"} </w:instrText>
      </w:r>
      <w:r>
        <w:fldChar w:fldCharType="separate"/>
      </w:r>
      <w:r w:rsidRPr="00925404">
        <w:rPr>
          <w:rFonts w:asciiTheme="minorHAnsi" w:hAnsiTheme="minorHAnsi" w:cstheme="majorHAnsi"/>
          <w:sz w:val="16"/>
        </w:rPr>
        <w:t xml:space="preserve">Sopwan Mulyawan, </w:t>
      </w:r>
      <w:r w:rsidRPr="00925404">
        <w:rPr>
          <w:rFonts w:asciiTheme="minorHAnsi" w:hAnsiTheme="minorHAnsi" w:cstheme="majorHAnsi"/>
          <w:sz w:val="16"/>
          <w:u w:val="single"/>
        </w:rPr>
        <w:t>“Studi Ilmu Ma’ani (Stylistic) Terhadap Ayat-Ayat Surat Yasin,</w:t>
      </w:r>
      <w:r w:rsidRPr="00925404">
        <w:rPr>
          <w:rFonts w:asciiTheme="minorHAnsi" w:hAnsiTheme="minorHAnsi" w:cstheme="majorHAnsi"/>
          <w:sz w:val="16"/>
        </w:rPr>
        <w:t xml:space="preserve">” </w:t>
      </w:r>
      <w:r w:rsidRPr="00925404">
        <w:rPr>
          <w:rFonts w:asciiTheme="minorHAnsi" w:hAnsiTheme="minorHAnsi" w:cstheme="majorHAnsi"/>
          <w:i/>
          <w:iCs/>
          <w:sz w:val="16"/>
        </w:rPr>
        <w:t>Holistik</w:t>
      </w:r>
      <w:r w:rsidRPr="001E40E2">
        <w:rPr>
          <w:rFonts w:asciiTheme="minorHAnsi" w:hAnsiTheme="minorHAnsi" w:cstheme="majorHAnsi"/>
          <w:sz w:val="18"/>
          <w:szCs w:val="22"/>
        </w:rPr>
        <w:t xml:space="preserve"> </w:t>
      </w:r>
      <w:r w:rsidRPr="00535146">
        <w:rPr>
          <w:szCs w:val="24"/>
        </w:rPr>
        <w:t>12, no. 2 (2011).</w:t>
      </w:r>
      <w:r>
        <w:fldChar w:fldCharType="end"/>
      </w:r>
    </w:p>
  </w:footnote>
  <w:footnote w:id="5">
    <w:p w14:paraId="0C84F63E" w14:textId="23CFF63E"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{"citationID":"0hTlhnm6","properties":{"formattedCitation":"Mustafa Al-Ghalayini, {\\i{}Jamial-Durus al-Arabiyah} (Darul Fikir, 2009).","plainCitation":"Mustafa Al-Ghalayini, Jamial-Durus al-Arabiyah (Darul Fikir, 2009).","noteIndex":4},"citationItems":[{"id":18,"uris":["http://zotero.org/users/local/PxK9EVr5/items/QMBC2RYL"],"itemData":{"id":18,"type":"book","publisher":"Darul Fikir","title":"Jamial-Durus al-Arabiyah","author":[{"family":"Al-Ghalayini","given":"Mustafa"}],"issued":{"date-parts":[["2009"]]}}}],"schema":"https://github.com/citation-style-language/schema/raw/master/csl-citation.json"} </w:instrText>
      </w:r>
      <w:r>
        <w:fldChar w:fldCharType="separate"/>
      </w:r>
      <w:r w:rsidR="007A4BA3" w:rsidRPr="00925404">
        <w:rPr>
          <w:rFonts w:asciiTheme="minorHAnsi" w:hAnsiTheme="minorHAnsi"/>
          <w:sz w:val="16"/>
        </w:rPr>
        <w:t xml:space="preserve">Mustafa Al-Ghalayini, </w:t>
      </w:r>
      <w:r w:rsidR="007A4BA3" w:rsidRPr="00925404">
        <w:rPr>
          <w:rFonts w:asciiTheme="minorHAnsi" w:hAnsiTheme="minorHAnsi"/>
          <w:i/>
          <w:iCs/>
          <w:sz w:val="16"/>
        </w:rPr>
        <w:t>Jamial-Durus al-Arabiyah</w:t>
      </w:r>
      <w:r w:rsidR="007A4BA3" w:rsidRPr="00925404">
        <w:rPr>
          <w:rFonts w:asciiTheme="minorHAnsi" w:hAnsiTheme="minorHAnsi"/>
          <w:sz w:val="16"/>
        </w:rPr>
        <w:t xml:space="preserve"> (Darul Fikir</w:t>
      </w:r>
      <w:r w:rsidR="007A4BA3" w:rsidRPr="001E40E2">
        <w:rPr>
          <w:rFonts w:asciiTheme="minorHAnsi" w:hAnsiTheme="minorHAnsi"/>
          <w:sz w:val="18"/>
          <w:szCs w:val="22"/>
        </w:rPr>
        <w:t>,</w:t>
      </w:r>
      <w:r w:rsidR="007A4BA3" w:rsidRPr="007A4BA3">
        <w:rPr>
          <w:szCs w:val="24"/>
        </w:rPr>
        <w:t xml:space="preserve"> 2009).</w:t>
      </w:r>
      <w:r>
        <w:fldChar w:fldCharType="end"/>
      </w:r>
    </w:p>
  </w:footnote>
  <w:footnote w:id="6">
    <w:p w14:paraId="09A1B6AE" w14:textId="4EADA986"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131–142.","noteIndex":5},"citationItems":[{"id":19,"uris":["http://zotero.org/users/local/PxK9EVr5/items/P3JCLBVM"],"itemData":{"id":19,"type":"article-journal","container-title":"RUSYDIAH: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7">
    <w:p w14:paraId="2BB52166" w14:textId="6E5A80D3"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17107B">
        <w:rPr>
          <w:rtl/>
        </w:rPr>
        <w:instrText>لسـانـنـا</w:instrText>
      </w:r>
      <w:r w:rsidR="0017107B">
        <w:instrText xml:space="preserve"> (LISANUNA): Jurnal Ilmu Bahasa Arab dan Pembelajarannya 10, no. 1 (2020): 55–69.","noteIndex":6},"citationItems":[{"id":15,"uris":["http://zotero.org/users/local/PxK9EVr5/items/CU2S3XM8"],"itemData":{"id":15,"type":"article-journal","container-title":"</w:instrText>
      </w:r>
      <w:r w:rsidR="0017107B">
        <w:rPr>
          <w:rtl/>
        </w:rPr>
        <w:instrText>لسـانـنـا</w:instrText>
      </w:r>
      <w:r w:rsidR="0017107B">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no. 1 (2020): 55–69.</w:t>
      </w:r>
      <w:r>
        <w:fldChar w:fldCharType="end"/>
      </w:r>
    </w:p>
  </w:footnote>
  <w:footnote w:id="8">
    <w:p w14:paraId="6E220929" w14:textId="0A69764D"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sidR="0017107B" w:rsidRPr="00925404">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(n.d.).","noteIndex":7},"citationItems":[{"id":1,"uris":["http://zotero.org/users/local/PxK9EVr5/items/6UZ4G2H5"],"itemData":{"id":1,"type":"article-journal","note":"publisher: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9">
    <w:p w14:paraId="70E1A517" w14:textId="0AF2E80D"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{"citationID":"YfUaesNR","properties":{"formattedCitation":"\\uc0\\u1571{}\\uc0\\u1581{}\\uc0\\u1605{}\\uc0\\u1583{}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sidR="0017107B">
        <w:rPr>
          <w:rtl/>
        </w:rPr>
        <w:instrText>أحمد الهاشمي, جواهر البلاغة في المعاني والبيان والبديع</w:instrText>
      </w:r>
      <w:r w:rsidR="0017107B">
        <w:rPr>
          <w:cs/>
        </w:rPr>
        <w:instrText>‎</w:instrText>
      </w:r>
      <w:r w:rsidR="0017107B">
        <w:instrText>, 1999</w:instrText>
      </w:r>
      <w:r w:rsidR="0017107B">
        <w:rPr>
          <w:cs/>
        </w:rPr>
        <w:instrText>‎</w:instrText>
      </w:r>
      <w:r w:rsidR="0017107B">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noteIndex":8},"citationItems":[{"id":4,"uris":["http://zotero.org/users/local/PxK9EVr5/items/S5HITEA3"],"itemData":{"id":4,"type":"book","abstract":"… </w:instrText>
      </w:r>
      <w:r w:rsidR="0017107B">
        <w:rPr>
          <w:rtl/>
        </w:rPr>
        <w:instrText>وكتب المرحوم أستاذنا الحكيم</w:instrText>
      </w:r>
      <w:r w:rsidR="0017107B">
        <w:instrText xml:space="preserve"> </w:instrText>
      </w:r>
      <w:r w:rsidR="0017107B">
        <w:rPr>
          <w:rtl/>
        </w:rPr>
        <w:instrText>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sidR="0017107B">
        <w:instrText xml:space="preserve"> …</w:instrText>
      </w:r>
      <w:r w:rsidR="0017107B">
        <w:rPr>
          <w:cs/>
        </w:rPr>
        <w:instrText>‎</w:instrText>
      </w:r>
      <w:r w:rsidR="0017107B">
        <w:instrText>","note":"container-title: 1999</w:instrText>
      </w:r>
      <w:r w:rsidR="0017107B">
        <w:rPr>
          <w:cs/>
        </w:rPr>
        <w:instrText>‎</w:instrText>
      </w:r>
      <w:r w:rsidR="0017107B">
        <w:instrText>","publisher":"books.google.com","title":"</w:instrText>
      </w:r>
      <w:r w:rsidR="0017107B">
        <w:rPr>
          <w:rtl/>
        </w:rPr>
        <w:instrText>جواهر البلاغة في المعاني والبيان والبديع</w:instrText>
      </w:r>
      <w:r w:rsidR="0017107B">
        <w:rPr>
          <w:cs/>
        </w:rPr>
        <w:instrText>‎</w:instrText>
      </w:r>
      <w:r w:rsidR="0017107B">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sidR="0017107B">
        <w:rPr>
          <w:rtl/>
        </w:rPr>
        <w:instrText>الهاشمي</w:instrText>
      </w:r>
      <w:r w:rsidR="0017107B">
        <w:instrText>","given":"</w:instrText>
      </w:r>
      <w:r w:rsidR="0017107B">
        <w:rPr>
          <w:rtl/>
        </w:rPr>
        <w:instrText>أحمد</w:instrText>
      </w:r>
      <w:r w:rsidR="0017107B">
        <w:instrText xml:space="preserve">"}]}}],"schema":"https://github.com/citation-style-language/schema/raw/master/csl-citation.json"} </w:instrText>
      </w:r>
      <w:r>
        <w:fldChar w:fldCharType="separate"/>
      </w:r>
      <w:r w:rsidRPr="00D11F9E">
        <w:rPr>
          <w:rFonts w:ascii="Sakkal Majalla" w:hAnsi="Sakkal Majalla" w:cs="Sakkal Majalla" w:hint="cs"/>
          <w:sz w:val="22"/>
          <w:szCs w:val="28"/>
          <w:rtl/>
        </w:rPr>
        <w:t>أ</w:t>
      </w:r>
      <w:r w:rsidRPr="001E40E2">
        <w:rPr>
          <w:rFonts w:ascii="Sakkal Majalla" w:hAnsi="Sakkal Majalla" w:cs="Sakkal Majalla" w:hint="cs"/>
          <w:sz w:val="24"/>
          <w:szCs w:val="24"/>
          <w:rtl/>
        </w:rPr>
        <w:t xml:space="preserve">حمد الهاشمي, </w:t>
      </w:r>
      <w:r w:rsidRPr="001E40E2">
        <w:rPr>
          <w:rFonts w:ascii="Sakkal Majalla" w:hAnsi="Sakkal Majalla" w:cs="Sakkal Majalla" w:hint="cs"/>
          <w:i/>
          <w:iCs/>
          <w:sz w:val="24"/>
          <w:szCs w:val="24"/>
          <w:u w:val="single"/>
          <w:rtl/>
        </w:rPr>
        <w:t>جواهر البلاغة في المعاني والبيان والبديع</w:t>
      </w:r>
      <w:r w:rsidRPr="001E40E2">
        <w:rPr>
          <w:rFonts w:ascii="Sakkal Majalla" w:hAnsi="Sakkal Majalla" w:cs="Sakkal Majalla" w:hint="cs"/>
          <w:i/>
          <w:iCs/>
          <w:sz w:val="24"/>
          <w:szCs w:val="24"/>
          <w:u w:val="single"/>
          <w:cs/>
        </w:rPr>
        <w:t>‎</w:t>
      </w:r>
      <w:r w:rsidRPr="001E40E2">
        <w:rPr>
          <w:rFonts w:ascii="Sakkal Majalla" w:hAnsi="Sakkal Majalla" w:cs="Sakkal Majalla" w:hint="cs"/>
          <w:sz w:val="24"/>
          <w:szCs w:val="24"/>
        </w:rPr>
        <w:t>,</w:t>
      </w:r>
      <w:r w:rsidRPr="00893034">
        <w:rPr>
          <w:szCs w:val="24"/>
        </w:rPr>
        <w:t xml:space="preserve"> </w:t>
      </w:r>
      <w:r w:rsidRPr="00893034">
        <w:rPr>
          <w:i/>
          <w:iCs/>
          <w:szCs w:val="24"/>
          <w:rtl/>
        </w:rPr>
        <w:t>1999</w:t>
      </w:r>
      <w:r w:rsidRPr="00893034">
        <w:rPr>
          <w:i/>
          <w:iCs/>
          <w:szCs w:val="24"/>
          <w:cs/>
        </w:rPr>
        <w:t>‎</w:t>
      </w:r>
      <w:r w:rsidRPr="00893034">
        <w:rPr>
          <w:szCs w:val="24"/>
        </w:rPr>
        <w:t xml:space="preserve"> </w:t>
      </w:r>
      <w:r w:rsidRPr="00925404">
        <w:rPr>
          <w:rFonts w:asciiTheme="minorHAnsi" w:hAnsiTheme="minorHAnsi"/>
          <w:sz w:val="16"/>
          <w:szCs w:val="16"/>
        </w:rPr>
        <w:t>(books.google.com, n.d.), https://books.google.com/books?hl=en&amp;lr=&amp;id=hMq</w:t>
      </w:r>
      <w:r w:rsidRPr="00925404">
        <w:rPr>
          <w:rFonts w:asciiTheme="minorHAnsi" w:hAnsiTheme="minorHAnsi"/>
          <w:sz w:val="16"/>
          <w:szCs w:val="16"/>
          <w:rtl/>
        </w:rPr>
        <w:t>6</w:t>
      </w:r>
      <w:r w:rsidRPr="00925404">
        <w:rPr>
          <w:rFonts w:asciiTheme="minorHAnsi" w:hAnsiTheme="minorHAnsi"/>
          <w:sz w:val="16"/>
          <w:szCs w:val="16"/>
        </w:rPr>
        <w:t>CuctvcsC&amp;oi=fnd&amp;pg=PT</w:t>
      </w:r>
      <w:r w:rsidRPr="00925404">
        <w:rPr>
          <w:rFonts w:asciiTheme="minorHAnsi" w:hAnsiTheme="minorHAnsi"/>
          <w:sz w:val="16"/>
          <w:szCs w:val="16"/>
          <w:rtl/>
        </w:rPr>
        <w:t>13</w:t>
      </w:r>
      <w:r w:rsidRPr="00925404">
        <w:rPr>
          <w:rFonts w:asciiTheme="minorHAnsi" w:hAnsiTheme="minorHAnsi"/>
          <w:sz w:val="16"/>
          <w:szCs w:val="16"/>
        </w:rPr>
        <w:t>&amp;dq=%D</w:t>
      </w:r>
      <w:r w:rsidRPr="00925404">
        <w:rPr>
          <w:rFonts w:asciiTheme="minorHAnsi" w:hAnsiTheme="minorHAnsi"/>
          <w:sz w:val="16"/>
          <w:szCs w:val="16"/>
          <w:rtl/>
        </w:rPr>
        <w:t>8%</w:t>
      </w:r>
      <w:r w:rsidRPr="00925404">
        <w:rPr>
          <w:rFonts w:asciiTheme="minorHAnsi" w:hAnsiTheme="minorHAnsi"/>
          <w:sz w:val="16"/>
          <w:szCs w:val="16"/>
        </w:rPr>
        <w:t>AC%D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9%87%</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1</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9</w:t>
      </w:r>
      <w:r w:rsidRPr="00925404">
        <w:rPr>
          <w:rFonts w:asciiTheme="minorHAnsi" w:hAnsiTheme="minorHAnsi"/>
          <w:sz w:val="16"/>
          <w:szCs w:val="16"/>
        </w:rPr>
        <w:t>+%D</w:t>
      </w:r>
      <w:r w:rsidRPr="00925404">
        <w:rPr>
          <w:rFonts w:asciiTheme="minorHAnsi" w:hAnsiTheme="minorHAnsi"/>
          <w:sz w:val="16"/>
          <w:szCs w:val="16"/>
          <w:rtl/>
        </w:rPr>
        <w:t>9%81%</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9%85%</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9%</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9%86%</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9%86</w:t>
      </w:r>
      <w:r w:rsidRPr="00925404">
        <w:rPr>
          <w:rFonts w:asciiTheme="minorHAnsi" w:hAnsiTheme="minorHAnsi"/>
          <w:sz w:val="16"/>
          <w:szCs w:val="16"/>
        </w:rPr>
        <w:t>+%D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AF%D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9</w:t>
      </w:r>
      <w:r w:rsidRPr="00925404">
        <w:rPr>
          <w:rFonts w:asciiTheme="minorHAnsi" w:hAnsiTheme="minorHAnsi"/>
          <w:sz w:val="16"/>
          <w:szCs w:val="16"/>
        </w:rPr>
        <w:t>&amp;ots=vLIOeYnvRV&amp;sig=L</w:t>
      </w:r>
      <w:r w:rsidRPr="00925404">
        <w:rPr>
          <w:rFonts w:asciiTheme="minorHAnsi" w:hAnsiTheme="minorHAnsi"/>
          <w:sz w:val="16"/>
          <w:szCs w:val="16"/>
          <w:rtl/>
        </w:rPr>
        <w:t>6</w:t>
      </w:r>
      <w:r w:rsidRPr="00925404">
        <w:rPr>
          <w:rFonts w:asciiTheme="minorHAnsi" w:hAnsiTheme="minorHAnsi"/>
          <w:sz w:val="16"/>
          <w:szCs w:val="16"/>
        </w:rPr>
        <w:t>igB</w:t>
      </w:r>
      <w:r w:rsidRPr="00925404">
        <w:rPr>
          <w:rFonts w:asciiTheme="minorHAnsi" w:hAnsiTheme="minorHAnsi"/>
          <w:sz w:val="16"/>
          <w:szCs w:val="16"/>
          <w:rtl/>
        </w:rPr>
        <w:t>8</w:t>
      </w:r>
      <w:r w:rsidRPr="00925404">
        <w:rPr>
          <w:rFonts w:asciiTheme="minorHAnsi" w:hAnsiTheme="minorHAnsi"/>
          <w:sz w:val="16"/>
          <w:szCs w:val="16"/>
        </w:rPr>
        <w:t>h</w:t>
      </w:r>
      <w:r w:rsidRPr="00925404">
        <w:rPr>
          <w:rFonts w:asciiTheme="minorHAnsi" w:hAnsiTheme="minorHAnsi"/>
          <w:sz w:val="16"/>
          <w:szCs w:val="16"/>
          <w:rtl/>
        </w:rPr>
        <w:t>7</w:t>
      </w:r>
      <w:r w:rsidRPr="00925404">
        <w:rPr>
          <w:rFonts w:asciiTheme="minorHAnsi" w:hAnsiTheme="minorHAnsi"/>
          <w:sz w:val="16"/>
          <w:szCs w:val="16"/>
        </w:rPr>
        <w:t>yfNwevdOtCKETMMveUs</w:t>
      </w:r>
      <w:r w:rsidRPr="001E40E2">
        <w:rPr>
          <w:rFonts w:asciiTheme="minorHAnsi" w:hAnsiTheme="minorHAnsi"/>
          <w:sz w:val="18"/>
          <w:szCs w:val="18"/>
        </w:rPr>
        <w:t>.</w:t>
      </w:r>
      <w:r>
        <w:fldChar w:fldCharType="end"/>
      </w:r>
    </w:p>
  </w:footnote>
  <w:footnote w:id="10">
    <w:p w14:paraId="11D4091A" w14:textId="78FC74F3" w:rsidR="00C36F26" w:rsidRDefault="00C36F26">
      <w:pPr>
        <w:pStyle w:val="FootnoteText"/>
        <w:rPr>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159.","noteIndex":9},"citationItems":[{"id":26,"uris":["http://zotero.org/users/local/PxK9EVr5/items/4MAP5GVK"],"itemData":{"id":26,"type":"article-journal","container-title":"El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1E40E2">
        <w:rPr>
          <w:rFonts w:asciiTheme="minorHAnsi" w:hAnsiTheme="minorHAnsi"/>
          <w:sz w:val="18"/>
          <w:szCs w:val="22"/>
          <w:u w:val="single"/>
        </w:rPr>
        <w:t xml:space="preserve">Mohamad Zaka Al Farisi, “Ketedasan Terjemahan Ayat-Ayat Imperatif Bernuansa Budaya,” </w:t>
      </w:r>
      <w:r w:rsidRPr="001E40E2">
        <w:rPr>
          <w:rFonts w:asciiTheme="minorHAnsi" w:hAnsiTheme="minorHAnsi"/>
          <w:i/>
          <w:iCs/>
          <w:sz w:val="18"/>
          <w:szCs w:val="22"/>
        </w:rPr>
        <w:t>El harakah</w:t>
      </w:r>
      <w:r w:rsidRPr="001E40E2">
        <w:rPr>
          <w:rFonts w:asciiTheme="minorHAnsi" w:hAnsiTheme="minorHAnsi"/>
          <w:sz w:val="18"/>
          <w:szCs w:val="22"/>
        </w:rPr>
        <w:t xml:space="preserve"> </w:t>
      </w:r>
      <w:r w:rsidRPr="00C36F26">
        <w:rPr>
          <w:szCs w:val="24"/>
        </w:rPr>
        <w:t>19, no. 2 (2017): 159.</w:t>
      </w:r>
      <w:r>
        <w:fldChar w:fldCharType="end"/>
      </w:r>
    </w:p>
  </w:footnote>
  <w:footnote w:id="11">
    <w:p w14:paraId="49769AF7" w14:textId="045086E0" w:rsidR="00CC4A88" w:rsidRPr="00CC4A88" w:rsidRDefault="00CC4A88">
      <w:pPr>
        <w:pStyle w:val="FootnoteText"/>
        <w:rPr>
          <w:lang w:val="en-US"/>
        </w:rPr>
      </w:pPr>
      <w:r>
        <w:rPr>
          <w:rStyle w:val="FootnoteReference"/>
        </w:rPr>
        <w:footnoteRef/>
      </w:r>
      <w:r>
        <w:t xml:space="preserve"> </w:t>
      </w:r>
      <w:r>
        <w:fldChar w:fldCharType="begin"/>
      </w:r>
      <w:r w:rsidR="007A4BA3">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(2019).","noteIndex":10},"citationItems":[{"id":20,"uris":["http://zotero.org/users/local/PxK9EVr5/items/XLL8CVBA"],"itemData":{"id":20,"type":"article-journal","container-title":"Al-Fathin","issue":"2","title":"Kajian Balahgah Dalam Al-Qur'an surah Lukman","volume":"02","author":[{"literal":"Muhammad Zaky Sya'bani"}],"issued":{"date-parts":[["2019"]]}}}],"schema":"https://github.com/citation-style-language/schema/raw/master/csl-citation.json"} </w:instrText>
      </w:r>
      <w:r>
        <w:fldChar w:fldCharType="separate"/>
      </w:r>
      <w:r w:rsidRPr="001E40E2">
        <w:rPr>
          <w:rFonts w:asciiTheme="minorHAnsi" w:hAnsiTheme="minorHAnsi"/>
          <w:sz w:val="18"/>
          <w:szCs w:val="18"/>
          <w:u w:val="single"/>
        </w:rPr>
        <w:t>Muhammad Zaky Sya’bani, “Kajian Balahgah Dalam Al-Qur’an Surah Lukman,</w:t>
      </w:r>
      <w:r w:rsidRPr="001E40E2">
        <w:rPr>
          <w:rFonts w:asciiTheme="minorHAnsi" w:hAnsiTheme="minorHAnsi"/>
          <w:sz w:val="18"/>
          <w:szCs w:val="18"/>
        </w:rPr>
        <w:t xml:space="preserve">” </w:t>
      </w:r>
      <w:r w:rsidRPr="001E40E2">
        <w:rPr>
          <w:rFonts w:asciiTheme="minorHAnsi" w:hAnsiTheme="minorHAnsi"/>
          <w:i/>
          <w:iCs/>
          <w:sz w:val="18"/>
          <w:szCs w:val="18"/>
        </w:rPr>
        <w:t>Al-Fathin</w:t>
      </w:r>
      <w:r w:rsidRPr="00CC4A88">
        <w:rPr>
          <w:szCs w:val="24"/>
        </w:rPr>
        <w:t xml:space="preserve"> 02, no. 2 (2019).</w:t>
      </w:r>
      <w:r>
        <w:fldChar w:fldCharType="end"/>
      </w:r>
    </w:p>
  </w:footnote>
  <w:footnote w:id="12">
    <w:p w14:paraId="60316D77" w14:textId="2C826897"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7A4BA3" w:rsidRPr="001E40E2">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(2007).","noteIndex":11},"citationItems":[{"id":6,"uris":["http://zotero.org/users/local/PxK9EVr5/items/9FIIPEWH"],"itemData":{"id":6,"type":"article-journal","container-title":"Jakarta: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Pr="001E40E2">
        <w:rPr>
          <w:rFonts w:asciiTheme="minorHAnsi" w:hAnsiTheme="minorHAnsi"/>
          <w:sz w:val="18"/>
          <w:szCs w:val="18"/>
        </w:rPr>
        <w:t xml:space="preserve">Ali Al-Jarim </w:t>
      </w:r>
      <w:r w:rsidR="001E40E2" w:rsidRPr="001E40E2">
        <w:rPr>
          <w:rFonts w:asciiTheme="minorHAnsi" w:hAnsiTheme="minorHAnsi"/>
          <w:sz w:val="18"/>
          <w:szCs w:val="18"/>
          <w:rtl/>
        </w:rPr>
        <w:t>و</w:t>
      </w:r>
      <w:r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r w:rsidRPr="001E40E2">
        <w:rPr>
          <w:rFonts w:asciiTheme="minorHAnsi" w:hAnsiTheme="minorHAnsi"/>
          <w:sz w:val="18"/>
          <w:szCs w:val="18"/>
        </w:rPr>
        <w:t>Musthafa Amin, “</w:t>
      </w:r>
      <w:r w:rsidRPr="001E40E2">
        <w:rPr>
          <w:rFonts w:asciiTheme="minorHAnsi" w:hAnsiTheme="minorHAnsi"/>
          <w:sz w:val="18"/>
          <w:szCs w:val="18"/>
          <w:u w:val="single"/>
        </w:rPr>
        <w:t>Al-Balaghah al-Wadhihah,</w:t>
      </w:r>
      <w:r w:rsidRPr="001E40E2">
        <w:rPr>
          <w:rFonts w:asciiTheme="minorHAnsi" w:hAnsiTheme="minorHAnsi"/>
          <w:sz w:val="18"/>
          <w:szCs w:val="18"/>
        </w:rPr>
        <w:t xml:space="preserve">” </w:t>
      </w:r>
      <w:r w:rsidRPr="001E40E2">
        <w:rPr>
          <w:rFonts w:asciiTheme="minorHAnsi" w:hAnsiTheme="minorHAnsi"/>
          <w:i/>
          <w:iCs/>
          <w:sz w:val="18"/>
          <w:szCs w:val="18"/>
        </w:rPr>
        <w:t>Jakarta: Raudhah Faris</w:t>
      </w:r>
      <w:r w:rsidRPr="001E40E2">
        <w:rPr>
          <w:rFonts w:asciiTheme="minorHAnsi" w:hAnsiTheme="minorHAnsi"/>
          <w:sz w:val="18"/>
          <w:szCs w:val="18"/>
        </w:rPr>
        <w:t xml:space="preserve"> (2007).</w:t>
      </w:r>
      <w:r w:rsidRPr="001E40E2">
        <w:rPr>
          <w:rFonts w:asciiTheme="minorHAnsi" w:hAnsiTheme="minorHAnsi"/>
          <w:sz w:val="18"/>
          <w:szCs w:val="18"/>
        </w:rPr>
        <w:fldChar w:fldCharType="end"/>
      </w:r>
    </w:p>
  </w:footnote>
  <w:footnote w:id="13">
    <w:p w14:paraId="11569454" w14:textId="07A89282" w:rsidR="00F10ABE" w:rsidRDefault="00F10ABE">
      <w:pPr>
        <w:pStyle w:val="FootnoteText"/>
        <w:rPr>
          <w:rtl/>
          <w:lang w:bidi="ar-EG"/>
        </w:rPr>
      </w:pPr>
      <w:r>
        <w:rPr>
          <w:rStyle w:val="FootnoteReference"/>
        </w:rPr>
        <w:footnoteRef/>
      </w:r>
      <w:r>
        <w:t xml:space="preserve"> </w:t>
      </w:r>
      <w:r w:rsidRPr="00925404">
        <w:rPr>
          <w:rFonts w:asciiTheme="minorHAnsi" w:hAnsiTheme="minorHAnsi"/>
          <w:sz w:val="16"/>
          <w:szCs w:val="16"/>
        </w:rPr>
        <w:fldChar w:fldCharType="begin"/>
      </w:r>
      <w:r w:rsidRPr="00925404">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(2014).","noteIndex":13},"citationItems":[{"id":38,"uris":["http://zotero.org/users/local/PxK9EVr5/items/LSH4BGMP"],"itemData":{"id":38,"type":"article-journal","container-title":"Prenada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HA Syarifudin, “Ushul Fiqih Jilid I (Vol.</w:t>
      </w:r>
      <w:r w:rsidR="00925404">
        <w:rPr>
          <w:rFonts w:asciiTheme="minorHAnsi" w:hAnsiTheme="minorHAnsi" w:hint="cs"/>
          <w:sz w:val="16"/>
          <w:rtl/>
        </w:rPr>
        <w:t xml:space="preserve"> </w:t>
      </w:r>
      <w:r w:rsidRPr="00925404">
        <w:rPr>
          <w:rFonts w:asciiTheme="minorHAnsi" w:hAnsiTheme="minorHAnsi"/>
          <w:sz w:val="16"/>
        </w:rPr>
        <w:t xml:space="preserve">1),”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4">
    <w:p w14:paraId="25F3F4A7" w14:textId="024C281F" w:rsidR="00F10ABE" w:rsidRPr="00F10ABE" w:rsidRDefault="00F10ABE">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sidRPr="00925404">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1991).","noteIndex":14},"citationItems":[{"id":39,"uris":["http://zotero.org/users/local/PxK9EVr5/items/UPCYBEY3"],"itemData":{"id":39,"type":"book","ISBN":"0-946621-24-1","publisher":"Islamic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Mohammad Hashim Kamali, </w:t>
      </w:r>
      <w:r w:rsidRPr="00925404">
        <w:rPr>
          <w:rFonts w:asciiTheme="minorHAnsi" w:hAnsiTheme="minorHAnsi"/>
          <w:i/>
          <w:iCs/>
          <w:sz w:val="16"/>
        </w:rPr>
        <w:t>Principles of Islamic Jurisprudence</w:t>
      </w:r>
      <w:r w:rsidRPr="00925404">
        <w:rPr>
          <w:rFonts w:asciiTheme="minorHAnsi" w:hAnsiTheme="minorHAnsi"/>
          <w:sz w:val="16"/>
        </w:rPr>
        <w:t xml:space="preserve"> (Islamic texts society Cambridge, </w:t>
      </w:r>
      <w:r w:rsidR="00925404">
        <w:rPr>
          <w:rFonts w:asciiTheme="minorHAnsi" w:hAnsiTheme="minorHAnsi" w:hint="cs"/>
          <w:sz w:val="16"/>
          <w:rtl/>
        </w:rPr>
        <w:t xml:space="preserve"> </w:t>
      </w:r>
      <w:r w:rsidRPr="00925404">
        <w:rPr>
          <w:rFonts w:asciiTheme="minorHAnsi" w:hAnsiTheme="minorHAnsi"/>
          <w:sz w:val="16"/>
        </w:rPr>
        <w:t>1991).</w:t>
      </w:r>
      <w:r w:rsidRPr="00925404">
        <w:rPr>
          <w:rFonts w:asciiTheme="minorHAnsi" w:hAnsiTheme="minorHAnsi"/>
          <w:sz w:val="16"/>
          <w:szCs w:val="16"/>
        </w:rPr>
        <w:fldChar w:fldCharType="end"/>
      </w:r>
    </w:p>
  </w:footnote>
  <w:footnote w:id="15">
    <w:p w14:paraId="2FB6C932" w14:textId="7206ABAC" w:rsidR="00D4059F" w:rsidRPr="00D4059F" w:rsidRDefault="00D4059F">
      <w:pPr>
        <w:pStyle w:val="FootnoteText"/>
        <w:rPr>
          <w:lang w:val="en-US"/>
        </w:rPr>
      </w:pPr>
      <w:r>
        <w:rPr>
          <w:rStyle w:val="FootnoteReference"/>
        </w:rPr>
        <w:footnoteRef/>
      </w:r>
      <w:r>
        <w:t xml:space="preserve"> </w:t>
      </w:r>
      <w:r>
        <w:fldChar w:fldCharType="begin"/>
      </w:r>
      <w:r>
        <w:instrText xml:space="preserve"> ADDIN ZOTERO_ITEM CSL_CITATION {"citationID":"M3Fkp0lg","properties":{"formattedCitation":"ZAHRA MAULIDINAH, \\uc0\\u8220{}GAYA BAHASA NAHYI DAN AMR BESERTA MAKNANYA DALAM AL-QUR\\uc0\\u8217{}AN AL-KARIM SURAT AN-NUR SERTA IMPLIKASINYA TERHADAP PEMBELAJARAN ILMU BALAGHAH\\uc0\\u8221{} (2021).","plainCitation":"ZAHRA MAULIDINAH, “GAYA BAHASA NAHYI DAN AMR BESERTA MAKNANYA DALAM AL-QUR’AN AL-KARIM SURAT AN-NUR SERTA IMPLIKASINYA TERHADAP PEMBELAJARAN ILMU BALAGHAH” (2021).","noteIndex":15},"citationItems":[{"id":40,"uris":["http://zotero.org/users/local/PxK9EVr5/items/YZ5DWDTF"],"itemData":{"id":40,"type":"article-journal","note":"publisher: UNIVERSITAS NEGERI JAKARTA","title":"GAYA BAHASA NAHYI DAN AMR BESERTA MAKNANYA DALAM AL-QUR’AN AL-KARIM SURAT AN-NUR SERTA IMPLIKASINYA TERHADAP PEMBELAJARAN ILMU BALAGHAH","author":[{"family":"MAULIDINAH","given":"ZAHRA"}],"issued":{"date-parts":[["2021"]]}}}],"schema":"https://github.com/citation-style-language/schema/raw/master/csl-citation.json"} </w:instrText>
      </w:r>
      <w:r>
        <w:fldChar w:fldCharType="separate"/>
      </w:r>
      <w:r w:rsidRPr="00925404">
        <w:rPr>
          <w:rFonts w:asciiTheme="minorHAnsi" w:hAnsiTheme="minorHAnsi"/>
          <w:sz w:val="16"/>
        </w:rPr>
        <w:t>ZAHRA MAULIDINAH, “GAYA BAHASA NAHYI DAN AMR BESERTA MAKNANYA DALAM AL-QUR’AN AL-KARIM SURAT AN-NUR SERTA IMPLIKASINYA TERHADAP PEMBELAJARAN ILMU BALAGHAH”</w:t>
      </w:r>
      <w:r w:rsidRPr="00D4059F">
        <w:rPr>
          <w:szCs w:val="24"/>
        </w:rPr>
        <w:t xml:space="preserve"> (2021).</w:t>
      </w:r>
      <w:r>
        <w:fldChar w:fldCharType="end"/>
      </w:r>
    </w:p>
  </w:footnote>
  <w:footnote w:id="16">
    <w:p w14:paraId="53A789FC" w14:textId="092CF0DD" w:rsidR="00CC4A88" w:rsidRDefault="00CC4A88">
      <w:pPr>
        <w:pStyle w:val="FootnoteText"/>
        <w:rPr>
          <w:rtl/>
          <w:lang w:bidi="ar-EG"/>
        </w:rPr>
      </w:pPr>
      <w:r>
        <w:rPr>
          <w:rStyle w:val="FootnoteReference"/>
        </w:rPr>
        <w:footnoteRef/>
      </w:r>
      <w:r>
        <w:t xml:space="preserve"> </w:t>
      </w:r>
      <w:r>
        <w:fldChar w:fldCharType="begin"/>
      </w:r>
      <w:r w:rsidR="007A4BA3">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925404">
        <w:rPr>
          <w:rFonts w:asciiTheme="minorHAnsi" w:hAnsiTheme="minorHAnsi"/>
          <w:sz w:val="16"/>
          <w:szCs w:val="16"/>
        </w:rPr>
        <w:t xml:space="preserve">M Hussin </w:t>
      </w:r>
      <w:r w:rsidR="00CE6A9E" w:rsidRPr="00925404">
        <w:rPr>
          <w:rFonts w:asciiTheme="minorHAnsi" w:hAnsiTheme="minorHAnsi"/>
          <w:sz w:val="16"/>
          <w:szCs w:val="16"/>
          <w:rtl/>
        </w:rPr>
        <w:t>و</w:t>
      </w:r>
      <w:r w:rsidRPr="00925404">
        <w:rPr>
          <w:rFonts w:asciiTheme="minorHAnsi" w:hAnsiTheme="minorHAnsi"/>
          <w:sz w:val="16"/>
          <w:szCs w:val="16"/>
        </w:rPr>
        <w:t xml:space="preserve"> </w:t>
      </w:r>
      <w:r w:rsidR="00CE6A9E" w:rsidRPr="00925404">
        <w:rPr>
          <w:rFonts w:asciiTheme="minorHAnsi" w:hAnsiTheme="minorHAnsi"/>
          <w:sz w:val="16"/>
          <w:szCs w:val="16"/>
          <w:rtl/>
        </w:rPr>
        <w:t xml:space="preserve"> </w:t>
      </w:r>
      <w:r w:rsidRPr="00925404">
        <w:rPr>
          <w:rFonts w:asciiTheme="minorHAnsi" w:hAnsiTheme="minorHAnsi"/>
          <w:sz w:val="16"/>
          <w:szCs w:val="16"/>
        </w:rPr>
        <w:t xml:space="preserve">M H Kamal, </w:t>
      </w:r>
      <w:r w:rsidRPr="00925404">
        <w:rPr>
          <w:rFonts w:asciiTheme="minorHAnsi" w:hAnsiTheme="minorHAnsi"/>
          <w:sz w:val="16"/>
          <w:szCs w:val="16"/>
          <w:u w:val="single"/>
        </w:rPr>
        <w:t>“Gaya Bahasa ’Aṭf Dengan Waw Dalam Surah Al-Rūm: The Speech Act of ’Aṭf with Waw in Surah al-Rūm,”</w:t>
      </w:r>
      <w:r w:rsidRPr="00925404">
        <w:rPr>
          <w:rFonts w:asciiTheme="minorHAnsi" w:hAnsiTheme="minorHAnsi"/>
          <w:sz w:val="16"/>
          <w:szCs w:val="16"/>
        </w:rPr>
        <w:t xml:space="preserve"> </w:t>
      </w:r>
      <w:r w:rsidRPr="00925404">
        <w:rPr>
          <w:rFonts w:asciiTheme="minorHAnsi" w:hAnsiTheme="minorHAnsi"/>
          <w:i/>
          <w:iCs/>
          <w:sz w:val="16"/>
          <w:szCs w:val="16"/>
        </w:rPr>
        <w:t>’Abqari Journal</w:t>
      </w:r>
      <w:r w:rsidRPr="00925404">
        <w:rPr>
          <w:sz w:val="18"/>
          <w:szCs w:val="22"/>
        </w:rPr>
        <w:t xml:space="preserve"> </w:t>
      </w:r>
      <w:r w:rsidRPr="00CC4A88">
        <w:rPr>
          <w:szCs w:val="24"/>
        </w:rPr>
        <w:t>(2020).</w:t>
      </w:r>
      <w:r>
        <w:fldChar w:fldCharType="end"/>
      </w:r>
    </w:p>
  </w:footnote>
  <w:footnote w:id="17">
    <w:p w14:paraId="4CAD751A" w14:textId="2B4B2E18" w:rsidR="00195D2D" w:rsidRPr="00195D2D" w:rsidRDefault="00195D2D">
      <w:pPr>
        <w:pStyle w:val="FootnoteText"/>
        <w:rPr>
          <w:lang w:val="en-US"/>
        </w:rPr>
      </w:pPr>
      <w:r>
        <w:rPr>
          <w:rStyle w:val="FootnoteReference"/>
        </w:rPr>
        <w:footnoteRef/>
      </w:r>
      <w:r>
        <w:t xml:space="preserve"> </w:t>
      </w:r>
      <w:r w:rsidRPr="001E40E2">
        <w:rPr>
          <w:rFonts w:ascii="Cambria" w:hAnsi="Cambria" w:cs="Sakkal Majalla"/>
          <w:sz w:val="24"/>
          <w:szCs w:val="24"/>
          <w:rtl/>
          <w:lang w:val="id-ID"/>
        </w:rPr>
        <w:t>نفس المرجع</w:t>
      </w:r>
      <w:r w:rsidRPr="00195D2D">
        <w:rPr>
          <w:rFonts w:ascii="Cambria" w:hAnsi="Cambria" w:cs="Sakkal Majalla"/>
          <w:sz w:val="28"/>
          <w:szCs w:val="28"/>
          <w:rtl/>
          <w:lang w:val="id-ID"/>
        </w:rPr>
        <w:t xml:space="preserve"> </w:t>
      </w:r>
      <w:r w:rsidRPr="00195D2D">
        <w:rPr>
          <w:rFonts w:ascii="Cambria" w:hAnsi="Cambria" w:cs="Sakkal Majalla"/>
          <w:sz w:val="28"/>
          <w:szCs w:val="28"/>
          <w:lang w:val="id-ID"/>
        </w:rPr>
        <w:t xml:space="preserve"> </w:t>
      </w:r>
      <w:r>
        <w:rPr>
          <w:rFonts w:ascii="Cambria" w:hAnsi="Cambria" w:cs="Sakkal Majalla"/>
          <w:sz w:val="28"/>
          <w:szCs w:val="28"/>
          <w:lang w:val="en-US"/>
        </w:rPr>
        <w:t>.</w:t>
      </w:r>
    </w:p>
  </w:footnote>
  <w:footnote w:id="18">
    <w:p w14:paraId="7ADE8164" w14:textId="06D3DA2B" w:rsidR="00AF1154" w:rsidRDefault="00AF1154">
      <w:pPr>
        <w:pStyle w:val="FootnoteText"/>
        <w:rPr>
          <w:rtl/>
          <w:lang w:bidi="ar-EG"/>
        </w:rPr>
      </w:pPr>
      <w:r>
        <w:rPr>
          <w:rStyle w:val="FootnoteReference"/>
        </w:rPr>
        <w:footnoteRef/>
      </w:r>
      <w:r>
        <w:t xml:space="preserve"> </w:t>
      </w:r>
      <w:r>
        <w:fldChar w:fldCharType="begin"/>
      </w:r>
      <w:r w:rsidR="007A4BA3">
        <w:instrText xml:space="preserve"> ADDIN ZOTERO_ITEM CSL_CITATION {"citationID":"ospukF5o","properties":{"formattedCitation":"ROHMAD RIDUAN, \\uc0\\u8220{}AL TIBAQ WA AL JINAS FI SURAH AR RUM (DIRASAH TAHLILIYAH BALAGHIYAH),\\uc0\\u8221{} {\\i{}Doctoral dissertation, UIN Sunan Kalijaga Yogyakarta} (2009).","plainCitation":"ROHMAD RIDUAN, “AL TIBAQ WA AL JINAS FI SURAH AR RUM (DIRASAH TAHLILIYAH BALAGHIYAH),” Doctoral dissertation, UIN Sunan Kalijaga Yogyakarta (2009).","noteIndex":14},"citationItems":[{"id":8,"uris":["http://zotero.org/users/local/PxK9EVr5/items/YD226XPH"],"itemData":{"id":8,"type":"article-journal","container-title":"Doctoral dissertation, UIN Sunan Kalijaga Yogyakarta","title":"AL TIBAQ WA AL JINAS FI SURAH AR RUM (DIRASAH TAHLILIYAH BALAGHIYAH)","author":[{"literal":"ROHMAD RIDUAN"}],"issued":{"date-parts":[["2009"]]}}}],"schema":"https://github.com/citation-style-language/schema/raw/master/csl-citation.json"} </w:instrText>
      </w:r>
      <w:r>
        <w:fldChar w:fldCharType="separate"/>
      </w:r>
      <w:r w:rsidRPr="00925404">
        <w:rPr>
          <w:rFonts w:asciiTheme="minorHAnsi" w:hAnsiTheme="minorHAnsi"/>
          <w:sz w:val="16"/>
        </w:rPr>
        <w:t>ROHMAD RIDUAN, “</w:t>
      </w:r>
      <w:r w:rsidRPr="00925404">
        <w:rPr>
          <w:rFonts w:asciiTheme="minorHAnsi" w:hAnsiTheme="minorHAnsi"/>
          <w:sz w:val="16"/>
          <w:u w:val="single"/>
        </w:rPr>
        <w:t>AL TIBAQ WA AL JINAS FI SURAH AR RUM (DIRASAH TAHLILIYAH BALAGHIYAH),</w:t>
      </w:r>
      <w:r w:rsidRPr="00925404">
        <w:rPr>
          <w:rFonts w:asciiTheme="minorHAnsi" w:hAnsiTheme="minorHAnsi"/>
          <w:sz w:val="16"/>
        </w:rPr>
        <w:t xml:space="preserve">” </w:t>
      </w:r>
      <w:r w:rsidRPr="00925404">
        <w:rPr>
          <w:rFonts w:asciiTheme="minorHAnsi" w:hAnsiTheme="minorHAnsi"/>
          <w:i/>
          <w:iCs/>
          <w:sz w:val="16"/>
        </w:rPr>
        <w:t>Doctoral dissertation, UIN Sunan Kalijaga Yogyakarta</w:t>
      </w:r>
      <w:r w:rsidRPr="001E40E2">
        <w:rPr>
          <w:rFonts w:asciiTheme="minorHAnsi" w:hAnsiTheme="minorHAnsi"/>
          <w:sz w:val="18"/>
          <w:szCs w:val="22"/>
        </w:rPr>
        <w:t xml:space="preserve"> </w:t>
      </w:r>
      <w:r w:rsidRPr="00AF1154">
        <w:rPr>
          <w:szCs w:val="24"/>
        </w:rPr>
        <w:t>(2009).</w:t>
      </w:r>
      <w:r>
        <w:fldChar w:fldCharType="end"/>
      </w:r>
    </w:p>
  </w:footnote>
  <w:footnote w:id="19">
    <w:p w14:paraId="4E9D8EA0" w14:textId="48124801"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{"citationID":"IwLhxi2G","properties":{"formattedCitation":"Mislannada Fiddaraini et al., \\uc0\\u8220{}The Meaning of Khalaqa and Its Derivation in Surah Ar-Rum (Semantic Analysis of Toshihiko Izutsu),\\uc0\\u8221{} {\\i{}IJAS: Indonesian Journal of Arabic Studies} 4, no. 2 (2022).","plainCitation":"Mislannada Fiddaraini et al., “The Meaning of Khalaqa and Its Derivation in Surah Ar-Rum (Semantic Analysis of Toshihiko Izutsu),” IJAS: Indonesian Journal of Arabic Studies 4, no. 2 (2022).","noteIndex":15},"citationItems":[{"id":9,"uris":["http://zotero.org/users/local/PxK9EVr5/items/EWEAI3IZ"],"itemData":{"id":9,"type":"article-journal","container-title":"IJAS: Indonesian Journal of Arabic Studies","DOI":"10.24235/ijas.v4i2.11283","issue":"2","title":"The Meaning of Khalaqa and Its Derivation in Surah Ar-Rum (Semantic Analysis of Toshihiko Izutsu)","volume":"4","author":[{"family":"Fiddaraini","given":"Mislannada"},{"family":"Yusroh","given":"FNU"},{"family":"Astari","given":"Rika"},{"family":"Mukhlis","given":"Abdul"}],"issued":{"date-parts":[["2022"]]}}}],"schema":"https://github.com/citation-style-language/schema/raw/master/csl-citation.json"} </w:instrText>
      </w:r>
      <w:r>
        <w:fldChar w:fldCharType="separate"/>
      </w:r>
      <w:r w:rsidRPr="00925404">
        <w:rPr>
          <w:rFonts w:asciiTheme="minorHAnsi" w:hAnsiTheme="minorHAnsi"/>
          <w:sz w:val="16"/>
          <w:szCs w:val="16"/>
        </w:rPr>
        <w:t>Mislannada Fiddaraini</w:t>
      </w:r>
      <w:r w:rsidRPr="001E40E2">
        <w:rPr>
          <w:rFonts w:asciiTheme="minorHAnsi" w:hAnsiTheme="minorHAnsi"/>
          <w:sz w:val="18"/>
          <w:szCs w:val="18"/>
        </w:rPr>
        <w:t xml:space="preserve"> </w:t>
      </w:r>
      <w:r w:rsidR="00CE6A9E" w:rsidRPr="001E40E2">
        <w:rPr>
          <w:rFonts w:ascii="Sakkal Majalla" w:hAnsi="Sakkal Majalla" w:cs="Sakkal Majalla" w:hint="cs"/>
          <w:sz w:val="24"/>
          <w:szCs w:val="24"/>
          <w:rtl/>
        </w:rPr>
        <w:t>و آخرون</w:t>
      </w:r>
      <w:r w:rsidRPr="001E40E2">
        <w:rPr>
          <w:rFonts w:ascii="Sakkal Majalla" w:hAnsi="Sakkal Majalla" w:cs="Sakkal Majalla" w:hint="cs"/>
          <w:sz w:val="24"/>
          <w:szCs w:val="24"/>
        </w:rPr>
        <w:t>.</w:t>
      </w:r>
      <w:r w:rsidRPr="001E40E2">
        <w:rPr>
          <w:rFonts w:asciiTheme="minorHAnsi" w:hAnsiTheme="minorHAnsi"/>
          <w:sz w:val="18"/>
          <w:szCs w:val="18"/>
        </w:rPr>
        <w:t>, “</w:t>
      </w:r>
      <w:r w:rsidRPr="00925404">
        <w:rPr>
          <w:rFonts w:asciiTheme="minorHAnsi" w:hAnsiTheme="minorHAnsi"/>
          <w:sz w:val="16"/>
          <w:szCs w:val="16"/>
        </w:rPr>
        <w:t>T</w:t>
      </w:r>
      <w:r w:rsidRPr="00925404">
        <w:rPr>
          <w:rFonts w:asciiTheme="minorHAnsi" w:hAnsiTheme="minorHAnsi"/>
          <w:sz w:val="16"/>
          <w:szCs w:val="16"/>
          <w:u w:val="single"/>
        </w:rPr>
        <w:t>he Meaning of Khalaqa and Its Derivation in Surah Ar-Rum (Semantic Analysis of Toshihiko Izutsu),</w:t>
      </w:r>
      <w:r w:rsidRPr="00925404">
        <w:rPr>
          <w:rFonts w:asciiTheme="minorHAnsi" w:hAnsiTheme="minorHAnsi"/>
          <w:sz w:val="16"/>
          <w:szCs w:val="16"/>
        </w:rPr>
        <w:t xml:space="preserve">” </w:t>
      </w:r>
      <w:r w:rsidRPr="00925404">
        <w:rPr>
          <w:rFonts w:asciiTheme="minorHAnsi" w:hAnsiTheme="minorHAnsi"/>
          <w:i/>
          <w:iCs/>
          <w:sz w:val="16"/>
          <w:szCs w:val="16"/>
        </w:rPr>
        <w:t>IJAS: Indonesian Journal of Arabic Studies</w:t>
      </w:r>
      <w:r w:rsidRPr="009F73E6">
        <w:rPr>
          <w:szCs w:val="24"/>
        </w:rPr>
        <w:t xml:space="preserve"> 4, no. 2 (2022).</w:t>
      </w:r>
      <w:r>
        <w:fldChar w:fldCharType="end"/>
      </w:r>
    </w:p>
  </w:footnote>
  <w:footnote w:id="20">
    <w:p w14:paraId="5476EDDA" w14:textId="02F8F07D"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{"citationID":"gQUU0XlD","properties":{"formattedCitation":"Karunia Kholifah Dini Agustin, \\uc0\\u8220{}Analisis Semantik Kata Dla\\uc0\\u8216{}\\uc0\\u299{}f Dalam Surah An-Nisa Ayat 28 Dan Surah Ar-Rum Ayat 54,\\uc0\\u8221{} {\\i{}Alsina\\uc0\\u8239{}: Journal of Arabic Studies; Vol 2, No 2 (2020); 203-220\\uc0\\u8239{}; 26226146\\uc0\\u8239{}; 26226138} (November 8, 2020), https://journal.walisongo.ac.id/index.php/alsina/article/view/5915.","plainCitation":"Karunia Kholifah Dini Agustin, “Analisis Semantik Kata Dla‘īf Dalam Surah An-Nisa Ayat 28 Dan Surah Ar-Rum Ayat 54,” Alsina : Journal of Arabic Studies; Vol 2, No 2 (2020); 203-220 ; 26226146 ; 26226138 (November 8, 2020), https://journal.walisongo.ac.id/index.php/alsina/article/view/5915.","noteIndex":16},"citationItems":[{"id":23,"uris":["http://zotero.org/users/local/PxK9EVr5/items/WHR7ZVAF"],"itemData":{"id":23,"type":"article-journal","container-title":"Alsina : Journal of Arabic Studies; Vol 2, No 2 (2020); 203-220 ; 26226146 ; 26226138","title":"Analisis Semantik Kata Dla‘īf dalam Surah An-Nisa Ayat 28 dan Surah Ar-Rum Ayat 54","URL":"https://journal.walisongo.ac.id/index.php/alsina/article/view/5915","author":[{"family":"Agustin","given":"Karunia Kholifah Dini"}],"issued":{"date-parts":[["2020",11,8]]}}}],"schema":"https://github.com/citation-style-language/schema/raw/master/csl-citation.json"} </w:instrText>
      </w:r>
      <w:r>
        <w:fldChar w:fldCharType="separate"/>
      </w:r>
      <w:r w:rsidRPr="00925404">
        <w:rPr>
          <w:rFonts w:asciiTheme="minorHAnsi" w:hAnsiTheme="minorHAnsi"/>
          <w:sz w:val="16"/>
          <w:szCs w:val="16"/>
        </w:rPr>
        <w:t>Karunia Kholifah Dini Agustin, “</w:t>
      </w:r>
      <w:r w:rsidRPr="00925404">
        <w:rPr>
          <w:rFonts w:asciiTheme="minorHAnsi" w:hAnsiTheme="minorHAnsi"/>
          <w:sz w:val="16"/>
          <w:szCs w:val="16"/>
          <w:u w:val="single"/>
        </w:rPr>
        <w:t xml:space="preserve">Analisis Semantik Kata Dla‘īf Dalam Surah An-Nisa Ayat </w:t>
      </w:r>
      <w:r w:rsidR="001E40E2" w:rsidRPr="00925404">
        <w:rPr>
          <w:rFonts w:asciiTheme="minorHAnsi" w:hAnsiTheme="minorHAnsi" w:hint="cs"/>
          <w:sz w:val="16"/>
          <w:szCs w:val="16"/>
          <w:u w:val="single"/>
          <w:rtl/>
        </w:rPr>
        <w:t>28</w:t>
      </w:r>
      <w:r w:rsidRPr="00925404">
        <w:rPr>
          <w:rFonts w:asciiTheme="minorHAnsi" w:hAnsiTheme="minorHAnsi"/>
          <w:sz w:val="16"/>
          <w:szCs w:val="16"/>
          <w:u w:val="single"/>
        </w:rPr>
        <w:t xml:space="preserve"> Dan Surah Ar-Rum Ayat 54,”</w:t>
      </w:r>
      <w:r w:rsidRPr="00925404">
        <w:rPr>
          <w:rFonts w:asciiTheme="minorHAnsi" w:hAnsiTheme="minorHAnsi"/>
          <w:sz w:val="16"/>
          <w:szCs w:val="16"/>
        </w:rPr>
        <w:t xml:space="preserve"> </w:t>
      </w:r>
      <w:r w:rsidRPr="00925404">
        <w:rPr>
          <w:rFonts w:asciiTheme="minorHAnsi" w:hAnsiTheme="minorHAnsi"/>
          <w:i/>
          <w:iCs/>
          <w:sz w:val="16"/>
          <w:szCs w:val="16"/>
        </w:rPr>
        <w:t>Alsina : Journal of Arabic Studies; Vol</w:t>
      </w:r>
      <w:r w:rsidR="00925404">
        <w:rPr>
          <w:rFonts w:asciiTheme="minorHAnsi" w:hAnsiTheme="minorHAnsi" w:hint="cs"/>
          <w:i/>
          <w:iCs/>
          <w:sz w:val="16"/>
          <w:szCs w:val="16"/>
          <w:rtl/>
        </w:rPr>
        <w:t xml:space="preserve"> </w:t>
      </w:r>
      <w:r w:rsidRPr="00925404">
        <w:rPr>
          <w:rFonts w:asciiTheme="minorHAnsi" w:hAnsiTheme="minorHAnsi"/>
          <w:i/>
          <w:iCs/>
          <w:sz w:val="16"/>
          <w:szCs w:val="16"/>
        </w:rPr>
        <w:t xml:space="preserve"> 2, No 2(2020); 203-220 ; 26226146 ; 26226138</w:t>
      </w:r>
      <w:r w:rsidRPr="00925404">
        <w:rPr>
          <w:rFonts w:asciiTheme="minorHAnsi" w:hAnsiTheme="minorHAnsi"/>
          <w:sz w:val="16"/>
          <w:szCs w:val="16"/>
        </w:rPr>
        <w:t xml:space="preserve"> (November </w:t>
      </w:r>
      <w:r w:rsidR="00925404">
        <w:rPr>
          <w:rFonts w:asciiTheme="minorHAnsi" w:hAnsiTheme="minorHAnsi" w:hint="cs"/>
          <w:sz w:val="16"/>
          <w:szCs w:val="16"/>
          <w:rtl/>
        </w:rPr>
        <w:t xml:space="preserve"> </w:t>
      </w:r>
      <w:r w:rsidRPr="00925404">
        <w:rPr>
          <w:rFonts w:asciiTheme="minorHAnsi" w:hAnsiTheme="minorHAnsi"/>
          <w:sz w:val="16"/>
          <w:szCs w:val="16"/>
        </w:rPr>
        <w:t xml:space="preserve">8, </w:t>
      </w:r>
      <w:r w:rsidR="00925404">
        <w:rPr>
          <w:rFonts w:asciiTheme="minorHAnsi" w:hAnsiTheme="minorHAnsi" w:hint="cs"/>
          <w:sz w:val="16"/>
          <w:szCs w:val="16"/>
          <w:rtl/>
        </w:rPr>
        <w:t xml:space="preserve"> </w:t>
      </w:r>
      <w:r w:rsidRPr="00925404">
        <w:rPr>
          <w:rFonts w:asciiTheme="minorHAnsi" w:hAnsiTheme="minorHAnsi"/>
          <w:sz w:val="16"/>
          <w:szCs w:val="16"/>
        </w:rPr>
        <w:t xml:space="preserve">2020), </w:t>
      </w:r>
      <w:r w:rsidRPr="001E40E2">
        <w:rPr>
          <w:rFonts w:asciiTheme="minorHAnsi" w:hAnsiTheme="minorHAnsi"/>
          <w:sz w:val="18"/>
          <w:szCs w:val="22"/>
        </w:rPr>
        <w:t>https://journal.walisongo.ac.id/index.php/alsina/article/view</w:t>
      </w:r>
      <w:r w:rsidRPr="009F73E6">
        <w:rPr>
          <w:szCs w:val="24"/>
        </w:rPr>
        <w:t>/5915.</w:t>
      </w:r>
      <w:r>
        <w:fldChar w:fldCharType="end"/>
      </w:r>
    </w:p>
  </w:footnote>
  <w:footnote w:id="21">
    <w:p w14:paraId="544CEF99" w14:textId="48DA338D" w:rsidR="007A4BA3" w:rsidRPr="007A4BA3" w:rsidRDefault="007A4BA3">
      <w:pPr>
        <w:pStyle w:val="FootnoteText"/>
        <w:rPr>
          <w:lang w:val="en-US"/>
        </w:rPr>
      </w:pPr>
      <w:r>
        <w:rPr>
          <w:rStyle w:val="FootnoteReference"/>
        </w:rPr>
        <w:footnoteRef/>
      </w:r>
      <w:r>
        <w:t xml:space="preserve"> </w:t>
      </w:r>
      <w:r>
        <w:fldChar w:fldCharType="begin"/>
      </w:r>
      <w: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(2021).","noteIndex":17},"citationItems":[{"id":27,"uris":["http://zotero.org/users/local/PxK9EVr5/items/8H4GUJS5"],"itemData":{"id":27,"type":"article-journal","container-title":"Jurnal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Pr="00925404">
        <w:rPr>
          <w:rFonts w:asciiTheme="minorHAnsi" w:hAnsiTheme="minorHAnsi"/>
          <w:sz w:val="16"/>
          <w:szCs w:val="16"/>
        </w:rPr>
        <w:t xml:space="preserve">Didik Hariyanto, Fauziah Anis Afifah, </w:t>
      </w:r>
      <w:r w:rsidRPr="00925404">
        <w:rPr>
          <w:rFonts w:ascii="Sakkal Majalla" w:hAnsi="Sakkal Majalla" w:cs="Sakkal Majalla" w:hint="cs"/>
          <w:sz w:val="16"/>
          <w:szCs w:val="16"/>
          <w:rtl/>
        </w:rPr>
        <w:t>و</w:t>
      </w:r>
      <w:r w:rsidRPr="00925404">
        <w:rPr>
          <w:rFonts w:asciiTheme="minorHAnsi" w:hAnsiTheme="minorHAnsi"/>
          <w:sz w:val="16"/>
          <w:szCs w:val="16"/>
        </w:rPr>
        <w:t xml:space="preserve"> </w:t>
      </w:r>
      <w:r w:rsidRPr="00925404">
        <w:rPr>
          <w:rFonts w:asciiTheme="minorHAnsi" w:hAnsiTheme="minorHAnsi"/>
          <w:sz w:val="16"/>
          <w:szCs w:val="16"/>
          <w:rtl/>
        </w:rPr>
        <w:t xml:space="preserve"> </w:t>
      </w:r>
      <w:r w:rsidRPr="00925404">
        <w:rPr>
          <w:rFonts w:asciiTheme="minorHAnsi" w:hAnsiTheme="minorHAnsi"/>
          <w:sz w:val="16"/>
          <w:szCs w:val="16"/>
        </w:rPr>
        <w:t>Arich H Anshorullah, “</w:t>
      </w:r>
      <w:r w:rsidRPr="00925404">
        <w:rPr>
          <w:rFonts w:asciiTheme="minorHAnsi" w:hAnsiTheme="minorHAnsi"/>
          <w:sz w:val="16"/>
          <w:szCs w:val="16"/>
          <w:u w:val="single"/>
        </w:rPr>
        <w:t>NILAI-NILAI PENDIDIKAN TAUHID PADA ANAK DALAM QS. AR-RUM</w:t>
      </w:r>
      <w:r w:rsidRPr="00925404">
        <w:rPr>
          <w:rFonts w:asciiTheme="minorHAnsi" w:hAnsiTheme="minorHAnsi"/>
          <w:sz w:val="16"/>
          <w:szCs w:val="16"/>
        </w:rPr>
        <w:t xml:space="preserve">,” </w:t>
      </w:r>
      <w:r w:rsidRPr="00925404">
        <w:rPr>
          <w:rFonts w:asciiTheme="minorHAnsi" w:hAnsiTheme="minorHAnsi"/>
          <w:i/>
          <w:iCs/>
          <w:sz w:val="16"/>
          <w:szCs w:val="16"/>
        </w:rPr>
        <w:t>Jurnal Teknologi Pendidikan</w:t>
      </w:r>
      <w:r w:rsidRPr="007A4BA3">
        <w:rPr>
          <w:szCs w:val="24"/>
        </w:rPr>
        <w:t xml:space="preserve"> </w:t>
      </w:r>
      <w:r w:rsidRPr="00925404">
        <w:rPr>
          <w:rFonts w:ascii="Sakkal Majalla" w:hAnsi="Sakkal Majalla" w:cs="Sakkal Majalla" w:hint="cs"/>
          <w:sz w:val="24"/>
          <w:szCs w:val="32"/>
        </w:rPr>
        <w:t>10, no. 1 (2021)</w:t>
      </w:r>
      <w:r w:rsidRPr="007A4BA3">
        <w:rPr>
          <w:szCs w:val="24"/>
        </w:rPr>
        <w:t>.</w:t>
      </w:r>
      <w:r>
        <w:fldChar w:fldCharType="end"/>
      </w:r>
    </w:p>
  </w:footnote>
  <w:footnote w:id="22">
    <w:p w14:paraId="7AC157A4" w14:textId="72A4DCDB" w:rsidR="00CE6A9E" w:rsidRPr="00CE6A9E" w:rsidRDefault="00CE6A9E">
      <w:pPr>
        <w:pStyle w:val="FootnoteText"/>
        <w:rPr>
          <w:lang w:val="en-US"/>
        </w:rPr>
      </w:pPr>
      <w:r>
        <w:rPr>
          <w:rStyle w:val="FootnoteReference"/>
        </w:rPr>
        <w:footnoteRef/>
      </w:r>
      <w:r>
        <w:t xml:space="preserve"> </w:t>
      </w:r>
      <w:r>
        <w:rPr>
          <w:rFonts w:hint="cs"/>
          <w:rtl/>
        </w:rPr>
        <w:t xml:space="preserve"> </w:t>
      </w:r>
      <w:r w:rsidRPr="001E40E2">
        <w:rPr>
          <w:rFonts w:ascii="Sakkal Majalla" w:hAnsi="Sakkal Majalla" w:cs="Sakkal Majalla" w:hint="cs"/>
          <w:sz w:val="24"/>
          <w:szCs w:val="24"/>
          <w:rtl/>
          <w:lang w:val="id-ID"/>
        </w:rPr>
        <w:t xml:space="preserve">المرجع السابق, </w:t>
      </w:r>
      <w:r w:rsidRPr="001E40E2">
        <w:rPr>
          <w:rFonts w:ascii="Sakkal Majalla" w:hAnsi="Sakkal Majalla" w:cs="Sakkal Majalla" w:hint="cs"/>
          <w:sz w:val="24"/>
          <w:szCs w:val="24"/>
          <w:rtl/>
        </w:rPr>
        <w:t xml:space="preserve">فجري كاميلايني أمة </w:t>
      </w:r>
      <w:r w:rsidRPr="001E40E2">
        <w:rPr>
          <w:rFonts w:ascii="Sakkal Majalla" w:hAnsi="Sakkal Majalla" w:cs="Sakkal Majalla"/>
          <w:sz w:val="24"/>
          <w:szCs w:val="24"/>
          <w:rtl/>
        </w:rPr>
        <w:t>و</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آخرون</w:t>
      </w:r>
      <w:r w:rsidRPr="001E40E2">
        <w:rPr>
          <w:rFonts w:ascii="Sakkal Majalla" w:hAnsi="Sakkal Majalla" w:cs="Sakkal Majalla" w:hint="cs"/>
          <w:sz w:val="24"/>
          <w:szCs w:val="24"/>
          <w:rtl/>
        </w:rPr>
        <w:t xml:space="preserve"> , ص </w:t>
      </w:r>
      <w:r w:rsidRPr="001E40E2">
        <w:rPr>
          <w:rFonts w:ascii="Sakkal Majalla" w:hAnsi="Sakkal Majalla" w:cs="Sakkal Majalla" w:hint="cs"/>
          <w:szCs w:val="24"/>
          <w:rtl/>
        </w:rPr>
        <w:t>424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1474CC"/>
    <w:rsid w:val="0017107B"/>
    <w:rsid w:val="00195D2D"/>
    <w:rsid w:val="001E40E2"/>
    <w:rsid w:val="00200010"/>
    <w:rsid w:val="0022341C"/>
    <w:rsid w:val="00240488"/>
    <w:rsid w:val="00254E46"/>
    <w:rsid w:val="00280CAB"/>
    <w:rsid w:val="002A384D"/>
    <w:rsid w:val="002B0C14"/>
    <w:rsid w:val="002C133E"/>
    <w:rsid w:val="00323870"/>
    <w:rsid w:val="00350C69"/>
    <w:rsid w:val="0035638E"/>
    <w:rsid w:val="0038323A"/>
    <w:rsid w:val="00383D90"/>
    <w:rsid w:val="003846B8"/>
    <w:rsid w:val="00385360"/>
    <w:rsid w:val="00403303"/>
    <w:rsid w:val="004351D0"/>
    <w:rsid w:val="00440AD6"/>
    <w:rsid w:val="00484BD7"/>
    <w:rsid w:val="00497BC3"/>
    <w:rsid w:val="0051790B"/>
    <w:rsid w:val="00535146"/>
    <w:rsid w:val="00535903"/>
    <w:rsid w:val="00544CA5"/>
    <w:rsid w:val="005456E8"/>
    <w:rsid w:val="00581ABE"/>
    <w:rsid w:val="005A14C5"/>
    <w:rsid w:val="00633869"/>
    <w:rsid w:val="006B7E81"/>
    <w:rsid w:val="006C5C2F"/>
    <w:rsid w:val="00707BBE"/>
    <w:rsid w:val="007268B1"/>
    <w:rsid w:val="0077677E"/>
    <w:rsid w:val="00784217"/>
    <w:rsid w:val="00795439"/>
    <w:rsid w:val="007A2189"/>
    <w:rsid w:val="007A4BA3"/>
    <w:rsid w:val="007D0732"/>
    <w:rsid w:val="007F449E"/>
    <w:rsid w:val="00825822"/>
    <w:rsid w:val="00827E47"/>
    <w:rsid w:val="00866FD1"/>
    <w:rsid w:val="00893034"/>
    <w:rsid w:val="008B5FAC"/>
    <w:rsid w:val="00925404"/>
    <w:rsid w:val="009424FF"/>
    <w:rsid w:val="0099774D"/>
    <w:rsid w:val="009A3A2D"/>
    <w:rsid w:val="009C3634"/>
    <w:rsid w:val="009F73E6"/>
    <w:rsid w:val="00A14F25"/>
    <w:rsid w:val="00A16E77"/>
    <w:rsid w:val="00A458A1"/>
    <w:rsid w:val="00A56225"/>
    <w:rsid w:val="00A96665"/>
    <w:rsid w:val="00AD4B59"/>
    <w:rsid w:val="00AF1154"/>
    <w:rsid w:val="00B10753"/>
    <w:rsid w:val="00B11348"/>
    <w:rsid w:val="00B256F6"/>
    <w:rsid w:val="00B45339"/>
    <w:rsid w:val="00C15C2D"/>
    <w:rsid w:val="00C2024C"/>
    <w:rsid w:val="00C36F26"/>
    <w:rsid w:val="00C73AD3"/>
    <w:rsid w:val="00C8674D"/>
    <w:rsid w:val="00CC3E5E"/>
    <w:rsid w:val="00CC4A88"/>
    <w:rsid w:val="00CD4924"/>
    <w:rsid w:val="00CE6619"/>
    <w:rsid w:val="00CE6A9E"/>
    <w:rsid w:val="00D11F9E"/>
    <w:rsid w:val="00D13D3B"/>
    <w:rsid w:val="00D2545A"/>
    <w:rsid w:val="00D4059F"/>
    <w:rsid w:val="00D4159E"/>
    <w:rsid w:val="00D56CD6"/>
    <w:rsid w:val="00E51D98"/>
    <w:rsid w:val="00E7704A"/>
    <w:rsid w:val="00E80379"/>
    <w:rsid w:val="00E85994"/>
    <w:rsid w:val="00ED0B53"/>
    <w:rsid w:val="00ED3164"/>
    <w:rsid w:val="00EE6EE4"/>
    <w:rsid w:val="00F04AF6"/>
    <w:rsid w:val="00F062A0"/>
    <w:rsid w:val="00F063DA"/>
    <w:rsid w:val="00F10ABE"/>
    <w:rsid w:val="00F15A66"/>
    <w:rsid w:val="00F363BB"/>
    <w:rsid w:val="00F440B6"/>
    <w:rsid w:val="00F50054"/>
    <w:rsid w:val="00F519B8"/>
    <w:rsid w:val="00F83BE1"/>
    <w:rsid w:val="00F849FE"/>
    <w:rsid w:val="00FB5060"/>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12</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17</cp:revision>
  <cp:lastPrinted>2024-01-22T01:57:00Z</cp:lastPrinted>
  <dcterms:created xsi:type="dcterms:W3CDTF">2023-12-31T16:11:00Z</dcterms:created>
  <dcterms:modified xsi:type="dcterms:W3CDTF">2024-01-22T01:57:00Z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id="87e6ObAJ"/&gt;&lt;style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