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F0E7" w14:textId="085D54B0" w:rsidR="00F440B6" w:rsidRDefault="00925404" w:rsidP="001474CC">
      <w:pPr>
        <w:spacing w:line="360" w:lineRule="auto"/>
        <w:jc w:val="center"/>
        <w:rPr>
          <w:rFonts w:ascii="Noto Sans" w:eastAsia="Noto Sans" w:hAnsi="Noto Sans" w:cs="Noto Sans"/>
          <w:sz w:val="26"/>
          <w:szCs w:val="26"/>
        </w:rPr>
      </w:pPr>
      <w:r w:rsidRPr="00925404">
        <w:rPr>
          <w:rFonts w:ascii="Sakkal Majalla" w:eastAsia="Noto Naskh Arabic" w:hAnsi="Sakkal Majalla" w:cs="Sakkal Majalla"/>
          <w:b/>
          <w:color w:val="27272A"/>
          <w:sz w:val="40"/>
          <w:szCs w:val="40"/>
          <w:rtl/>
        </w:rPr>
        <w:t>الأمر</w:t>
      </w:r>
      <w:r w:rsidR="001D4ECA">
        <w:rPr>
          <w:rFonts w:ascii="Sakkal Majalla" w:eastAsia="Noto Naskh Arabic" w:hAnsi="Sakkal Majalla" w:cs="Sakkal Majalla" w:hint="cs"/>
          <w:b/>
          <w:color w:val="27272A"/>
          <w:sz w:val="40"/>
          <w:szCs w:val="40"/>
          <w:rtl/>
        </w:rPr>
        <w:t xml:space="preserve"> ص</w:t>
      </w:r>
      <w:r w:rsidR="001D4ECA">
        <w:rPr>
          <w:rFonts w:ascii="Sakkal Majalla" w:eastAsia="Noto Naskh Arabic" w:hAnsi="Sakkal Majalla" w:cs="Sakkal Majalla" w:hint="cs"/>
          <w:b/>
          <w:color w:val="27272A"/>
          <w:sz w:val="40"/>
          <w:szCs w:val="40"/>
          <w:rtl/>
          <w:lang w:bidi="ar-EG"/>
        </w:rPr>
        <w:t>ي</w:t>
      </w:r>
      <w:r w:rsidR="007A010A">
        <w:rPr>
          <w:rFonts w:ascii="Sakkal Majalla" w:eastAsia="Noto Naskh Arabic" w:hAnsi="Sakkal Majalla" w:cs="Sakkal Majalla" w:hint="cs"/>
          <w:b/>
          <w:color w:val="27272A"/>
          <w:sz w:val="40"/>
          <w:szCs w:val="40"/>
          <w:rtl/>
          <w:lang w:bidi="ar-EG"/>
        </w:rPr>
        <w:t>ا</w:t>
      </w:r>
      <w:r w:rsidR="001D4ECA">
        <w:rPr>
          <w:rFonts w:ascii="Sakkal Majalla" w:eastAsia="Noto Naskh Arabic" w:hAnsi="Sakkal Majalla" w:cs="Sakkal Majalla" w:hint="cs"/>
          <w:b/>
          <w:color w:val="27272A"/>
          <w:sz w:val="40"/>
          <w:szCs w:val="40"/>
          <w:rtl/>
        </w:rPr>
        <w:t>غة</w:t>
      </w:r>
      <w:r w:rsidR="00E030C2">
        <w:rPr>
          <w:rFonts w:ascii="Sakkal Majalla" w:eastAsia="Noto Naskh Arabic" w:hAnsi="Sakkal Majalla" w:cs="Sakkal Majalla" w:hint="cs"/>
          <w:b/>
          <w:color w:val="27272A"/>
          <w:sz w:val="40"/>
          <w:szCs w:val="40"/>
          <w:rtl/>
        </w:rPr>
        <w:t xml:space="preserve"> </w:t>
      </w:r>
      <w:r w:rsidRPr="00925404">
        <w:rPr>
          <w:rFonts w:ascii="Sakkal Majalla" w:eastAsia="Noto Naskh Arabic" w:hAnsi="Sakkal Majalla" w:cs="Sakkal Majalla"/>
          <w:b/>
          <w:color w:val="27272A"/>
          <w:sz w:val="40"/>
          <w:szCs w:val="40"/>
          <w:rtl/>
        </w:rPr>
        <w:t>ومع</w:t>
      </w:r>
      <w:r w:rsidR="001D4ECA">
        <w:rPr>
          <w:rFonts w:ascii="Sakkal Majalla" w:eastAsia="Noto Naskh Arabic" w:hAnsi="Sakkal Majalla" w:cs="Sakkal Majalla" w:hint="cs"/>
          <w:b/>
          <w:color w:val="27272A"/>
          <w:sz w:val="40"/>
          <w:szCs w:val="40"/>
          <w:rtl/>
        </w:rPr>
        <w:t>ان</w:t>
      </w:r>
      <w:r w:rsidR="008426E1">
        <w:rPr>
          <w:rFonts w:ascii="Sakkal Majalla" w:eastAsia="Noto Naskh Arabic" w:hAnsi="Sakkal Majalla" w:cs="Sakkal Majalla" w:hint="cs"/>
          <w:b/>
          <w:color w:val="27272A"/>
          <w:sz w:val="40"/>
          <w:szCs w:val="40"/>
          <w:rtl/>
        </w:rPr>
        <w:t>ي</w:t>
      </w:r>
      <w:r w:rsidR="001D4ECA">
        <w:rPr>
          <w:rFonts w:ascii="Sakkal Majalla" w:eastAsia="Noto Naskh Arabic" w:hAnsi="Sakkal Majalla" w:cs="Sakkal Majalla" w:hint="cs"/>
          <w:b/>
          <w:color w:val="27272A"/>
          <w:sz w:val="40"/>
          <w:szCs w:val="40"/>
          <w:rtl/>
        </w:rPr>
        <w:t>ه</w:t>
      </w:r>
      <w:r w:rsidRPr="00925404">
        <w:rPr>
          <w:rFonts w:ascii="Sakkal Majalla" w:eastAsia="Noto Naskh Arabic" w:hAnsi="Sakkal Majalla" w:cs="Sakkal Majalla"/>
          <w:b/>
          <w:color w:val="27272A"/>
          <w:sz w:val="40"/>
          <w:szCs w:val="40"/>
          <w:rtl/>
        </w:rPr>
        <w:t xml:space="preserve"> في القرآن الكريم سورة الروم (دراسة البلاغة)</w:t>
      </w:r>
      <w:r w:rsidRPr="00925404">
        <w:rPr>
          <w:rFonts w:ascii="Sakkal Majalla" w:eastAsia="Noto Naskh Arabic" w:hAnsi="Sakkal Majalla" w:cs="Sakkal Majalla"/>
          <w:b/>
          <w:color w:val="27272A"/>
          <w:sz w:val="40"/>
          <w:szCs w:val="40"/>
        </w:rPr>
        <w:t xml:space="preserve"> </w:t>
      </w:r>
      <w:r w:rsidR="002C133E">
        <w:rPr>
          <w:rFonts w:ascii="Times New Roman" w:eastAsia="Times New Roman" w:hAnsi="Times New Roman" w:cs="Times New Roman"/>
          <w:b/>
          <w:noProof/>
          <w:sz w:val="30"/>
          <w:szCs w:val="30"/>
        </w:rPr>
        <w:drawing>
          <wp:anchor distT="0" distB="0" distL="114300" distR="114300" simplePos="0" relativeHeight="251658240" behindDoc="0" locked="0" layoutInCell="1" allowOverlap="1" wp14:anchorId="1F9DDADE" wp14:editId="3D1818C7">
            <wp:simplePos x="0" y="0"/>
            <wp:positionH relativeFrom="column">
              <wp:posOffset>1816100</wp:posOffset>
            </wp:positionH>
            <wp:positionV relativeFrom="paragraph">
              <wp:posOffset>533400</wp:posOffset>
            </wp:positionV>
            <wp:extent cx="2317750" cy="246570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l="7497" r="15245" b="10487"/>
                    <a:stretch>
                      <a:fillRect/>
                    </a:stretch>
                  </pic:blipFill>
                  <pic:spPr>
                    <a:xfrm>
                      <a:off x="0" y="0"/>
                      <a:ext cx="2317750" cy="2465705"/>
                    </a:xfrm>
                    <a:prstGeom prst="rect">
                      <a:avLst/>
                    </a:prstGeom>
                    <a:ln/>
                  </pic:spPr>
                </pic:pic>
              </a:graphicData>
            </a:graphic>
          </wp:anchor>
        </w:drawing>
      </w:r>
    </w:p>
    <w:p w14:paraId="5D513C86" w14:textId="77777777" w:rsidR="00866FD1" w:rsidRDefault="00866FD1" w:rsidP="00866FD1">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057DCC33" w14:textId="77777777" w:rsidR="00A16E77" w:rsidRPr="00A16E77" w:rsidRDefault="00A16E77" w:rsidP="00A16E77">
      <w:pPr>
        <w:bidi/>
        <w:spacing w:line="360" w:lineRule="auto"/>
        <w:jc w:val="center"/>
        <w:rPr>
          <w:rFonts w:ascii="Sakkal Majalla" w:hAnsi="Sakkal Majalla" w:cs="Sakkal Majalla"/>
          <w:sz w:val="36"/>
          <w:szCs w:val="36"/>
        </w:rPr>
      </w:pPr>
      <w:r w:rsidRPr="00A16E77">
        <w:rPr>
          <w:rFonts w:ascii="Sakkal Majalla" w:hAnsi="Sakkal Majalla" w:cs="Sakkal Majalla"/>
          <w:sz w:val="36"/>
          <w:szCs w:val="36"/>
          <w:rtl/>
        </w:rPr>
        <w:t>البحث العلمي مقدم لقسم تربية اللغة العربية</w:t>
      </w:r>
    </w:p>
    <w:p w14:paraId="236FC024" w14:textId="1F440A2C" w:rsidR="00866FD1" w:rsidRDefault="00A16E77" w:rsidP="00A16E77">
      <w:pPr>
        <w:bidi/>
        <w:spacing w:line="360" w:lineRule="auto"/>
        <w:jc w:val="center"/>
        <w:rPr>
          <w:rFonts w:ascii="Sakkal Majalla" w:hAnsi="Sakkal Majalla" w:cs="Sakkal Majalla"/>
          <w:sz w:val="36"/>
          <w:szCs w:val="36"/>
          <w:rtl/>
        </w:rPr>
      </w:pPr>
      <w:r w:rsidRPr="00A16E77">
        <w:rPr>
          <w:rFonts w:ascii="Sakkal Majalla" w:hAnsi="Sakkal Majalla" w:cs="Sakkal Majalla"/>
          <w:sz w:val="36"/>
          <w:szCs w:val="36"/>
          <w:rtl/>
        </w:rPr>
        <w:t>للحصول على درجة السرجانا في التربية</w:t>
      </w:r>
    </w:p>
    <w:p w14:paraId="1046FFBF" w14:textId="77777777" w:rsidR="00A16E77" w:rsidRDefault="00A16E77" w:rsidP="00A16E77">
      <w:pPr>
        <w:bidi/>
        <w:spacing w:line="360" w:lineRule="auto"/>
        <w:jc w:val="center"/>
        <w:rPr>
          <w:rFonts w:ascii="Sakkal Majalla" w:hAnsi="Sakkal Majalla" w:cs="Sakkal Majalla"/>
          <w:sz w:val="36"/>
          <w:szCs w:val="36"/>
        </w:rPr>
      </w:pPr>
    </w:p>
    <w:p w14:paraId="025DFE0C"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قسم تعليم 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260903D2" w:rsidR="00F440B6" w:rsidRPr="001474CC" w:rsidRDefault="00F062A0" w:rsidP="001474CC">
      <w:pPr>
        <w:spacing w:line="360" w:lineRule="auto"/>
        <w:jc w:val="center"/>
        <w:rPr>
          <w:rFonts w:ascii="Sakkal Majalla" w:eastAsia="Times New Roman" w:hAnsi="Sakkal Majalla" w:cs="Sakkal Majalla"/>
          <w:b/>
          <w:sz w:val="40"/>
          <w:szCs w:val="40"/>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6066368E" w14:textId="77777777" w:rsidR="009C3634"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lastRenderedPageBreak/>
        <w:t>الباب الأول</w:t>
      </w:r>
    </w:p>
    <w:p w14:paraId="67D9E54C" w14:textId="661F78B2" w:rsidR="00F440B6"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t>المقدمة</w:t>
      </w:r>
    </w:p>
    <w:p w14:paraId="2D3E93D7"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rPr>
          <w:rFonts w:ascii="Sakkal Majalla" w:eastAsia="Noto Naskh Arabic" w:hAnsi="Sakkal Majalla" w:cs="Sakkal Majalla"/>
          <w:b/>
          <w:sz w:val="36"/>
          <w:szCs w:val="36"/>
        </w:rPr>
      </w:pPr>
      <w:r w:rsidRPr="001474CC">
        <w:rPr>
          <w:rFonts w:ascii="Sakkal Majalla" w:eastAsia="Noto Naskh Arabic" w:hAnsi="Sakkal Majalla" w:cs="Sakkal Majalla"/>
          <w:b/>
          <w:sz w:val="36"/>
          <w:szCs w:val="36"/>
          <w:rtl/>
        </w:rPr>
        <w:t>أ. خلفية البحث</w:t>
      </w:r>
    </w:p>
    <w:p w14:paraId="206E7EA1" w14:textId="77777777" w:rsidR="00734146" w:rsidRDefault="002C133E" w:rsidP="0073414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1474CC">
        <w:rPr>
          <w:rFonts w:ascii="Sakkal Majalla" w:eastAsia="Noto Naskh Arabic" w:hAnsi="Sakkal Majalla" w:cs="Sakkal Majalla"/>
          <w:sz w:val="36"/>
          <w:szCs w:val="36"/>
          <w:rtl/>
        </w:rPr>
        <w:t>اللغة العربية، كلغة القرآن الكريم، تحمل ثراء لغوي استثنائي في استخدام اللغة والبلاغة</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ومن العلوم التي تدرس جمال اللغة العربية</w:t>
      </w:r>
      <w:r w:rsidR="00FF7D49">
        <w:rPr>
          <w:rFonts w:ascii="Sakkal Majalla" w:eastAsia="Noto Naskh Arabic" w:hAnsi="Sakkal Majalla" w:cs="Sakkal Majalla" w:hint="cs"/>
          <w:sz w:val="36"/>
          <w:szCs w:val="36"/>
          <w:rtl/>
          <w:lang w:bidi="ar-EG"/>
        </w:rPr>
        <w:t xml:space="preserve"> هي</w:t>
      </w:r>
      <w:r w:rsidR="00FF7D49" w:rsidRPr="00FF7D49">
        <w:rPr>
          <w:rFonts w:ascii="Sakkal Majalla" w:eastAsia="Noto Naskh Arabic" w:hAnsi="Sakkal Majalla" w:cs="Sakkal Majalla"/>
          <w:sz w:val="36"/>
          <w:szCs w:val="36"/>
          <w:rtl/>
          <w:lang w:bidi="ar-EG"/>
        </w:rPr>
        <w:t xml:space="preserve"> علم البلاغة.</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دراسة علم البلاغة التي تناقش</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قواعد يعرف بها كيفية مطابقة الكلام مقتضى الحال حتى يكون وفق الغرض الذي سبق له،</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هي دراسة لنطاق العلوم المعاني.</w:t>
      </w:r>
      <w:r w:rsidR="0095634A">
        <w:rPr>
          <w:rStyle w:val="FootnoteReference"/>
          <w:rFonts w:ascii="Sakkal Majalla" w:eastAsia="Noto Naskh Arabic" w:hAnsi="Sakkal Majalla" w:cs="Sakkal Majalla"/>
          <w:sz w:val="36"/>
          <w:szCs w:val="36"/>
          <w:rtl/>
          <w:lang w:bidi="ar-EG"/>
        </w:rPr>
        <w:footnoteReference w:id="1"/>
      </w:r>
      <w:r w:rsidR="00FF7D49">
        <w:rPr>
          <w:rFonts w:ascii="Sakkal Majalla" w:eastAsia="Noto Naskh Arabic" w:hAnsi="Sakkal Majalla" w:cs="Sakkal Majalla" w:hint="cs"/>
          <w:sz w:val="36"/>
          <w:szCs w:val="36"/>
          <w:rtl/>
          <w:lang w:bidi="ar-EG"/>
        </w:rPr>
        <w:t xml:space="preserve"> </w:t>
      </w:r>
      <w:r w:rsidRPr="001474CC">
        <w:rPr>
          <w:rFonts w:ascii="Sakkal Majalla" w:eastAsia="Noto Naskh Arabic" w:hAnsi="Sakkal Majalla" w:cs="Sakkal Majalla"/>
          <w:sz w:val="36"/>
          <w:szCs w:val="36"/>
          <w:rtl/>
        </w:rPr>
        <w:t xml:space="preserve">جانب مثير في اللغة العربية من وجهة نظر علم </w:t>
      </w:r>
      <w:r w:rsidR="0095634A" w:rsidRPr="00FF7D49">
        <w:rPr>
          <w:rFonts w:ascii="Sakkal Majalla" w:eastAsia="Noto Naskh Arabic" w:hAnsi="Sakkal Majalla" w:cs="Sakkal Majalla"/>
          <w:sz w:val="36"/>
          <w:szCs w:val="36"/>
          <w:rtl/>
          <w:lang w:bidi="ar-EG"/>
        </w:rPr>
        <w:t>المعاني</w:t>
      </w:r>
      <w:r w:rsidRPr="001474CC">
        <w:rPr>
          <w:rFonts w:ascii="Sakkal Majalla" w:eastAsia="Noto Naskh Arabic" w:hAnsi="Sakkal Majalla" w:cs="Sakkal Majalla"/>
          <w:sz w:val="36"/>
          <w:szCs w:val="36"/>
          <w:rtl/>
        </w:rPr>
        <w:t xml:space="preserve"> هو استخدام </w:t>
      </w:r>
      <w:r w:rsidR="00CD4924" w:rsidRPr="00CD4924">
        <w:rPr>
          <w:rFonts w:ascii="Sakkal Majalla" w:eastAsia="Noto Naskh Arabic" w:hAnsi="Sakkal Majalla" w:cs="Sakkal Majalla"/>
          <w:sz w:val="36"/>
          <w:szCs w:val="36"/>
          <w:rtl/>
        </w:rPr>
        <w:t>الكلام الإنشائي الذي يندرج تحت عمل الأمر في القرآن الكريم</w:t>
      </w:r>
      <w:r w:rsidRPr="001474CC">
        <w:rPr>
          <w:rFonts w:ascii="Sakkal Majalla" w:eastAsia="Noto Naskh Arabic" w:hAnsi="Sakkal Majalla" w:cs="Sakkal Majalla"/>
          <w:sz w:val="36"/>
          <w:szCs w:val="36"/>
          <w:rtl/>
        </w:rPr>
        <w:t>،</w:t>
      </w:r>
      <w:r w:rsidR="00CD4924">
        <w:rPr>
          <w:rFonts w:ascii="Sakkal Majalla" w:eastAsia="Noto Naskh Arabic" w:hAnsi="Sakkal Majalla" w:cs="Sakkal Majalla" w:hint="cs"/>
          <w:sz w:val="36"/>
          <w:szCs w:val="36"/>
          <w:rtl/>
          <w:lang w:bidi="ar-EG"/>
        </w:rPr>
        <w:t>الذي</w:t>
      </w:r>
      <w:r w:rsidRPr="001474CC">
        <w:rPr>
          <w:rFonts w:ascii="Sakkal Majalla" w:eastAsia="Noto Naskh Arabic" w:hAnsi="Sakkal Majalla" w:cs="Sakkal Majalla"/>
          <w:sz w:val="36"/>
          <w:szCs w:val="36"/>
          <w:rtl/>
        </w:rPr>
        <w:t xml:space="preserve"> </w:t>
      </w:r>
      <w:r w:rsidR="00CD4924" w:rsidRPr="00CD4924">
        <w:rPr>
          <w:rFonts w:ascii="Sakkal Majalla" w:eastAsia="Noto Naskh Arabic" w:hAnsi="Sakkal Majalla" w:cs="Sakkal Majalla"/>
          <w:sz w:val="36"/>
          <w:szCs w:val="36"/>
          <w:rtl/>
        </w:rPr>
        <w:t>الطلب بفعل شيء يأتي من الأعلى إلى الأسفل</w:t>
      </w:r>
      <w:r w:rsidRPr="001474CC">
        <w:rPr>
          <w:rFonts w:ascii="Sakkal Majalla" w:eastAsia="Noto Naskh Arabic" w:hAnsi="Sakkal Majalla" w:cs="Sakkal Majalla"/>
          <w:sz w:val="36"/>
          <w:szCs w:val="36"/>
          <w:rtl/>
        </w:rPr>
        <w:t xml:space="preserve">. </w:t>
      </w:r>
      <w:r w:rsidR="00CD4924" w:rsidRPr="00CD4924">
        <w:rPr>
          <w:rFonts w:ascii="Sakkal Majalla" w:eastAsia="Noto Naskh Arabic" w:hAnsi="Sakkal Majalla" w:cs="Sakkal Majalla"/>
          <w:sz w:val="36"/>
          <w:szCs w:val="36"/>
          <w:rtl/>
        </w:rPr>
        <w:t>كما هو الحال في سورة الروم في القرآن الكريم التي تحتوي على آيات تحمل أوامرًا من الله لعباده</w:t>
      </w:r>
      <w:r w:rsidR="001D7ACC">
        <w:rPr>
          <w:rFonts w:ascii="Sakkal Majalla" w:eastAsia="Noto Naskh Arabic" w:hAnsi="Sakkal Majalla" w:cs="Sakkal Majalla" w:hint="cs"/>
          <w:sz w:val="36"/>
          <w:szCs w:val="36"/>
          <w:rtl/>
          <w:lang w:bidi="ar-EG"/>
        </w:rPr>
        <w:t>,</w:t>
      </w:r>
      <w:r w:rsidR="00D13D3B">
        <w:rPr>
          <w:rFonts w:ascii="Sakkal Majalla" w:eastAsia="Noto Naskh Arabic" w:hAnsi="Sakkal Majalla" w:cs="Sakkal Majalla" w:hint="cs"/>
          <w:sz w:val="36"/>
          <w:szCs w:val="36"/>
          <w:rtl/>
          <w:lang w:bidi="ar-EG"/>
        </w:rPr>
        <w:t xml:space="preserve"> </w:t>
      </w:r>
      <w:r w:rsidR="001D7ACC">
        <w:rPr>
          <w:rFonts w:ascii="Sakkal Majalla" w:eastAsia="Noto Naskh Arabic" w:hAnsi="Sakkal Majalla" w:cs="Sakkal Majalla"/>
          <w:sz w:val="36"/>
          <w:szCs w:val="36"/>
          <w:lang w:bidi="ar-EG"/>
        </w:rPr>
        <w:t xml:space="preserve"> </w:t>
      </w:r>
      <w:r w:rsidR="001D7ACC" w:rsidRPr="001D7ACC">
        <w:rPr>
          <w:rFonts w:ascii="Sakkal Majalla" w:eastAsia="Noto Naskh Arabic" w:hAnsi="Sakkal Majalla" w:cs="Sakkal Majalla"/>
          <w:sz w:val="36"/>
          <w:szCs w:val="36"/>
          <w:rtl/>
          <w:lang w:bidi="ar-EG"/>
        </w:rPr>
        <w:t>في القرآن، فإن الجمل الأمرية عادة لا تحمل معنى واحدًا فقط الذي يعني الأمر بشكل عام، ولكن يمكن أن تحمل معانٍ متعددة.</w:t>
      </w:r>
      <w:r w:rsidR="001D7ACC">
        <w:rPr>
          <w:rFonts w:ascii="Sakkal Majalla" w:eastAsia="Noto Naskh Arabic" w:hAnsi="Sakkal Majalla" w:cs="Sakkal Majalla"/>
          <w:sz w:val="36"/>
          <w:szCs w:val="36"/>
          <w:lang w:bidi="ar-EG"/>
        </w:rPr>
        <w:t xml:space="preserve"> </w:t>
      </w:r>
      <w:r w:rsidR="001D7ACC" w:rsidRPr="001D7ACC">
        <w:rPr>
          <w:rFonts w:ascii="Sakkal Majalla" w:eastAsia="Noto Naskh Arabic" w:hAnsi="Sakkal Majalla" w:cs="Sakkal Majalla"/>
          <w:sz w:val="36"/>
          <w:szCs w:val="36"/>
          <w:rtl/>
          <w:lang w:bidi="ar-EG"/>
        </w:rPr>
        <w:t xml:space="preserve">وفقًا لدحلان (دحلان، 1997)، عندما نجد في القرآن آيات تأمر بفعل شيء ما، في الأساس تكون تلك الآيات تحمل معنى منع. وعلى العكس، عندما نجد آيات تحظر فعل شيء معين، فإن ذلك يعني أساسًا أن الآية تحمل معنى أمر بالقيام بهذا الفعل. هذا يعني، وفقًا لهذا القاعدة، أنه في القرآن عندما يُأمر بتوحيد الله (التوحيد)، يكون ذلك في الحقيقة تحذيرًا من الشرك أو إشراك الله. وبالعكس، عندما يُحظر على الإنسان فعل شيء معين، فإن ذلك </w:t>
      </w:r>
      <w:r w:rsidR="001D7ACC" w:rsidRPr="001D7ACC">
        <w:rPr>
          <w:rFonts w:ascii="Sakkal Majalla" w:eastAsia="Noto Naskh Arabic" w:hAnsi="Sakkal Majalla" w:cs="Sakkal Majalla"/>
          <w:sz w:val="36"/>
          <w:szCs w:val="36"/>
          <w:rtl/>
          <w:lang w:bidi="ar-EG"/>
        </w:rPr>
        <w:lastRenderedPageBreak/>
        <w:t>يعني في الأساس أنه يتوجب عليه فعله. هذه القاعدة تعني أنه عندما يُأمر بالتوحيد، يعني أيضًا أنه يُحظر على الإنسان الشرك، وكذلك عندما يُحظر على الإنسان الظلم وإنكار نعمة الله، فإن ذلك يشمل أيضًا أمورًا معينة يُفترض فعلها، مثل إقامة الصلاة ودفع الزكاة والصوم والعدل والبر بالوالدين والتوكل على الله والشكر.</w:t>
      </w:r>
      <w:r w:rsidR="001D7ACC">
        <w:rPr>
          <w:rStyle w:val="FootnoteReference"/>
          <w:rFonts w:ascii="Sakkal Majalla" w:eastAsia="Noto Naskh Arabic" w:hAnsi="Sakkal Majalla" w:cs="Sakkal Majalla"/>
          <w:sz w:val="36"/>
          <w:szCs w:val="36"/>
          <w:rtl/>
          <w:lang w:bidi="ar-EG"/>
        </w:rPr>
        <w:footnoteReference w:id="2"/>
      </w:r>
    </w:p>
    <w:p w14:paraId="7B9182A6" w14:textId="77777777" w:rsidR="00734146" w:rsidRDefault="00734146" w:rsidP="0073414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D7ACC">
        <w:rPr>
          <w:rFonts w:ascii="Sakkal Majalla" w:eastAsia="Noto Naskh Arabic" w:hAnsi="Sakkal Majalla" w:cs="Sakkal Majalla"/>
          <w:sz w:val="36"/>
          <w:szCs w:val="36"/>
          <w:rtl/>
        </w:rPr>
        <w:t>وفقًا لقريش شهاب (شهاب، 2015)، يُظهر أوامر الله بتنوع الأشكال، لا تقتصر على النصوص الفعلية (لا) والتحريض، ولكن يمكن أيضًا أن تظهر في صيغة الخبر أو الإخبار. على سبيل المثال، في آية الله في سورة النور [24]:3، تشير الآية إلى أن الرجل الزان لا يجوز له الزواج إلا بامرأة زانية، يستخدم أمر في هذه الآية بصيغة الإخبار. في المقطع المذكور أعلاه، يكون معناه أكثر حزمًا من أوامر باستخدام صيغ الأمر أو التحريض. لأنه إذا تم استخدام صيغ الأمر مباشرة، فقد يفتح المجال للمتمرد لتجاوز هذا الأمر. ولكن إذا كان الأمر يستخدم صي</w:t>
      </w:r>
      <w:r>
        <w:rPr>
          <w:rFonts w:ascii="Sakkal Majalla" w:eastAsia="Noto Naskh Arabic" w:hAnsi="Sakkal Majalla" w:cs="Sakkal Majalla" w:hint="cs"/>
          <w:sz w:val="36"/>
          <w:szCs w:val="36"/>
          <w:rtl/>
        </w:rPr>
        <w:t>ا</w:t>
      </w:r>
      <w:r w:rsidRPr="001D7ACC">
        <w:rPr>
          <w:rFonts w:ascii="Sakkal Majalla" w:eastAsia="Noto Naskh Arabic" w:hAnsi="Sakkal Majalla" w:cs="Sakkal Majalla"/>
          <w:sz w:val="36"/>
          <w:szCs w:val="36"/>
          <w:rtl/>
        </w:rPr>
        <w:t>غة الإخبار، ثم ثبت أن هناك من يخالف ما ورد في الإخبار، يمكن أن يُقيم المتكلم بأنه قد قدم معلومة غير صحيحة أو خاطئة، بسبب الخطأ فيما أخبر به. وبالتالي، يُعتبر ضروريًا استخدام قواعد الأمر والنهي في فهم الآيات الواردة فيها أوامر وتحريمات في القرآن، لتجنب حدوث أخطاء في التفسير.</w:t>
      </w:r>
      <w:r>
        <w:rPr>
          <w:rStyle w:val="FootnoteReference"/>
          <w:rFonts w:ascii="Sakkal Majalla" w:eastAsia="Noto Naskh Arabic" w:hAnsi="Sakkal Majalla" w:cs="Sakkal Majalla"/>
          <w:sz w:val="36"/>
          <w:szCs w:val="36"/>
          <w:rtl/>
        </w:rPr>
        <w:footnoteReference w:id="3"/>
      </w:r>
    </w:p>
    <w:p w14:paraId="7B18A57C" w14:textId="77777777" w:rsidR="00734146" w:rsidRPr="00734146" w:rsidRDefault="00734146" w:rsidP="0073414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bidi="ar-EG"/>
        </w:rPr>
      </w:pPr>
    </w:p>
    <w:p w14:paraId="4C2551EB" w14:textId="49FC9CD0" w:rsidR="0017107B" w:rsidRDefault="0017107B" w:rsidP="0073414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lastRenderedPageBreak/>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4"/>
      </w:r>
    </w:p>
    <w:p w14:paraId="6EBE3DED" w14:textId="4552B8F2" w:rsidR="003846B8" w:rsidRDefault="005855C6"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5855C6">
        <w:rPr>
          <w:rFonts w:ascii="Sakkal Majalla" w:eastAsia="Noto Naskh Arabic" w:hAnsi="Sakkal Majalla" w:cs="Sakkal Majalla"/>
          <w:sz w:val="36"/>
          <w:szCs w:val="36"/>
          <w:rtl/>
        </w:rPr>
        <w:t>أحد العلوم التي تناقش كيفية معالجة الكلمات أو الجمل العربية بشكل جميل مع الحفاظ على وضوح المعنى هو علم البلاغة</w:t>
      </w:r>
      <w:r w:rsidR="007A2189" w:rsidRPr="007A2189">
        <w:rPr>
          <w:rFonts w:ascii="Sakkal Majalla" w:eastAsia="Noto Naskh Arabic" w:hAnsi="Sakkal Majalla" w:cs="Sakkal Majalla"/>
          <w:sz w:val="36"/>
          <w:szCs w:val="36"/>
          <w:rtl/>
        </w:rPr>
        <w:t>.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والتوصيل، ويعتبر علمًا شاملاً لجميع جوانب اللغة سواء كانت معنوية أو 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5"/>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6"/>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7"/>
      </w:r>
      <w:r w:rsidR="003846B8">
        <w:rPr>
          <w:rFonts w:ascii="Sakkal Majalla" w:eastAsia="Noto Naskh Arabic" w:hAnsi="Sakkal Majalla" w:cs="Sakkal Majalla" w:hint="cs"/>
          <w:sz w:val="36"/>
          <w:szCs w:val="36"/>
          <w:rtl/>
        </w:rPr>
        <w:t xml:space="preserve"> </w:t>
      </w:r>
    </w:p>
    <w:p w14:paraId="019936AE" w14:textId="206DEF84" w:rsidR="003846B8" w:rsidRDefault="0038323A" w:rsidP="0030120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Pr>
          <w:rFonts w:ascii="Sakkal Majalla" w:eastAsia="Noto Naskh Arabic" w:hAnsi="Sakkal Majalla" w:cs="Sakkal Majalla"/>
          <w:sz w:val="36"/>
          <w:szCs w:val="36"/>
        </w:rPr>
        <w:lastRenderedPageBreak/>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E6619">
        <w:rPr>
          <w:rFonts w:ascii="Sakkal Majalla" w:eastAsia="Noto Naskh Arabic" w:hAnsi="Sakkal Majalla" w:cs="Sakkal Majalla" w:hint="cs"/>
          <w:color w:val="27272A"/>
          <w:sz w:val="36"/>
          <w:szCs w:val="36"/>
          <w:rtl/>
        </w:rPr>
        <w:t xml:space="preserve">, </w:t>
      </w:r>
      <w:r w:rsidR="00CE6619" w:rsidRPr="00CE6619">
        <w:rPr>
          <w:rFonts w:ascii="Sakkal Majalla" w:eastAsia="Noto Naskh Arabic" w:hAnsi="Sakkal Majalla" w:cs="Sakkal Majalla"/>
          <w:color w:val="27272A"/>
          <w:sz w:val="36"/>
          <w:szCs w:val="36"/>
          <w:rtl/>
        </w:rPr>
        <w:t>وبالتحديد في استخدام أسلوب الأمر</w:t>
      </w:r>
      <w:r w:rsidR="00C36F26">
        <w:rPr>
          <w:rFonts w:ascii="Sakkal Majalla" w:eastAsia="Noto Naskh Arabic" w:hAnsi="Sakkal Majalla" w:cs="Sakkal Majalla" w:hint="cs"/>
          <w:sz w:val="36"/>
          <w:szCs w:val="36"/>
          <w:rtl/>
          <w:lang w:bidi="ar-EG"/>
        </w:rPr>
        <w:t>.</w:t>
      </w:r>
      <w:r w:rsidR="00301207">
        <w:rPr>
          <w:rFonts w:ascii="Sakkal Majalla" w:eastAsia="Noto Naskh Arabic" w:hAnsi="Sakkal Majalla" w:cs="Sakkal Majalla"/>
          <w:sz w:val="36"/>
          <w:szCs w:val="36"/>
          <w:lang w:bidi="ar-EG"/>
        </w:rPr>
        <w:t xml:space="preserve"> </w:t>
      </w:r>
      <w:r w:rsidR="00301207" w:rsidRPr="0038323A">
        <w:rPr>
          <w:rFonts w:ascii="Sakkal Majalla" w:eastAsia="Noto Naskh Arabic" w:hAnsi="Sakkal Majalla" w:cs="Sakkal Majalla"/>
          <w:sz w:val="36"/>
          <w:szCs w:val="36"/>
          <w:rtl/>
        </w:rPr>
        <w:t xml:space="preserve">ويمكن تصنيف كلام الإنشاء إلى نوعين، وهما إنشاء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 xml:space="preserve"> وإنشاء غير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w:t>
      </w:r>
      <w:r w:rsidR="00301207">
        <w:rPr>
          <w:rStyle w:val="FootnoteReference"/>
          <w:rFonts w:ascii="Sakkal Majalla" w:eastAsia="Noto Naskh Arabic" w:hAnsi="Sakkal Majalla" w:cs="Sakkal Majalla"/>
          <w:sz w:val="36"/>
          <w:szCs w:val="36"/>
          <w:rtl/>
        </w:rPr>
        <w:footnoteReference w:id="8"/>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9"/>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10"/>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r w:rsidR="00CE6619">
        <w:rPr>
          <w:rFonts w:ascii="Sakkal Majalla" w:eastAsia="Noto Naskh Arabic" w:hAnsi="Sakkal Majalla" w:cs="Sakkal Majalla"/>
          <w:sz w:val="36"/>
          <w:szCs w:val="36"/>
        </w:rPr>
        <w:t xml:space="preserve"> </w:t>
      </w:r>
      <w:r w:rsidR="00CE6619" w:rsidRPr="00CE6619">
        <w:rPr>
          <w:rFonts w:ascii="Sakkal Majalla" w:eastAsia="Noto Naskh Arabic" w:hAnsi="Sakkal Majalla" w:cs="Sakkal Majalla"/>
          <w:sz w:val="36"/>
          <w:szCs w:val="36"/>
          <w:rtl/>
        </w:rPr>
        <w:t>من بين العديد من أنواع الإنشاء الطلابي، قام الباحث بتحديده على دراسة الإنشاء الطلابي في صي</w:t>
      </w:r>
      <w:r w:rsidR="007A010A">
        <w:rPr>
          <w:rFonts w:ascii="Sakkal Majalla" w:eastAsia="Noto Naskh Arabic" w:hAnsi="Sakkal Majalla" w:cs="Sakkal Majalla" w:hint="cs"/>
          <w:sz w:val="36"/>
          <w:szCs w:val="36"/>
          <w:rtl/>
        </w:rPr>
        <w:t>ا</w:t>
      </w:r>
      <w:r w:rsidR="00CE6619" w:rsidRPr="00CE6619">
        <w:rPr>
          <w:rFonts w:ascii="Sakkal Majalla" w:eastAsia="Noto Naskh Arabic" w:hAnsi="Sakkal Majalla" w:cs="Sakkal Majalla"/>
          <w:sz w:val="36"/>
          <w:szCs w:val="36"/>
          <w:rtl/>
        </w:rPr>
        <w:t>غة الأمر المعروفة أيضًا بكلمة "أمر".</w:t>
      </w:r>
      <w:r w:rsidR="003846B8">
        <w:rPr>
          <w:rFonts w:ascii="Sakkal Majalla" w:eastAsia="Noto Naskh Arabic" w:hAnsi="Sakkal Majalla" w:cs="Sakkal Majalla" w:hint="cs"/>
          <w:sz w:val="36"/>
          <w:szCs w:val="36"/>
          <w:rtl/>
        </w:rPr>
        <w:t xml:space="preserve"> </w:t>
      </w:r>
    </w:p>
    <w:p w14:paraId="1F6725A7" w14:textId="27A1B19E" w:rsidR="00D4059F" w:rsidRDefault="00F10ABE" w:rsidP="00BC385A">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F10ABE">
        <w:rPr>
          <w:rFonts w:ascii="Sakkal Majalla" w:eastAsia="Noto Naskh Arabic" w:hAnsi="Sakkal Majalla" w:cs="Sakkal Majalla"/>
          <w:sz w:val="36"/>
          <w:szCs w:val="36"/>
          <w:rtl/>
        </w:rPr>
        <w:t>أُسلوب الأمر يُعتبر جزءًا من كلام الإنشاء الطلابي. وفقًا لابن السبكي، الأمر هو طلب للفعل، ليس تركًا للذي لا يحتاج (اتركه) أو ما شابه ذلك،</w:t>
      </w:r>
      <w:r>
        <w:rPr>
          <w:rStyle w:val="FootnoteReference"/>
          <w:rFonts w:ascii="Sakkal Majalla" w:eastAsia="Noto Naskh Arabic" w:hAnsi="Sakkal Majalla" w:cs="Sakkal Majalla"/>
          <w:sz w:val="36"/>
          <w:szCs w:val="36"/>
          <w:rtl/>
        </w:rPr>
        <w:footnoteReference w:id="11"/>
      </w:r>
      <w:r w:rsidRPr="00F10ABE">
        <w:rPr>
          <w:rFonts w:ascii="Sakkal Majalla" w:eastAsia="Noto Naskh Arabic" w:hAnsi="Sakkal Majalla" w:cs="Sakkal Majalla"/>
          <w:sz w:val="36"/>
          <w:szCs w:val="36"/>
          <w:rtl/>
        </w:rPr>
        <w:t xml:space="preserve"> ولكن هناك من يقول بأنه يأمر بالقيام بشيء دون إكراه. ومع ذلك، التعريف الذي يُستخدم كثيرًا من قبل العلماء هو "</w:t>
      </w:r>
      <w:r w:rsidRPr="00F10ABE">
        <w:rPr>
          <w:rtl/>
        </w:rPr>
        <w:t xml:space="preserve"> </w:t>
      </w:r>
      <w:r w:rsidRPr="00F10ABE">
        <w:rPr>
          <w:rFonts w:ascii="Sakkal Majalla" w:eastAsia="Noto Naskh Arabic" w:hAnsi="Sakkal Majalla" w:cs="Sakkal Majalla"/>
          <w:sz w:val="36"/>
          <w:szCs w:val="36"/>
          <w:rtl/>
        </w:rPr>
        <w:t>طلب الفعل علي وجه الإستعلاء "، أي طلب القيام بشيء من قبل شخص يتفوق موقعه على الشخص الآخر.</w:t>
      </w:r>
      <w:r>
        <w:rPr>
          <w:rStyle w:val="FootnoteReference"/>
          <w:rFonts w:ascii="Sakkal Majalla" w:eastAsia="Noto Naskh Arabic" w:hAnsi="Sakkal Majalla" w:cs="Sakkal Majalla"/>
          <w:sz w:val="36"/>
          <w:szCs w:val="36"/>
          <w:rtl/>
        </w:rPr>
        <w:footnoteReference w:id="12"/>
      </w:r>
      <w:r w:rsidRPr="00F10ABE">
        <w:rPr>
          <w:rFonts w:ascii="Sakkal Majalla" w:eastAsia="Noto Naskh Arabic" w:hAnsi="Sakkal Majalla" w:cs="Sakkal Majalla"/>
          <w:sz w:val="36"/>
          <w:szCs w:val="36"/>
          <w:rtl/>
        </w:rPr>
        <w:t xml:space="preserve"> وفي القرآن الكريم، هناك العديد من الآيات التي تحتوي على توجيهات من الله تعالى إلى عباده.</w:t>
      </w:r>
    </w:p>
    <w:p w14:paraId="2F54153B" w14:textId="678114CE" w:rsidR="00C36F26" w:rsidRPr="00C36F26" w:rsidRDefault="00C36F26"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C36F26">
        <w:rPr>
          <w:rFonts w:ascii="Sakkal Majalla" w:eastAsia="Noto Naskh Arabic" w:hAnsi="Sakkal Majalla" w:cs="Sakkal Majalla"/>
          <w:sz w:val="36"/>
          <w:szCs w:val="36"/>
          <w:rtl/>
          <w:lang w:val="en-US" w:bidi="ar-EG"/>
        </w:rPr>
        <w:lastRenderedPageBreak/>
        <w:t>في سياق هذا البحث، يأخذ الباحث سورة الروم ككائن للدراسة.</w:t>
      </w:r>
      <w:r w:rsidR="00D4059F">
        <w:rPr>
          <w:rFonts w:ascii="Sakkal Majalla" w:eastAsia="Noto Naskh Arabic" w:hAnsi="Sakkal Majalla" w:cs="Sakkal Majalla" w:hint="cs"/>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سبب اختيار الباحث لسورة الروم ككائن دراسي يعود إلى العثور على عدة آيات في سورة الروم تحتوي على إنشاء طلابي من نوع الأمر. لذلك يرغب الباحث في استكشاف هذا النوع من الإنشاء الطلابي بشكل أعمق.</w:t>
      </w:r>
      <w:r w:rsidRPr="00C36F26">
        <w:rPr>
          <w:rFonts w:ascii="Sakkal Majalla" w:eastAsia="Noto Naskh Arabic" w:hAnsi="Sakkal Majalla" w:cs="Sakkal Majalla"/>
          <w:sz w:val="36"/>
          <w:szCs w:val="36"/>
          <w:rtl/>
          <w:lang w:val="en-US" w:bidi="ar-EG"/>
        </w:rPr>
        <w:t xml:space="preserve"> سيستخدم الباحث نظرية علم المعاني، وهي جزء من كلام الإنشاء </w:t>
      </w:r>
      <w:r w:rsidR="00D56CD6" w:rsidRPr="001474CC">
        <w:rPr>
          <w:rFonts w:ascii="Sakkal Majalla" w:eastAsia="Noto Naskh Arabic" w:hAnsi="Sakkal Majalla" w:cs="Sakkal Majalla"/>
          <w:sz w:val="36"/>
          <w:szCs w:val="36"/>
          <w:rtl/>
        </w:rPr>
        <w:t>الطلبي</w:t>
      </w:r>
      <w:r w:rsidR="00D56CD6" w:rsidRPr="00C36F26">
        <w:rPr>
          <w:rFonts w:ascii="Sakkal Majalla" w:eastAsia="Noto Naskh Arabic" w:hAnsi="Sakkal Majalla" w:cs="Sakkal Majalla"/>
          <w:sz w:val="36"/>
          <w:szCs w:val="36"/>
          <w:rtl/>
          <w:lang w:val="en-US" w:bidi="ar-EG"/>
        </w:rPr>
        <w:t xml:space="preserve"> </w:t>
      </w:r>
      <w:r w:rsidRPr="00C36F26">
        <w:rPr>
          <w:rFonts w:ascii="Sakkal Majalla" w:eastAsia="Noto Naskh Arabic" w:hAnsi="Sakkal Majalla" w:cs="Sakkal Majalla"/>
          <w:sz w:val="36"/>
          <w:szCs w:val="36"/>
          <w:rtl/>
          <w:lang w:val="en-US" w:bidi="ar-EG"/>
        </w:rPr>
        <w:t>، لتحليل سورة الروم. سورة الروم هي إحدى سور القرآن التي تتمتع بجمال اللغة والبلاغة. تعتبر الروم السورة رقم 30 في القرآن الكريم ونزلت في مكة المكرمة، وبالتالي تصنف ضمن سور مكية. تتألف سورة الروم من 60 آية وتعبر عن الأمة الرومانية وفقًا لتفسير ابن كثير.</w:t>
      </w:r>
    </w:p>
    <w:p w14:paraId="022AA732" w14:textId="21C6D993" w:rsidR="00AF1154" w:rsidRDefault="0022341C"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t>هذا البحث ليس الأول من نوعه بل هناك العديد من الأبحاث السابقة التي استخدمت سورة الروم كموضوع للدراسة</w:t>
      </w:r>
      <w:r w:rsidR="00C8674D" w:rsidRPr="00C8674D">
        <w:rPr>
          <w:rFonts w:ascii="Sakkal Majalla" w:eastAsia="Noto Naskh Arabic" w:hAnsi="Sakkal Majalla" w:cs="Sakkal Majalla"/>
          <w:sz w:val="36"/>
          <w:szCs w:val="36"/>
          <w:rtl/>
        </w:rPr>
        <w:t>.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r w:rsidR="00AF1154">
        <w:rPr>
          <w:rFonts w:ascii="Sakkal Majalla" w:eastAsia="Noto Naskh Arabic" w:hAnsi="Sakkal Majalla" w:cs="Sakkal Majalla" w:hint="cs"/>
          <w:sz w:val="36"/>
          <w:szCs w:val="36"/>
          <w:rtl/>
        </w:rPr>
        <w:t xml:space="preserve">. </w:t>
      </w:r>
      <w:r w:rsidR="00CC4A88">
        <w:rPr>
          <w:rStyle w:val="FootnoteReference"/>
          <w:rFonts w:ascii="Sakkal Majalla" w:eastAsia="Noto Naskh Arabic" w:hAnsi="Sakkal Majalla" w:cs="Sakkal Majalla"/>
          <w:sz w:val="36"/>
          <w:szCs w:val="36"/>
        </w:rPr>
        <w:footnoteReference w:id="13"/>
      </w:r>
      <w:r w:rsidR="00AF1154">
        <w:rPr>
          <w:rFonts w:ascii="Sakkal Majalla" w:eastAsia="Noto Naskh Arabic" w:hAnsi="Sakkal Majalla" w:cs="Sakkal Majalla" w:hint="cs"/>
          <w:sz w:val="36"/>
          <w:szCs w:val="36"/>
          <w:rtl/>
        </w:rPr>
        <w:t xml:space="preserve"> </w:t>
      </w:r>
    </w:p>
    <w:p w14:paraId="57E7F3CD" w14:textId="32BE8EF0" w:rsidR="00F363BB" w:rsidRPr="00484BD7" w:rsidRDefault="00F363BB" w:rsidP="00F363B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t>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w:t>
      </w:r>
      <w:r w:rsidR="007A4BA3">
        <w:rPr>
          <w:rStyle w:val="FootnoteReference"/>
          <w:rFonts w:ascii="Sakkal Majalla" w:eastAsia="Noto Naskh Arabic" w:hAnsi="Sakkal Majalla" w:cs="Sakkal Majalla"/>
          <w:sz w:val="36"/>
          <w:szCs w:val="36"/>
          <w:rtl/>
          <w:lang w:val="en-US" w:bidi="ar-EG"/>
        </w:rPr>
        <w:footnoteReference w:id="14"/>
      </w:r>
      <w:r w:rsidRPr="00F363BB">
        <w:rPr>
          <w:rFonts w:ascii="Sakkal Majalla" w:eastAsia="Noto Naskh Arabic" w:hAnsi="Sakkal Majalla" w:cs="Sakkal Majalla"/>
          <w:sz w:val="36"/>
          <w:szCs w:val="36"/>
          <w:rtl/>
          <w:lang w:val="en-US" w:bidi="ar-EG"/>
        </w:rPr>
        <w:t xml:space="preserve"> وعلى الرغم من وفرة الأبحاث التي تناولت سورة </w:t>
      </w:r>
      <w:r w:rsidRPr="00F363BB">
        <w:rPr>
          <w:rFonts w:ascii="Sakkal Majalla" w:eastAsia="Noto Naskh Arabic" w:hAnsi="Sakkal Majalla" w:cs="Sakkal Majalla"/>
          <w:sz w:val="36"/>
          <w:szCs w:val="36"/>
          <w:rtl/>
          <w:lang w:val="en-US" w:bidi="ar-EG"/>
        </w:rPr>
        <w:lastRenderedPageBreak/>
        <w:t xml:space="preserve">الروم، إلا أنه لم يكن هناك بحث سابق يتناول بالتفصيل سورة الروم من خلال دراسة استخدام كلام الإنشاء </w:t>
      </w:r>
      <w:r w:rsidR="00D11F9E" w:rsidRPr="001474CC">
        <w:rPr>
          <w:rFonts w:ascii="Sakkal Majalla" w:eastAsia="Noto Naskh Arabic" w:hAnsi="Sakkal Majalla" w:cs="Sakkal Majalla"/>
          <w:color w:val="27272A"/>
          <w:sz w:val="36"/>
          <w:szCs w:val="36"/>
          <w:highlight w:val="white"/>
          <w:rtl/>
        </w:rPr>
        <w:t>الطلبي</w:t>
      </w:r>
      <w:r w:rsidR="00D4059F">
        <w:rPr>
          <w:rFonts w:ascii="Sakkal Majalla" w:eastAsia="Noto Naskh Arabic" w:hAnsi="Sakkal Majalla" w:cs="Sakkal Majalla" w:hint="cs"/>
          <w:color w:val="27272A"/>
          <w:sz w:val="36"/>
          <w:szCs w:val="36"/>
          <w:rtl/>
        </w:rPr>
        <w:t xml:space="preserve"> </w:t>
      </w:r>
      <w:r w:rsidR="00D4059F" w:rsidRPr="00D4059F">
        <w:rPr>
          <w:rFonts w:ascii="Sakkal Majalla" w:eastAsia="Noto Naskh Arabic" w:hAnsi="Sakkal Majalla" w:cs="Sakkal Majalla"/>
          <w:sz w:val="36"/>
          <w:szCs w:val="36"/>
          <w:rtl/>
          <w:lang w:val="en-US" w:bidi="ar-EG"/>
        </w:rPr>
        <w:t>من نوع الأمر</w:t>
      </w:r>
      <w:r w:rsidR="00D11F9E" w:rsidRPr="00F363BB">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ومعاني البلاغة. وقد قدمت بعض الأبحاث السابقة اقتراحات لإجراء دراسات حول علم المعاني</w:t>
      </w:r>
      <w:r w:rsidR="00CE6A9E">
        <w:rPr>
          <w:rStyle w:val="FootnoteReference"/>
          <w:rFonts w:ascii="Sakkal Majalla" w:eastAsia="Noto Naskh Arabic" w:hAnsi="Sakkal Majalla" w:cs="Sakkal Majalla"/>
          <w:sz w:val="36"/>
          <w:szCs w:val="36"/>
          <w:rtl/>
          <w:lang w:val="en-US" w:bidi="ar-EG"/>
        </w:rPr>
        <w:footnoteReference w:id="15"/>
      </w:r>
      <w:r w:rsidRPr="00F363BB">
        <w:rPr>
          <w:rFonts w:ascii="Sakkal Majalla" w:eastAsia="Noto Naskh Arabic" w:hAnsi="Sakkal Majalla" w:cs="Sakkal Majalla"/>
          <w:sz w:val="36"/>
          <w:szCs w:val="36"/>
          <w:rtl/>
          <w:lang w:val="en-US" w:bidi="ar-EG"/>
        </w:rPr>
        <w:t xml:space="preserve"> في سورة الروم.</w:t>
      </w:r>
    </w:p>
    <w:p w14:paraId="5F8E2FDD" w14:textId="3F0EC34F" w:rsidR="00F440B6" w:rsidRPr="0035638E" w:rsidRDefault="00707BBE" w:rsidP="0035638E">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07BBE">
        <w:rPr>
          <w:rFonts w:ascii="Sakkal Majalla" w:eastAsia="Noto Naskh Arabic" w:hAnsi="Sakkal Majalla" w:cs="Sakkal Majalla"/>
          <w:sz w:val="36"/>
          <w:szCs w:val="36"/>
          <w:rtl/>
        </w:rPr>
        <w:t>لذلك، تحمل هذه الدراسة أهمية كبيرة في سياق التعليم للغة العربية. تحمل هذه الدراسة عنوان "</w:t>
      </w:r>
      <w:r w:rsidR="00FE410C" w:rsidRPr="00FE410C">
        <w:rPr>
          <w:rtl/>
        </w:rPr>
        <w:t xml:space="preserve"> </w:t>
      </w:r>
      <w:r w:rsidR="00FE410C" w:rsidRPr="00FE410C">
        <w:rPr>
          <w:rFonts w:ascii="Sakkal Majalla" w:eastAsia="Noto Naskh Arabic" w:hAnsi="Sakkal Majalla" w:cs="Sakkal Majalla"/>
          <w:sz w:val="36"/>
          <w:szCs w:val="36"/>
          <w:rtl/>
        </w:rPr>
        <w:t>الأمر</w:t>
      </w:r>
      <w:r w:rsidR="008426E1">
        <w:rPr>
          <w:rFonts w:ascii="Sakkal Majalla" w:eastAsia="Noto Naskh Arabic" w:hAnsi="Sakkal Majalla" w:cs="Sakkal Majalla" w:hint="cs"/>
          <w:sz w:val="36"/>
          <w:szCs w:val="36"/>
          <w:rtl/>
        </w:rPr>
        <w:t xml:space="preserve"> صي</w:t>
      </w:r>
      <w:r w:rsidR="007A010A">
        <w:rPr>
          <w:rFonts w:ascii="Sakkal Majalla" w:eastAsia="Noto Naskh Arabic" w:hAnsi="Sakkal Majalla" w:cs="Sakkal Majalla" w:hint="cs"/>
          <w:sz w:val="36"/>
          <w:szCs w:val="36"/>
          <w:rtl/>
        </w:rPr>
        <w:t>ا</w:t>
      </w:r>
      <w:r w:rsidR="008426E1">
        <w:rPr>
          <w:rFonts w:ascii="Sakkal Majalla" w:eastAsia="Noto Naskh Arabic" w:hAnsi="Sakkal Majalla" w:cs="Sakkal Majalla" w:hint="cs"/>
          <w:sz w:val="36"/>
          <w:szCs w:val="36"/>
          <w:rtl/>
        </w:rPr>
        <w:t>غة</w:t>
      </w:r>
      <w:r w:rsidR="00FE410C" w:rsidRPr="00FE410C">
        <w:rPr>
          <w:rFonts w:ascii="Sakkal Majalla" w:eastAsia="Noto Naskh Arabic" w:hAnsi="Sakkal Majalla" w:cs="Sakkal Majalla"/>
          <w:sz w:val="36"/>
          <w:szCs w:val="36"/>
          <w:rtl/>
        </w:rPr>
        <w:t xml:space="preserve"> ومع</w:t>
      </w:r>
      <w:r w:rsidR="008426E1">
        <w:rPr>
          <w:rFonts w:ascii="Sakkal Majalla" w:eastAsia="Noto Naskh Arabic" w:hAnsi="Sakkal Majalla" w:cs="Sakkal Majalla" w:hint="cs"/>
          <w:sz w:val="36"/>
          <w:szCs w:val="36"/>
          <w:rtl/>
        </w:rPr>
        <w:t>ا</w:t>
      </w:r>
      <w:r w:rsidR="00FE410C" w:rsidRPr="00FE410C">
        <w:rPr>
          <w:rFonts w:ascii="Sakkal Majalla" w:eastAsia="Noto Naskh Arabic" w:hAnsi="Sakkal Majalla" w:cs="Sakkal Majalla"/>
          <w:sz w:val="36"/>
          <w:szCs w:val="36"/>
          <w:rtl/>
        </w:rPr>
        <w:t>ن</w:t>
      </w:r>
      <w:r w:rsidR="008426E1">
        <w:rPr>
          <w:rFonts w:ascii="Sakkal Majalla" w:eastAsia="Noto Naskh Arabic" w:hAnsi="Sakkal Majalla" w:cs="Sakkal Majalla" w:hint="cs"/>
          <w:sz w:val="36"/>
          <w:szCs w:val="36"/>
          <w:rtl/>
        </w:rPr>
        <w:t>ي</w:t>
      </w:r>
      <w:r w:rsidR="00FE410C" w:rsidRPr="00FE410C">
        <w:rPr>
          <w:rFonts w:ascii="Sakkal Majalla" w:eastAsia="Noto Naskh Arabic" w:hAnsi="Sakkal Majalla" w:cs="Sakkal Majalla"/>
          <w:sz w:val="36"/>
          <w:szCs w:val="36"/>
          <w:rtl/>
        </w:rPr>
        <w:t xml:space="preserve">ه في القرآن الكريم، سورة الروم (دراسة البلاغة) </w:t>
      </w:r>
      <w:r w:rsidRPr="00707BBE">
        <w:rPr>
          <w:rFonts w:ascii="Sakkal Majalla" w:eastAsia="Noto Naskh Arabic" w:hAnsi="Sakkal Majalla" w:cs="Sakkal Majalla"/>
          <w:sz w:val="36"/>
          <w:szCs w:val="36"/>
          <w:rtl/>
        </w:rPr>
        <w:t xml:space="preserve">". وتهدف هذه الدراسة إلى الكشف عن معاني البلاغة في سياق استخدام الإنشاء </w:t>
      </w:r>
      <w:r w:rsidRPr="001474CC">
        <w:rPr>
          <w:rFonts w:ascii="Sakkal Majalla" w:eastAsia="Noto Naskh Arabic" w:hAnsi="Sakkal Majalla" w:cs="Sakkal Majalla"/>
          <w:color w:val="27272A"/>
          <w:sz w:val="36"/>
          <w:szCs w:val="36"/>
          <w:highlight w:val="white"/>
          <w:rtl/>
        </w:rPr>
        <w:t>الطلبي</w:t>
      </w:r>
      <w:r w:rsidR="00FE410C">
        <w:rPr>
          <w:rFonts w:ascii="Sakkal Majalla" w:eastAsia="Noto Naskh Arabic" w:hAnsi="Sakkal Majalla" w:cs="Sakkal Majalla"/>
          <w:color w:val="27272A"/>
          <w:sz w:val="36"/>
          <w:szCs w:val="36"/>
          <w:lang w:val="en-US"/>
        </w:rPr>
        <w:t xml:space="preserve"> </w:t>
      </w:r>
      <w:r w:rsidR="00FE410C">
        <w:rPr>
          <w:rFonts w:ascii="Sakkal Majalla" w:eastAsia="Noto Naskh Arabic" w:hAnsi="Sakkal Majalla" w:cs="Sakkal Majalla" w:hint="cs"/>
          <w:color w:val="27272A"/>
          <w:sz w:val="36"/>
          <w:szCs w:val="36"/>
          <w:rtl/>
          <w:lang w:val="en-US" w:bidi="ar-EG"/>
        </w:rPr>
        <w:t>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 xml:space="preserve">في سورة الروم. ستقدم نتائج هذه الدراسة إسهامًا كبيرًا في ميدان تعليم اللغة العربية، خاصة في فهم اللغة والبلاغة في القرآن. يُتوقع أن تملأ هذه الدراسة فجوة المعرفة في فهم </w:t>
      </w:r>
      <w:r w:rsidR="00FE410C">
        <w:rPr>
          <w:rFonts w:ascii="Sakkal Majalla" w:eastAsia="Noto Naskh Arabic" w:hAnsi="Sakkal Majalla" w:cs="Sakkal Majalla" w:hint="cs"/>
          <w:sz w:val="36"/>
          <w:szCs w:val="36"/>
          <w:rtl/>
        </w:rPr>
        <w:t>أسلوب 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سياق سورة الروم وتساعد الطلاب والمعلمين والباحثين في مجال تعليم اللغة العربية على فهم أفضل للبلاغة والمعاني المرتبطة بالقرآن</w:t>
      </w:r>
      <w:r w:rsidR="002C133E" w:rsidRPr="001474CC">
        <w:rPr>
          <w:rFonts w:ascii="Sakkal Majalla" w:eastAsia="Noto Naskh Arabic" w:hAnsi="Sakkal Majalla" w:cs="Sakkal Majalla"/>
          <w:sz w:val="36"/>
          <w:szCs w:val="36"/>
        </w:rPr>
        <w:t>.</w:t>
      </w:r>
    </w:p>
    <w:p w14:paraId="6CCF1C0E" w14:textId="25B206B5" w:rsidR="00F440B6" w:rsidRDefault="00F440B6" w:rsidP="001474CC">
      <w:pPr>
        <w:spacing w:line="360" w:lineRule="auto"/>
        <w:jc w:val="both"/>
        <w:rPr>
          <w:rFonts w:ascii="Sakkal Majalla" w:eastAsia="Noto Naskh Arabic" w:hAnsi="Sakkal Majalla" w:cs="Sakkal Majalla"/>
          <w:sz w:val="32"/>
          <w:szCs w:val="32"/>
          <w:rtl/>
        </w:rPr>
      </w:pPr>
    </w:p>
    <w:p w14:paraId="39B80DF8" w14:textId="77777777" w:rsidR="00725996" w:rsidRDefault="00725996" w:rsidP="001474CC">
      <w:pPr>
        <w:spacing w:line="360" w:lineRule="auto"/>
        <w:jc w:val="both"/>
        <w:rPr>
          <w:rFonts w:ascii="Sakkal Majalla" w:eastAsia="Noto Naskh Arabic" w:hAnsi="Sakkal Majalla" w:cs="Sakkal Majalla"/>
          <w:sz w:val="32"/>
          <w:szCs w:val="32"/>
          <w:rtl/>
        </w:rPr>
      </w:pPr>
    </w:p>
    <w:p w14:paraId="48982631" w14:textId="77777777" w:rsidR="00725996" w:rsidRPr="00544CA5" w:rsidRDefault="00725996" w:rsidP="00725996">
      <w:pPr>
        <w:bidi/>
        <w:spacing w:line="360" w:lineRule="auto"/>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ب. تركيز البحث و فرعيته: </w:t>
      </w:r>
    </w:p>
    <w:p w14:paraId="0FFE0B5F" w14:textId="77EF020F" w:rsidR="00725996" w:rsidRDefault="00725996" w:rsidP="00725996">
      <w:pPr>
        <w:pStyle w:val="ListParagraph"/>
        <w:numPr>
          <w:ilvl w:val="0"/>
          <w:numId w:val="8"/>
        </w:numPr>
        <w:bidi/>
        <w:spacing w:line="360" w:lineRule="auto"/>
        <w:jc w:val="both"/>
        <w:rPr>
          <w:rFonts w:ascii="Sakkal Majalla" w:eastAsia="Noto Naskh Arabic" w:hAnsi="Sakkal Majalla" w:cs="Sakkal Majalla"/>
          <w:bCs/>
          <w:color w:val="27272A"/>
          <w:sz w:val="36"/>
          <w:szCs w:val="36"/>
          <w:highlight w:val="white"/>
        </w:rPr>
      </w:pPr>
      <w:r w:rsidRPr="00707BBE">
        <w:rPr>
          <w:rFonts w:ascii="Sakkal Majalla" w:eastAsia="Noto Naskh Arabic" w:hAnsi="Sakkal Majalla" w:cs="Sakkal Majalla"/>
          <w:bCs/>
          <w:color w:val="27272A"/>
          <w:sz w:val="36"/>
          <w:szCs w:val="36"/>
          <w:highlight w:val="white"/>
          <w:rtl/>
        </w:rPr>
        <w:t>التركيز البحث:</w:t>
      </w:r>
    </w:p>
    <w:p w14:paraId="2006E3FA" w14:textId="1D436F3A" w:rsidR="00725996" w:rsidRPr="002B0C14" w:rsidRDefault="00725996" w:rsidP="00725996">
      <w:pPr>
        <w:tabs>
          <w:tab w:val="right" w:pos="1080"/>
        </w:tabs>
        <w:bidi/>
        <w:spacing w:line="360" w:lineRule="auto"/>
        <w:ind w:left="1080"/>
        <w:jc w:val="both"/>
        <w:rPr>
          <w:rFonts w:ascii="Sakkal Majalla" w:eastAsia="Noto Naskh Arabic" w:hAnsi="Sakkal Majalla" w:cs="Sakkal Majalla"/>
          <w:sz w:val="36"/>
          <w:szCs w:val="36"/>
          <w:lang w:bidi="ar-EG"/>
        </w:rPr>
      </w:pPr>
      <w:r w:rsidRPr="002B0C14">
        <w:rPr>
          <w:rFonts w:ascii="Sakkal Majalla" w:eastAsia="Noto Naskh Arabic" w:hAnsi="Sakkal Majalla" w:cs="Sakkal Majalla"/>
          <w:color w:val="27272A"/>
          <w:sz w:val="36"/>
          <w:szCs w:val="36"/>
          <w:highlight w:val="white"/>
          <w:rtl/>
        </w:rPr>
        <w:t xml:space="preserve">من خلفية البحث السابقة تركز الباحث هذا البحث عن </w:t>
      </w:r>
      <w:r>
        <w:rPr>
          <w:rFonts w:ascii="Sakkal Majalla" w:eastAsia="Noto Naskh Arabic" w:hAnsi="Sakkal Majalla" w:cs="Sakkal Majalla" w:hint="cs"/>
          <w:color w:val="27272A"/>
          <w:sz w:val="36"/>
          <w:szCs w:val="36"/>
          <w:highlight w:val="white"/>
          <w:rtl/>
          <w:lang w:val="en-US"/>
        </w:rPr>
        <w:t xml:space="preserve">أسلوب </w:t>
      </w:r>
      <w:r w:rsidRPr="00440AD6">
        <w:rPr>
          <w:rFonts w:ascii="Sakkal Majalla" w:eastAsia="Noto Naskh Arabic" w:hAnsi="Sakkal Majalla" w:cs="Sakkal Majalla"/>
          <w:color w:val="27272A"/>
          <w:sz w:val="36"/>
          <w:szCs w:val="36"/>
          <w:highlight w:val="white"/>
          <w:rtl/>
        </w:rPr>
        <w:t>الإنشا</w:t>
      </w:r>
      <w:r w:rsidRPr="00440AD6">
        <w:rPr>
          <w:rFonts w:ascii="Sakkal Majalla" w:eastAsia="Noto Naskh Arabic" w:hAnsi="Sakkal Majalla" w:cs="Sakkal Majalla" w:hint="cs"/>
          <w:color w:val="27272A"/>
          <w:sz w:val="36"/>
          <w:szCs w:val="36"/>
          <w:highlight w:val="white"/>
          <w:rtl/>
        </w:rPr>
        <w:t>ء</w:t>
      </w:r>
      <w:r w:rsidRPr="00440AD6">
        <w:rPr>
          <w:rFonts w:ascii="Sakkal Majalla" w:eastAsia="Noto Naskh Arabic" w:hAnsi="Sakkal Majalla" w:cs="Sakkal Majalla"/>
          <w:color w:val="27272A"/>
          <w:sz w:val="36"/>
          <w:szCs w:val="36"/>
          <w:highlight w:val="white"/>
          <w:rtl/>
        </w:rPr>
        <w:t xml:space="preserve"> الطلبي</w:t>
      </w:r>
      <w:r>
        <w:rPr>
          <w:rFonts w:ascii="Sakkal Majalla" w:eastAsia="Noto Naskh Arabic" w:hAnsi="Sakkal Majalla" w:cs="Sakkal Majalla" w:hint="cs"/>
          <w:color w:val="27272A"/>
          <w:sz w:val="36"/>
          <w:szCs w:val="36"/>
          <w:highlight w:val="white"/>
          <w:rtl/>
          <w:lang w:val="en-US"/>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w:t>
      </w:r>
      <w:r w:rsidR="008D13D3">
        <w:rPr>
          <w:rFonts w:ascii="Sakkal Majalla" w:eastAsia="Noto Naskh Arabic" w:hAnsi="Sakkal Majalla" w:cs="Sakkal Majalla" w:hint="cs"/>
          <w:color w:val="27272A"/>
          <w:sz w:val="36"/>
          <w:szCs w:val="36"/>
          <w:highlight w:val="white"/>
          <w:rtl/>
        </w:rPr>
        <w:t>صي</w:t>
      </w:r>
      <w:r w:rsidR="007A010A">
        <w:rPr>
          <w:rFonts w:ascii="Sakkal Majalla" w:eastAsia="Noto Naskh Arabic" w:hAnsi="Sakkal Majalla" w:cs="Sakkal Majalla" w:hint="cs"/>
          <w:color w:val="27272A"/>
          <w:sz w:val="36"/>
          <w:szCs w:val="36"/>
          <w:highlight w:val="white"/>
          <w:rtl/>
        </w:rPr>
        <w:t>ا</w:t>
      </w:r>
      <w:r w:rsidR="008D13D3">
        <w:rPr>
          <w:rFonts w:ascii="Sakkal Majalla" w:eastAsia="Noto Naskh Arabic" w:hAnsi="Sakkal Majalla" w:cs="Sakkal Majalla" w:hint="cs"/>
          <w:color w:val="27272A"/>
          <w:sz w:val="36"/>
          <w:szCs w:val="36"/>
          <w:highlight w:val="white"/>
          <w:rtl/>
        </w:rPr>
        <w:t xml:space="preserve">غة </w:t>
      </w:r>
      <w:r w:rsidRPr="002B0C14">
        <w:rPr>
          <w:rFonts w:ascii="Sakkal Majalla" w:eastAsia="Noto Naskh Arabic" w:hAnsi="Sakkal Majalla" w:cs="Sakkal Majalla"/>
          <w:color w:val="27272A"/>
          <w:sz w:val="36"/>
          <w:szCs w:val="36"/>
          <w:highlight w:val="white"/>
          <w:rtl/>
        </w:rPr>
        <w:t>ومعانيه</w:t>
      </w:r>
      <w:r>
        <w:rPr>
          <w:rFonts w:ascii="Sakkal Majalla" w:eastAsia="Noto Naskh Arabic" w:hAnsi="Sakkal Majalla" w:cs="Sakkal Majalla" w:hint="cs"/>
          <w:color w:val="27272A"/>
          <w:sz w:val="36"/>
          <w:szCs w:val="36"/>
          <w:highlight w:val="white"/>
          <w:rtl/>
        </w:rPr>
        <w:t xml:space="preserve"> البلاغية</w:t>
      </w:r>
      <w:r w:rsidRPr="002B0C14">
        <w:rPr>
          <w:rFonts w:ascii="Sakkal Majalla" w:eastAsia="Noto Naskh Arabic" w:hAnsi="Sakkal Majalla" w:cs="Sakkal Majalla"/>
          <w:color w:val="27272A"/>
          <w:sz w:val="36"/>
          <w:szCs w:val="36"/>
          <w:highlight w:val="white"/>
          <w:rtl/>
        </w:rPr>
        <w:t xml:space="preserve"> في القران الكريم </w:t>
      </w:r>
      <w:r w:rsidRPr="002B0C14">
        <w:rPr>
          <w:rFonts w:ascii="Sakkal Majalla" w:eastAsia="Noto Naskh Arabic" w:hAnsi="Sakkal Majalla" w:cs="Sakkal Majalla"/>
          <w:sz w:val="36"/>
          <w:szCs w:val="36"/>
          <w:rtl/>
        </w:rPr>
        <w:t xml:space="preserve">سورة الروم </w:t>
      </w:r>
      <w:r>
        <w:rPr>
          <w:rFonts w:ascii="Sakkal Majalla" w:eastAsia="Noto Naskh Arabic" w:hAnsi="Sakkal Majalla" w:cs="Sakkal Majalla" w:hint="cs"/>
          <w:sz w:val="36"/>
          <w:szCs w:val="36"/>
          <w:rtl/>
        </w:rPr>
        <w:t>.</w:t>
      </w:r>
      <w:r>
        <w:rPr>
          <w:rFonts w:ascii="Sakkal Majalla" w:eastAsia="Noto Naskh Arabic" w:hAnsi="Sakkal Majalla" w:cs="Sakkal Majalla" w:hint="cs"/>
          <w:sz w:val="36"/>
          <w:szCs w:val="36"/>
          <w:rtl/>
          <w:lang w:bidi="ar-EG"/>
        </w:rPr>
        <w:t xml:space="preserve"> تتضمن فرعيته هي: </w:t>
      </w:r>
    </w:p>
    <w:p w14:paraId="3CADAF7A" w14:textId="57E8E91A" w:rsidR="008D13D3" w:rsidRDefault="00725996" w:rsidP="008D13D3">
      <w:pPr>
        <w:bidi/>
        <w:spacing w:line="360" w:lineRule="auto"/>
        <w:ind w:left="1440"/>
        <w:jc w:val="both"/>
        <w:rPr>
          <w:rFonts w:ascii="Sakkal Majalla" w:eastAsia="Noto Naskh Arabic" w:hAnsi="Sakkal Majalla" w:cs="Sakkal Majalla"/>
          <w:sz w:val="36"/>
          <w:szCs w:val="36"/>
          <w:rtl/>
        </w:rPr>
      </w:pPr>
      <w:r>
        <w:rPr>
          <w:rFonts w:ascii="Sakkal Majalla" w:eastAsia="Noto Naskh Arabic" w:hAnsi="Sakkal Majalla" w:cs="Sakkal Majalla" w:hint="cs"/>
          <w:color w:val="27272A"/>
          <w:sz w:val="36"/>
          <w:szCs w:val="36"/>
          <w:highlight w:val="white"/>
          <w:rtl/>
        </w:rPr>
        <w:lastRenderedPageBreak/>
        <w:t xml:space="preserve">ا )  </w:t>
      </w:r>
      <w:r w:rsidR="008D13D3">
        <w:rPr>
          <w:rFonts w:ascii="Sakkal Majalla" w:eastAsia="Noto Naskh Arabic" w:hAnsi="Sakkal Majalla" w:cs="Sakkal Majalla" w:hint="cs"/>
          <w:color w:val="27272A"/>
          <w:sz w:val="36"/>
          <w:szCs w:val="36"/>
          <w:highlight w:val="white"/>
          <w:rtl/>
        </w:rPr>
        <w:t>صي</w:t>
      </w:r>
      <w:r w:rsidR="007A010A">
        <w:rPr>
          <w:rFonts w:ascii="Sakkal Majalla" w:eastAsia="Noto Naskh Arabic" w:hAnsi="Sakkal Majalla" w:cs="Sakkal Majalla" w:hint="cs"/>
          <w:color w:val="27272A"/>
          <w:sz w:val="36"/>
          <w:szCs w:val="36"/>
          <w:highlight w:val="white"/>
          <w:rtl/>
        </w:rPr>
        <w:t>ا</w:t>
      </w:r>
      <w:r w:rsidR="008D13D3">
        <w:rPr>
          <w:rFonts w:ascii="Sakkal Majalla" w:eastAsia="Noto Naskh Arabic" w:hAnsi="Sakkal Majalla" w:cs="Sakkal Majalla" w:hint="cs"/>
          <w:color w:val="27272A"/>
          <w:sz w:val="36"/>
          <w:szCs w:val="36"/>
          <w:highlight w:val="white"/>
          <w:rtl/>
        </w:rPr>
        <w:t>غة</w:t>
      </w:r>
      <w:r>
        <w:rPr>
          <w:rFonts w:ascii="Sakkal Majalla" w:eastAsia="Noto Naskh Arabic" w:hAnsi="Sakkal Majalla" w:cs="Sakkal Majalla" w:hint="cs"/>
          <w:color w:val="27272A"/>
          <w:sz w:val="36"/>
          <w:szCs w:val="36"/>
          <w:highlight w:val="white"/>
          <w:rtl/>
          <w:lang w:val="en-US"/>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w:t>
      </w:r>
      <w:r w:rsidR="008D13D3" w:rsidRPr="00440AD6">
        <w:rPr>
          <w:rFonts w:ascii="Sakkal Majalla" w:eastAsia="Noto Naskh Arabic" w:hAnsi="Sakkal Majalla" w:cs="Sakkal Majalla"/>
          <w:color w:val="27272A"/>
          <w:sz w:val="36"/>
          <w:szCs w:val="36"/>
          <w:highlight w:val="white"/>
          <w:rtl/>
        </w:rPr>
        <w:t xml:space="preserve">في القرآن الكريم </w:t>
      </w:r>
      <w:r w:rsidR="008D13D3" w:rsidRPr="00440AD6">
        <w:rPr>
          <w:rFonts w:ascii="Sakkal Majalla" w:eastAsia="Noto Naskh Arabic" w:hAnsi="Sakkal Majalla" w:cs="Sakkal Majalla"/>
          <w:sz w:val="36"/>
          <w:szCs w:val="36"/>
          <w:rtl/>
        </w:rPr>
        <w:t xml:space="preserve">سورة الروم </w:t>
      </w:r>
      <w:r w:rsidR="008D13D3">
        <w:rPr>
          <w:rFonts w:ascii="Sakkal Majalla" w:eastAsia="Noto Naskh Arabic" w:hAnsi="Sakkal Majalla" w:cs="Sakkal Majalla" w:hint="cs"/>
          <w:sz w:val="36"/>
          <w:szCs w:val="36"/>
          <w:rtl/>
        </w:rPr>
        <w:t>.</w:t>
      </w:r>
    </w:p>
    <w:p w14:paraId="52BA80BC" w14:textId="5612E6F9" w:rsidR="00725996" w:rsidRPr="00440AD6" w:rsidRDefault="008D13D3" w:rsidP="00725996">
      <w:pPr>
        <w:bidi/>
        <w:spacing w:line="360" w:lineRule="auto"/>
        <w:ind w:left="1440"/>
        <w:jc w:val="both"/>
        <w:rPr>
          <w:rFonts w:ascii="Sakkal Majalla" w:eastAsia="Noto Naskh Arabic" w:hAnsi="Sakkal Majalla" w:cs="Sakkal Majalla"/>
          <w:sz w:val="36"/>
          <w:szCs w:val="36"/>
        </w:rPr>
      </w:pPr>
      <w:r>
        <w:rPr>
          <w:rFonts w:ascii="Sakkal Majalla" w:eastAsia="Noto Naskh Arabic" w:hAnsi="Sakkal Majalla" w:cs="Sakkal Majalla" w:hint="cs"/>
          <w:sz w:val="36"/>
          <w:szCs w:val="36"/>
          <w:rtl/>
        </w:rPr>
        <w:t>ب</w:t>
      </w:r>
      <w:r w:rsidR="00725996">
        <w:rPr>
          <w:rFonts w:ascii="Sakkal Majalla" w:eastAsia="Noto Naskh Arabic" w:hAnsi="Sakkal Majalla" w:cs="Sakkal Majalla" w:hint="cs"/>
          <w:sz w:val="36"/>
          <w:szCs w:val="36"/>
          <w:rtl/>
        </w:rPr>
        <w:t xml:space="preserve"> ) </w:t>
      </w:r>
      <w:r w:rsidR="00725996" w:rsidRPr="00440AD6">
        <w:rPr>
          <w:rFonts w:ascii="Sakkal Majalla" w:eastAsia="Noto Naskh Arabic" w:hAnsi="Sakkal Majalla" w:cs="Sakkal Majalla"/>
          <w:sz w:val="36"/>
          <w:szCs w:val="36"/>
          <w:rtl/>
        </w:rPr>
        <w:t>مع</w:t>
      </w:r>
      <w:r>
        <w:rPr>
          <w:rFonts w:ascii="Sakkal Majalla" w:eastAsia="Noto Naskh Arabic" w:hAnsi="Sakkal Majalla" w:cs="Sakkal Majalla" w:hint="cs"/>
          <w:sz w:val="36"/>
          <w:szCs w:val="36"/>
          <w:rtl/>
        </w:rPr>
        <w:t>ا</w:t>
      </w:r>
      <w:r w:rsidR="00725996" w:rsidRPr="00440AD6">
        <w:rPr>
          <w:rFonts w:ascii="Sakkal Majalla" w:eastAsia="Noto Naskh Arabic" w:hAnsi="Sakkal Majalla" w:cs="Sakkal Majalla"/>
          <w:sz w:val="36"/>
          <w:szCs w:val="36"/>
          <w:rtl/>
        </w:rPr>
        <w:t xml:space="preserve">نى </w:t>
      </w:r>
      <w:r w:rsidR="00725996">
        <w:rPr>
          <w:rFonts w:ascii="Sakkal Majalla" w:eastAsia="Noto Naskh Arabic" w:hAnsi="Sakkal Majalla" w:cs="Sakkal Majalla" w:hint="cs"/>
          <w:color w:val="27272A"/>
          <w:sz w:val="36"/>
          <w:szCs w:val="36"/>
          <w:highlight w:val="white"/>
          <w:rtl/>
          <w:lang w:val="en-US" w:bidi="ar-EG"/>
        </w:rPr>
        <w:t>ال</w:t>
      </w:r>
      <w:r w:rsidR="00725996">
        <w:rPr>
          <w:rFonts w:ascii="Sakkal Majalla" w:eastAsia="Noto Naskh Arabic" w:hAnsi="Sakkal Majalla" w:cs="Sakkal Majalla" w:hint="cs"/>
          <w:color w:val="27272A"/>
          <w:sz w:val="36"/>
          <w:szCs w:val="36"/>
          <w:highlight w:val="white"/>
          <w:rtl/>
        </w:rPr>
        <w:t>أمر</w:t>
      </w:r>
      <w:r w:rsidR="00725996" w:rsidRPr="00440AD6">
        <w:rPr>
          <w:rFonts w:ascii="Sakkal Majalla" w:eastAsia="Noto Naskh Arabic" w:hAnsi="Sakkal Majalla" w:cs="Sakkal Majalla"/>
          <w:sz w:val="36"/>
          <w:szCs w:val="36"/>
          <w:rtl/>
        </w:rPr>
        <w:t xml:space="preserve"> </w:t>
      </w:r>
      <w:r w:rsidRPr="00440AD6">
        <w:rPr>
          <w:rFonts w:ascii="Sakkal Majalla" w:eastAsia="Noto Naskh Arabic" w:hAnsi="Sakkal Majalla" w:cs="Sakkal Majalla"/>
          <w:color w:val="27272A"/>
          <w:sz w:val="36"/>
          <w:szCs w:val="36"/>
          <w:highlight w:val="white"/>
          <w:rtl/>
        </w:rPr>
        <w:t xml:space="preserve">في القرآن الكريم </w:t>
      </w:r>
      <w:r w:rsidRPr="00440AD6">
        <w:rPr>
          <w:rFonts w:ascii="Sakkal Majalla" w:eastAsia="Noto Naskh Arabic" w:hAnsi="Sakkal Majalla" w:cs="Sakkal Majalla"/>
          <w:sz w:val="36"/>
          <w:szCs w:val="36"/>
          <w:rtl/>
        </w:rPr>
        <w:t>سورة الروم</w:t>
      </w:r>
      <w:r w:rsidR="00725996" w:rsidRPr="00440AD6">
        <w:rPr>
          <w:rFonts w:ascii="Sakkal Majalla" w:eastAsia="Noto Naskh Arabic" w:hAnsi="Sakkal Majalla" w:cs="Sakkal Majalla"/>
          <w:sz w:val="36"/>
          <w:szCs w:val="36"/>
          <w:rtl/>
        </w:rPr>
        <w:t>.</w:t>
      </w:r>
    </w:p>
    <w:p w14:paraId="57E98B01" w14:textId="4F443C92" w:rsidR="00725996" w:rsidRDefault="00725996" w:rsidP="00725996">
      <w:pPr>
        <w:bidi/>
        <w:spacing w:line="360" w:lineRule="auto"/>
        <w:ind w:firstLine="360"/>
        <w:jc w:val="both"/>
        <w:rPr>
          <w:rFonts w:ascii="Sakkal Majalla" w:eastAsia="Noto Naskh Arabic" w:hAnsi="Sakkal Majalla" w:cs="Sakkal Majalla"/>
          <w:color w:val="27272A"/>
          <w:sz w:val="36"/>
          <w:szCs w:val="36"/>
          <w:highlight w:val="white"/>
          <w:rtl/>
        </w:rPr>
      </w:pPr>
    </w:p>
    <w:p w14:paraId="07D47C78" w14:textId="77777777" w:rsidR="008D13D3" w:rsidRPr="00827E47" w:rsidRDefault="008D13D3" w:rsidP="008D13D3">
      <w:pPr>
        <w:bidi/>
        <w:spacing w:line="360" w:lineRule="auto"/>
        <w:ind w:firstLine="360"/>
        <w:jc w:val="both"/>
        <w:rPr>
          <w:rFonts w:ascii="Sakkal Majalla" w:eastAsia="Noto Naskh Arabic" w:hAnsi="Sakkal Majalla" w:cs="Sakkal Majalla"/>
          <w:color w:val="27272A"/>
          <w:sz w:val="36"/>
          <w:szCs w:val="36"/>
          <w:highlight w:val="white"/>
        </w:rPr>
      </w:pPr>
    </w:p>
    <w:p w14:paraId="2FCFD454" w14:textId="3CD64D08" w:rsidR="00725996" w:rsidRPr="00544CA5" w:rsidRDefault="00725996" w:rsidP="008D13D3">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ج. أسئلة البحث</w:t>
      </w:r>
    </w:p>
    <w:p w14:paraId="53115BB4" w14:textId="6171702A" w:rsidR="00725996" w:rsidRPr="00E80379" w:rsidRDefault="00725996" w:rsidP="008D13D3">
      <w:pPr>
        <w:bidi/>
        <w:spacing w:line="360" w:lineRule="auto"/>
        <w:ind w:left="72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8426E1">
        <w:rPr>
          <w:rFonts w:ascii="Sakkal Majalla" w:eastAsia="Noto Naskh Arabic" w:hAnsi="Sakkal Majalla" w:cs="Sakkal Majalla" w:hint="cs"/>
          <w:color w:val="27272A"/>
          <w:sz w:val="36"/>
          <w:szCs w:val="36"/>
          <w:highlight w:val="white"/>
          <w:rtl/>
        </w:rPr>
        <w:t>كيف صي</w:t>
      </w:r>
      <w:r w:rsidR="007A010A">
        <w:rPr>
          <w:rFonts w:ascii="Sakkal Majalla" w:eastAsia="Noto Naskh Arabic" w:hAnsi="Sakkal Majalla" w:cs="Sakkal Majalla" w:hint="cs"/>
          <w:color w:val="27272A"/>
          <w:sz w:val="36"/>
          <w:szCs w:val="36"/>
          <w:highlight w:val="white"/>
          <w:rtl/>
        </w:rPr>
        <w:t>ا</w:t>
      </w:r>
      <w:r w:rsidR="008426E1">
        <w:rPr>
          <w:rFonts w:ascii="Sakkal Majalla" w:eastAsia="Noto Naskh Arabic" w:hAnsi="Sakkal Majalla" w:cs="Sakkal Majalla" w:hint="cs"/>
          <w:color w:val="27272A"/>
          <w:sz w:val="36"/>
          <w:szCs w:val="36"/>
          <w:highlight w:val="white"/>
          <w:rtl/>
        </w:rPr>
        <w:t>غة الأمر</w:t>
      </w:r>
      <w:r w:rsidRPr="00E80379">
        <w:rPr>
          <w:rFonts w:ascii="Sakkal Majalla" w:eastAsia="Noto Naskh Arabic" w:hAnsi="Sakkal Majalla" w:cs="Sakkal Majalla"/>
          <w:color w:val="27272A"/>
          <w:sz w:val="36"/>
          <w:szCs w:val="36"/>
          <w:highlight w:val="white"/>
          <w:rtl/>
        </w:rPr>
        <w:t xml:space="preserve"> </w:t>
      </w:r>
      <w:r w:rsidR="008426E1" w:rsidRPr="00440AD6">
        <w:rPr>
          <w:rFonts w:ascii="Sakkal Majalla" w:eastAsia="Noto Naskh Arabic" w:hAnsi="Sakkal Majalla" w:cs="Sakkal Majalla"/>
          <w:color w:val="27272A"/>
          <w:sz w:val="36"/>
          <w:szCs w:val="36"/>
          <w:highlight w:val="white"/>
          <w:rtl/>
        </w:rPr>
        <w:t xml:space="preserve">في القرآن الكريم </w:t>
      </w:r>
      <w:r w:rsidR="008426E1" w:rsidRPr="00440AD6">
        <w:rPr>
          <w:rFonts w:ascii="Sakkal Majalla" w:eastAsia="Noto Naskh Arabic" w:hAnsi="Sakkal Majalla" w:cs="Sakkal Majalla"/>
          <w:sz w:val="36"/>
          <w:szCs w:val="36"/>
          <w:rtl/>
        </w:rPr>
        <w:t>سورة الروم</w:t>
      </w:r>
      <w:r w:rsidRPr="00E80379">
        <w:rPr>
          <w:rFonts w:ascii="Sakkal Majalla" w:eastAsia="Noto Naskh Arabic" w:hAnsi="Sakkal Majalla" w:cs="Sakkal Majalla"/>
          <w:color w:val="27272A"/>
          <w:sz w:val="36"/>
          <w:szCs w:val="36"/>
          <w:highlight w:val="white"/>
          <w:rtl/>
        </w:rPr>
        <w:t xml:space="preserve"> ؟</w:t>
      </w:r>
    </w:p>
    <w:p w14:paraId="5BF7E347" w14:textId="45259A9D" w:rsidR="00725996" w:rsidRPr="008426E1" w:rsidRDefault="00725996" w:rsidP="008426E1">
      <w:pPr>
        <w:bidi/>
        <w:spacing w:line="360" w:lineRule="auto"/>
        <w:ind w:left="72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ب ) </w:t>
      </w:r>
      <w:r w:rsidRPr="00E80379">
        <w:rPr>
          <w:rFonts w:ascii="Sakkal Majalla" w:eastAsia="Noto Naskh Arabic" w:hAnsi="Sakkal Majalla" w:cs="Sakkal Majalla"/>
          <w:color w:val="27272A"/>
          <w:sz w:val="36"/>
          <w:szCs w:val="36"/>
          <w:highlight w:val="white"/>
          <w:rtl/>
        </w:rPr>
        <w:t>كيف</w:t>
      </w:r>
      <w:r w:rsidR="008426E1">
        <w:rPr>
          <w:rFonts w:ascii="Sakkal Majalla" w:eastAsia="Noto Naskh Arabic" w:hAnsi="Sakkal Majalla" w:cs="Sakkal Majalla" w:hint="cs"/>
          <w:color w:val="27272A"/>
          <w:sz w:val="36"/>
          <w:szCs w:val="36"/>
          <w:highlight w:val="white"/>
          <w:rtl/>
        </w:rPr>
        <w:t xml:space="preserve"> معانى</w:t>
      </w:r>
      <w:r w:rsidRPr="00E80379">
        <w:rPr>
          <w:rFonts w:ascii="Sakkal Majalla" w:eastAsia="Noto Naskh Arabic" w:hAnsi="Sakkal Majalla" w:cs="Sakkal Majalla"/>
          <w:color w:val="27272A"/>
          <w:sz w:val="36"/>
          <w:szCs w:val="36"/>
          <w:highlight w:val="white"/>
          <w:rtl/>
        </w:rPr>
        <w:t xml:space="preserve"> </w:t>
      </w:r>
      <w:r w:rsidR="008426E1">
        <w:rPr>
          <w:rFonts w:ascii="Sakkal Majalla" w:eastAsia="Noto Naskh Arabic" w:hAnsi="Sakkal Majalla" w:cs="Sakkal Majalla" w:hint="cs"/>
          <w:color w:val="27272A"/>
          <w:sz w:val="36"/>
          <w:szCs w:val="36"/>
          <w:highlight w:val="white"/>
          <w:rtl/>
        </w:rPr>
        <w:t>الأمر</w:t>
      </w:r>
      <w:r w:rsidRPr="00E80379">
        <w:rPr>
          <w:rFonts w:ascii="Sakkal Majalla" w:eastAsia="Noto Naskh Arabic" w:hAnsi="Sakkal Majalla" w:cs="Sakkal Majalla"/>
          <w:color w:val="27272A"/>
          <w:sz w:val="36"/>
          <w:szCs w:val="36"/>
          <w:highlight w:val="white"/>
          <w:rtl/>
        </w:rPr>
        <w:t xml:space="preserve"> </w:t>
      </w:r>
      <w:r w:rsidR="008426E1" w:rsidRPr="00440AD6">
        <w:rPr>
          <w:rFonts w:ascii="Sakkal Majalla" w:eastAsia="Noto Naskh Arabic" w:hAnsi="Sakkal Majalla" w:cs="Sakkal Majalla"/>
          <w:color w:val="27272A"/>
          <w:sz w:val="36"/>
          <w:szCs w:val="36"/>
          <w:highlight w:val="white"/>
          <w:rtl/>
        </w:rPr>
        <w:t xml:space="preserve">في القرآن الكريم </w:t>
      </w:r>
      <w:r w:rsidR="008426E1" w:rsidRPr="00440AD6">
        <w:rPr>
          <w:rFonts w:ascii="Sakkal Majalla" w:eastAsia="Noto Naskh Arabic" w:hAnsi="Sakkal Majalla" w:cs="Sakkal Majalla"/>
          <w:sz w:val="36"/>
          <w:szCs w:val="36"/>
          <w:rtl/>
        </w:rPr>
        <w:t>سورة الروم</w:t>
      </w:r>
      <w:r w:rsidR="008426E1" w:rsidRPr="00E80379">
        <w:rPr>
          <w:rFonts w:ascii="Sakkal Majalla" w:eastAsia="Noto Naskh Arabic" w:hAnsi="Sakkal Majalla" w:cs="Sakkal Majalla"/>
          <w:color w:val="27272A"/>
          <w:sz w:val="36"/>
          <w:szCs w:val="36"/>
          <w:highlight w:val="white"/>
          <w:rtl/>
        </w:rPr>
        <w:t xml:space="preserve"> ؟</w:t>
      </w:r>
    </w:p>
    <w:p w14:paraId="065986AC" w14:textId="77777777" w:rsidR="00725996" w:rsidRPr="00F01DA4"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tl/>
        </w:rPr>
      </w:pPr>
    </w:p>
    <w:p w14:paraId="33902198" w14:textId="77777777" w:rsidR="00725996" w:rsidRPr="00544CA5"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د. أهداف البحث (أهداف خاصة):</w:t>
      </w:r>
    </w:p>
    <w:p w14:paraId="3B658508" w14:textId="77777777" w:rsidR="00725996" w:rsidRPr="00E80379" w:rsidRDefault="00725996" w:rsidP="00725996">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w:t>
      </w:r>
      <w:r>
        <w:rPr>
          <w:rFonts w:ascii="Sakkal Majalla" w:eastAsia="Noto Naskh Arabic" w:hAnsi="Sakkal Majalla" w:cs="Sakkal Majalla" w:hint="cs"/>
          <w:color w:val="27272A"/>
          <w:sz w:val="36"/>
          <w:szCs w:val="36"/>
          <w:highlight w:val="white"/>
          <w:rtl/>
        </w:rPr>
        <w:t>أسلوب</w:t>
      </w:r>
      <w:r>
        <w:rPr>
          <w:rFonts w:ascii="Sakkal Majalla" w:eastAsia="Noto Naskh Arabic" w:hAnsi="Sakkal Majalla" w:cs="Sakkal Majalla" w:hint="cs"/>
          <w:color w:val="27272A"/>
          <w:sz w:val="36"/>
          <w:szCs w:val="36"/>
          <w:highlight w:val="white"/>
          <w:rtl/>
          <w:lang w:val="en-US" w:bidi="ar-EG"/>
        </w:rPr>
        <w:t xml:space="preserve"> 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 في القرآن الكريم</w:t>
      </w:r>
    </w:p>
    <w:p w14:paraId="40AD6251" w14:textId="6196636E" w:rsidR="00725996" w:rsidRPr="00E80379" w:rsidRDefault="00725996" w:rsidP="00725996">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التعرف على صي</w:t>
      </w:r>
      <w:r w:rsidR="007A010A">
        <w:rPr>
          <w:rFonts w:ascii="Sakkal Majalla" w:eastAsia="Noto Naskh Arabic" w:hAnsi="Sakkal Majalla" w:cs="Sakkal Majalla" w:hint="cs"/>
          <w:color w:val="27272A"/>
          <w:sz w:val="36"/>
          <w:szCs w:val="36"/>
          <w:highlight w:val="white"/>
          <w:rtl/>
        </w:rPr>
        <w:t>ا</w:t>
      </w:r>
      <w:r w:rsidRPr="00E80379">
        <w:rPr>
          <w:rFonts w:ascii="Sakkal Majalla" w:eastAsia="Noto Naskh Arabic" w:hAnsi="Sakkal Majalla" w:cs="Sakkal Majalla"/>
          <w:color w:val="27272A"/>
          <w:sz w:val="36"/>
          <w:szCs w:val="36"/>
          <w:highlight w:val="white"/>
          <w:rtl/>
        </w:rPr>
        <w:t xml:space="preserve">غ </w:t>
      </w:r>
      <w:r>
        <w:rPr>
          <w:rFonts w:ascii="Sakkal Majalla" w:eastAsia="Noto Naskh Arabic" w:hAnsi="Sakkal Majalla" w:cs="Sakkal Majalla" w:hint="cs"/>
          <w:color w:val="27272A"/>
          <w:sz w:val="36"/>
          <w:szCs w:val="36"/>
          <w:highlight w:val="white"/>
          <w:rtl/>
        </w:rPr>
        <w:t>أسلوب</w:t>
      </w:r>
      <w:r>
        <w:rPr>
          <w:rFonts w:ascii="Sakkal Majalla" w:eastAsia="Noto Naskh Arabic" w:hAnsi="Sakkal Majalla" w:cs="Sakkal Majalla" w:hint="cs"/>
          <w:color w:val="27272A"/>
          <w:sz w:val="36"/>
          <w:szCs w:val="36"/>
          <w:highlight w:val="white"/>
          <w:rtl/>
          <w:lang w:val="en-US" w:bidi="ar-EG"/>
        </w:rPr>
        <w:t xml:space="preserve"> 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p>
    <w:p w14:paraId="56A1922B" w14:textId="77777777" w:rsidR="00725996" w:rsidRPr="00440AD6" w:rsidRDefault="00725996" w:rsidP="00725996">
      <w:pPr>
        <w:numPr>
          <w:ilvl w:val="0"/>
          <w:numId w:val="5"/>
        </w:numPr>
        <w:bidi/>
        <w:spacing w:line="360" w:lineRule="auto"/>
        <w:jc w:val="both"/>
        <w:rPr>
          <w:rFonts w:ascii="Sakkal Majalla" w:eastAsia="Noto Naskh Arabic" w:hAnsi="Sakkal Majalla" w:cs="Sakkal Majalla"/>
          <w:color w:val="27272A"/>
          <w:sz w:val="32"/>
          <w:szCs w:val="32"/>
          <w:highlight w:val="white"/>
        </w:rPr>
      </w:pPr>
      <w:r w:rsidRPr="00E80379">
        <w:rPr>
          <w:rFonts w:ascii="Sakkal Majalla" w:eastAsia="Noto Naskh Arabic" w:hAnsi="Sakkal Majalla" w:cs="Sakkal Majalla"/>
          <w:color w:val="27272A"/>
          <w:sz w:val="36"/>
          <w:szCs w:val="36"/>
          <w:highlight w:val="white"/>
          <w:rtl/>
        </w:rPr>
        <w:t xml:space="preserve">تحليل المعنى والرسالة المتضمنة في </w:t>
      </w:r>
      <w:r>
        <w:rPr>
          <w:rFonts w:ascii="Sakkal Majalla" w:eastAsia="Noto Naskh Arabic" w:hAnsi="Sakkal Majalla" w:cs="Sakkal Majalla" w:hint="cs"/>
          <w:color w:val="27272A"/>
          <w:sz w:val="36"/>
          <w:szCs w:val="36"/>
          <w:highlight w:val="white"/>
          <w:rtl/>
        </w:rPr>
        <w:t>أسلوب</w:t>
      </w:r>
      <w:r>
        <w:rPr>
          <w:rFonts w:ascii="Sakkal Majalla" w:eastAsia="Noto Naskh Arabic" w:hAnsi="Sakkal Majalla" w:cs="Sakkal Majalla" w:hint="cs"/>
          <w:color w:val="27272A"/>
          <w:sz w:val="36"/>
          <w:szCs w:val="36"/>
          <w:highlight w:val="white"/>
          <w:rtl/>
          <w:lang w:val="en-US" w:bidi="ar-EG"/>
        </w:rPr>
        <w:t xml:space="preserve"> 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r w:rsidRPr="001474CC">
        <w:rPr>
          <w:rFonts w:ascii="Sakkal Majalla" w:eastAsia="Noto Naskh Arabic" w:hAnsi="Sakkal Majalla" w:cs="Sakkal Majalla"/>
          <w:color w:val="27272A"/>
          <w:sz w:val="32"/>
          <w:szCs w:val="32"/>
          <w:highlight w:val="white"/>
          <w:rtl/>
        </w:rPr>
        <w:t>.</w:t>
      </w:r>
    </w:p>
    <w:p w14:paraId="0F71662C" w14:textId="77777777" w:rsidR="00725996" w:rsidRPr="00544CA5"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ه. أهمية البحث:</w:t>
      </w:r>
    </w:p>
    <w:p w14:paraId="0C6964B4" w14:textId="77777777" w:rsidR="00725996" w:rsidRPr="00544CA5" w:rsidRDefault="00725996" w:rsidP="00725996">
      <w:pPr>
        <w:bidi/>
        <w:spacing w:line="360" w:lineRule="auto"/>
        <w:ind w:left="360" w:firstLine="360"/>
        <w:jc w:val="both"/>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hint="cs"/>
          <w:bCs/>
          <w:color w:val="27272A"/>
          <w:sz w:val="36"/>
          <w:szCs w:val="36"/>
          <w:highlight w:val="white"/>
          <w:rtl/>
          <w:lang w:bidi="ar-EG"/>
        </w:rPr>
        <w:t xml:space="preserve">1. </w:t>
      </w:r>
      <w:r w:rsidRPr="00544CA5">
        <w:rPr>
          <w:rFonts w:ascii="Sakkal Majalla" w:eastAsia="Noto Naskh Arabic" w:hAnsi="Sakkal Majalla" w:cs="Sakkal Majalla"/>
          <w:bCs/>
          <w:color w:val="27272A"/>
          <w:sz w:val="36"/>
          <w:szCs w:val="36"/>
          <w:highlight w:val="white"/>
          <w:rtl/>
        </w:rPr>
        <w:t>الأهمية النظرية/العلمية:</w:t>
      </w:r>
    </w:p>
    <w:p w14:paraId="42490224" w14:textId="77777777" w:rsidR="00725996" w:rsidRPr="00E80379" w:rsidRDefault="00725996" w:rsidP="00725996">
      <w:pPr>
        <w:bidi/>
        <w:spacing w:line="360" w:lineRule="auto"/>
        <w:ind w:left="990" w:firstLine="1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سيقدم هذا البحث إسهامًا كبيرًا في تطوير فهم اللغة العربية وبلاغة القرآن. ستكون نتائج البحث مفيدة للتعرف على </w:t>
      </w:r>
      <w:r>
        <w:rPr>
          <w:rFonts w:ascii="Sakkal Majalla" w:eastAsia="Noto Naskh Arabic" w:hAnsi="Sakkal Majalla" w:cs="Sakkal Majalla" w:hint="cs"/>
          <w:color w:val="27272A"/>
          <w:sz w:val="36"/>
          <w:szCs w:val="36"/>
          <w:highlight w:val="white"/>
          <w:rtl/>
        </w:rPr>
        <w:t>أسلوب</w:t>
      </w:r>
      <w:r>
        <w:rPr>
          <w:rFonts w:ascii="Sakkal Majalla" w:eastAsia="Noto Naskh Arabic" w:hAnsi="Sakkal Majalla" w:cs="Sakkal Majalla" w:hint="cs"/>
          <w:color w:val="27272A"/>
          <w:sz w:val="36"/>
          <w:szCs w:val="36"/>
          <w:highlight w:val="white"/>
          <w:rtl/>
          <w:lang w:val="en-US" w:bidi="ar-EG"/>
        </w:rPr>
        <w:t xml:space="preserve"> ال</w:t>
      </w:r>
      <w:r>
        <w:rPr>
          <w:rFonts w:ascii="Sakkal Majalla" w:eastAsia="Noto Naskh Arabic" w:hAnsi="Sakkal Majalla" w:cs="Sakkal Majalla" w:hint="cs"/>
          <w:color w:val="27272A"/>
          <w:sz w:val="36"/>
          <w:szCs w:val="36"/>
          <w:highlight w:val="white"/>
          <w:rtl/>
        </w:rPr>
        <w:t>أمر</w:t>
      </w:r>
      <w:r>
        <w:rPr>
          <w:rFonts w:ascii="Sakkal Majalla" w:eastAsia="Noto Naskh Arabic" w:hAnsi="Sakkal Majalla" w:cs="Sakkal Majalla"/>
          <w:color w:val="27272A"/>
          <w:sz w:val="36"/>
          <w:szCs w:val="36"/>
          <w:highlight w:val="white"/>
        </w:rPr>
        <w:t xml:space="preserve"> </w:t>
      </w:r>
      <w:r w:rsidRPr="00E80379">
        <w:rPr>
          <w:rFonts w:ascii="Sakkal Majalla" w:eastAsia="Noto Naskh Arabic" w:hAnsi="Sakkal Majalla" w:cs="Sakkal Majalla"/>
          <w:color w:val="27272A"/>
          <w:sz w:val="36"/>
          <w:szCs w:val="36"/>
          <w:highlight w:val="white"/>
          <w:rtl/>
        </w:rPr>
        <w:t>وتحليل استخدام</w:t>
      </w:r>
      <w:r>
        <w:rPr>
          <w:rFonts w:ascii="Sakkal Majalla" w:eastAsia="Noto Naskh Arabic" w:hAnsi="Sakkal Majalla" w:cs="Sakkal Majalla" w:hint="cs"/>
          <w:color w:val="27272A"/>
          <w:sz w:val="36"/>
          <w:szCs w:val="36"/>
          <w:highlight w:val="white"/>
          <w:rtl/>
        </w:rPr>
        <w:t>ه</w:t>
      </w:r>
      <w:r w:rsidRPr="00E80379">
        <w:rPr>
          <w:rFonts w:ascii="Sakkal Majalla" w:eastAsia="Noto Naskh Arabic" w:hAnsi="Sakkal Majalla" w:cs="Sakkal Majalla"/>
          <w:color w:val="27272A"/>
          <w:sz w:val="36"/>
          <w:szCs w:val="36"/>
          <w:highlight w:val="white"/>
          <w:rtl/>
        </w:rPr>
        <w:t xml:space="preserve"> في النصوص الدينية بشكل أعمق.</w:t>
      </w:r>
    </w:p>
    <w:p w14:paraId="05E3F420" w14:textId="77777777" w:rsidR="00725996" w:rsidRPr="009C3634" w:rsidRDefault="00725996" w:rsidP="00725996">
      <w:pPr>
        <w:bidi/>
        <w:spacing w:line="360" w:lineRule="auto"/>
        <w:ind w:left="720"/>
        <w:jc w:val="both"/>
        <w:rPr>
          <w:rFonts w:ascii="Sakkal Majalla" w:eastAsia="Noto Naskh Arabic" w:hAnsi="Sakkal Majalla" w:cs="Sakkal Majalla"/>
          <w:bCs/>
          <w:color w:val="27272A"/>
          <w:sz w:val="36"/>
          <w:szCs w:val="36"/>
          <w:highlight w:val="white"/>
          <w:lang w:val="en-US"/>
        </w:rPr>
      </w:pPr>
      <w:r>
        <w:rPr>
          <w:rFonts w:ascii="Sakkal Majalla" w:eastAsia="Noto Naskh Arabic" w:hAnsi="Sakkal Majalla" w:cs="Sakkal Majalla" w:hint="cs"/>
          <w:bCs/>
          <w:color w:val="27272A"/>
          <w:sz w:val="36"/>
          <w:szCs w:val="36"/>
          <w:highlight w:val="white"/>
          <w:rtl/>
        </w:rPr>
        <w:lastRenderedPageBreak/>
        <w:t xml:space="preserve">2. </w:t>
      </w:r>
      <w:r w:rsidRPr="009C3634">
        <w:rPr>
          <w:rFonts w:ascii="Sakkal Majalla" w:eastAsia="Noto Naskh Arabic" w:hAnsi="Sakkal Majalla" w:cs="Sakkal Majalla"/>
          <w:bCs/>
          <w:color w:val="27272A"/>
          <w:sz w:val="36"/>
          <w:szCs w:val="36"/>
          <w:highlight w:val="white"/>
          <w:rtl/>
        </w:rPr>
        <w:t>الأهمية العملية:</w:t>
      </w:r>
    </w:p>
    <w:p w14:paraId="0FD835BF" w14:textId="13B24642" w:rsidR="00F440B6" w:rsidRDefault="00725996" w:rsidP="008426E1">
      <w:pPr>
        <w:bidi/>
        <w:spacing w:line="360" w:lineRule="auto"/>
        <w:ind w:left="990" w:firstLine="180"/>
        <w:jc w:val="both"/>
        <w:rPr>
          <w:rFonts w:ascii="Noto Naskh Arabic" w:eastAsia="Noto Naskh Arabic" w:hAnsi="Noto Naskh Arabic" w:cs="Noto Naskh Arabic"/>
          <w:b/>
          <w:color w:val="27272A"/>
          <w:sz w:val="32"/>
          <w:szCs w:val="32"/>
          <w:highlight w:val="white"/>
        </w:rPr>
      </w:pPr>
      <w:r w:rsidRPr="00E80379">
        <w:rPr>
          <w:rFonts w:ascii="Sakkal Majalla" w:eastAsia="Noto Naskh Arabic" w:hAnsi="Sakkal Majalla" w:cs="Sakkal Majalla"/>
          <w:color w:val="27272A"/>
          <w:sz w:val="36"/>
          <w:szCs w:val="36"/>
          <w:highlight w:val="white"/>
          <w:rtl/>
        </w:rPr>
        <w:t>سيساعد هذا البحث في إثراء أساليب تعليم اللغة العربية، خاصةً في سياق التعليم الديني. يمكن لمعلمي وطلاب اللغة العربية استخدام نتائج هذا البحث لتطوير فهمهم لبلاغة القرآن.</w:t>
      </w:r>
    </w:p>
    <w:sectPr w:rsidR="00F440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1F581" w14:textId="77777777" w:rsidR="007F75D7" w:rsidRDefault="007F75D7">
      <w:pPr>
        <w:spacing w:line="240" w:lineRule="auto"/>
      </w:pPr>
      <w:r>
        <w:separator/>
      </w:r>
    </w:p>
  </w:endnote>
  <w:endnote w:type="continuationSeparator" w:id="0">
    <w:p w14:paraId="0AEE93A6" w14:textId="77777777" w:rsidR="007F75D7" w:rsidRDefault="007F7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F899C" w14:textId="77777777" w:rsidR="007F75D7" w:rsidRDefault="007F75D7">
      <w:pPr>
        <w:spacing w:line="240" w:lineRule="auto"/>
      </w:pPr>
      <w:r>
        <w:separator/>
      </w:r>
    </w:p>
  </w:footnote>
  <w:footnote w:type="continuationSeparator" w:id="0">
    <w:p w14:paraId="62E9D0B7" w14:textId="77777777" w:rsidR="007F75D7" w:rsidRDefault="007F75D7">
      <w:pPr>
        <w:spacing w:line="240" w:lineRule="auto"/>
      </w:pPr>
      <w:r>
        <w:continuationSeparator/>
      </w:r>
    </w:p>
  </w:footnote>
  <w:footnote w:id="1">
    <w:p w14:paraId="335EFAAC" w14:textId="4EB21160" w:rsidR="0095634A" w:rsidRPr="0095634A" w:rsidRDefault="0095634A">
      <w:pPr>
        <w:pStyle w:val="FootnoteText"/>
        <w:rPr>
          <w:lang w:val="en-US"/>
        </w:rPr>
      </w:pPr>
      <w:r>
        <w:rPr>
          <w:rStyle w:val="FootnoteReference"/>
        </w:rPr>
        <w:footnoteRef/>
      </w:r>
      <w:r>
        <w:t xml:space="preserve"> </w:t>
      </w:r>
      <w:r>
        <w:fldChar w:fldCharType="begin"/>
      </w:r>
      <w:r>
        <w:instrText xml:space="preserve"> ADDIN ZOTERO_ITEM CSL_CITATION {"citationID":"glHtXddb","properties":{"formattedCitation":"Akhmad Rusydi, Lailatul Qomariyah, and Nida Munirah, \\uc0\\u8220{}T\\uc0\\u257{}hlil \\uc0\\u256{}l-Insy\\uc0\\u257{}\\uc0\\u8217{}\\uc0\\u257{}l-Th\\uc0\\u257{}l\\uc0\\u257{}bi W\\uc0\\u257{}l M\\uc0\\u257{}\\uc0\\u8217{}\\uc0\\u257{}nihi Fii Sur\\uc0\\u257{}h Gh\\uc0\\u257{}fir,\\uc0\\u8221{} {\\i{}Mantiqu Tayr: Journal of Arabic Language} 4, no. 1 (2024): 60\\uc0\\u8211{}77.","plainCitation":"Akhmad Rusydi, Lailatul Qomariyah, and Nida Munirah, “Tāhlil Āl-Insyā’āl-Thālābi Wāl Mā’ānihi Fii Surāh Ghāfir,” Mantiqu Tayr: Journal of Arabic Language 4, no. 1 (2024): 60–77.","noteIndex":1},"citationItems":[{"id":65,"uris":["http://zotero.org/users/13503244/items/5QQG5IAS"],"itemData":{"id":65,"type":"article-journal","container-title":"Mantiqu Tayr: Journal of Arabic Language","ISSN":"2774-6372","issue":"1","journalAbbreviation":"Mantiqu Tayr: Journal of Arabic Language","page":"60-77","title":"Tāhlil āl-Insyā’āl-Thālābi wāl Mā’ānihi fii Surāh Ghāfir","volume":"4","author":[{"family":"Rusydi","given":"Akhmad"},{"family":"Qomariyah","given":"Lailatul"},{"family":"Munirah","given":"Nida"}],"issued":{"date-parts":[["2024"]]}}}],"schema":"https://github.com/citation-style-language/schema/raw/master/csl-citation.json"} </w:instrText>
      </w:r>
      <w:r>
        <w:fldChar w:fldCharType="separate"/>
      </w:r>
      <w:r w:rsidRPr="0095634A">
        <w:rPr>
          <w:rFonts w:asciiTheme="minorHAnsi" w:hAnsiTheme="minorHAnsi"/>
          <w:sz w:val="16"/>
        </w:rPr>
        <w:t>Akhmad Rusydi, Lailatul Qomariyah, and Nida Munirah, “</w:t>
      </w:r>
      <w:r w:rsidRPr="0095634A">
        <w:rPr>
          <w:rFonts w:asciiTheme="minorHAnsi" w:hAnsiTheme="minorHAnsi"/>
          <w:sz w:val="16"/>
          <w:u w:val="single"/>
        </w:rPr>
        <w:t>Tāhlil Āl-Insyā’āl-Thālābi Wāl Mā’ānihi Fii Surāh Ghāfir,”</w:t>
      </w:r>
      <w:r w:rsidRPr="0095634A">
        <w:rPr>
          <w:rFonts w:asciiTheme="minorHAnsi" w:hAnsiTheme="minorHAnsi"/>
          <w:sz w:val="16"/>
        </w:rPr>
        <w:t xml:space="preserve"> </w:t>
      </w:r>
      <w:r w:rsidRPr="0095634A">
        <w:rPr>
          <w:rFonts w:asciiTheme="minorHAnsi" w:hAnsiTheme="minorHAnsi"/>
          <w:i/>
          <w:iCs/>
          <w:sz w:val="16"/>
        </w:rPr>
        <w:t>Mantiqu Tayr: Journal of Arabic Language</w:t>
      </w:r>
      <w:r w:rsidRPr="0095634A">
        <w:rPr>
          <w:rFonts w:asciiTheme="minorHAnsi" w:hAnsiTheme="minorHAnsi"/>
          <w:sz w:val="16"/>
        </w:rPr>
        <w:t xml:space="preserve"> </w:t>
      </w:r>
      <w:r w:rsidRPr="0095634A">
        <w:rPr>
          <w:szCs w:val="24"/>
        </w:rPr>
        <w:t xml:space="preserve">4, </w:t>
      </w:r>
      <w:r w:rsidRPr="0095634A">
        <w:rPr>
          <w:rFonts w:asciiTheme="minorHAnsi" w:hAnsiTheme="minorHAnsi"/>
          <w:sz w:val="16"/>
        </w:rPr>
        <w:t>no</w:t>
      </w:r>
      <w:r w:rsidRPr="0095634A">
        <w:rPr>
          <w:szCs w:val="24"/>
        </w:rPr>
        <w:t>. 1 (2024): 60–77.</w:t>
      </w:r>
      <w:r>
        <w:fldChar w:fldCharType="end"/>
      </w:r>
    </w:p>
  </w:footnote>
  <w:footnote w:id="2">
    <w:p w14:paraId="7943AE4A" w14:textId="07FA863D" w:rsidR="001D7ACC" w:rsidRPr="001D7ACC" w:rsidRDefault="001D7ACC">
      <w:pPr>
        <w:pStyle w:val="FootnoteText"/>
        <w:rPr>
          <w:lang w:val="en-US"/>
        </w:rPr>
      </w:pPr>
      <w:r>
        <w:rPr>
          <w:rStyle w:val="FootnoteReference"/>
        </w:rPr>
        <w:footnoteRef/>
      </w:r>
      <w:r>
        <w:t xml:space="preserve"> </w:t>
      </w:r>
      <w:r>
        <w:fldChar w:fldCharType="begin"/>
      </w:r>
      <w:r>
        <w:instrText xml:space="preserve"> ADDIN ZOTERO_ITEM CSL_CITATION {"citationID":"JzU7axHu","properties":{"formattedCitation":"Dinda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27–34.","noteIndex":2},"citationItems":[{"id":61,"uris":["http://zotero.org/users/13503244/items/6F2BSNTV"],"itemData":{"id":61,"type":"article-journal","container-title":"Al-Akhbar: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sidRPr="001D7ACC">
        <w:rPr>
          <w:rFonts w:asciiTheme="minorHAnsi" w:hAnsiTheme="minorHAnsi"/>
          <w:sz w:val="16"/>
        </w:rPr>
        <w:t xml:space="preserve">Dinda Andini et al., “Kaidah Al-Amar Wa An-Hahyi; Metode Memahami Al-Qur’an,” </w:t>
      </w:r>
      <w:r w:rsidRPr="001D7ACC">
        <w:rPr>
          <w:rFonts w:asciiTheme="minorHAnsi" w:hAnsiTheme="minorHAnsi"/>
          <w:i/>
          <w:iCs/>
          <w:sz w:val="16"/>
        </w:rPr>
        <w:t>Al-Akhbar: Jurnal Ilmiah Keislaman</w:t>
      </w:r>
      <w:r w:rsidRPr="001D7ACC">
        <w:rPr>
          <w:szCs w:val="24"/>
        </w:rPr>
        <w:t xml:space="preserve"> 9, no. 1 </w:t>
      </w:r>
      <w:r w:rsidRPr="001D7ACC">
        <w:rPr>
          <w:rFonts w:ascii="Sakkal Majalla" w:hAnsi="Sakkal Majalla" w:cs="Sakkal Majalla" w:hint="cs"/>
          <w:sz w:val="24"/>
          <w:szCs w:val="32"/>
        </w:rPr>
        <w:t>(2023): 27–34</w:t>
      </w:r>
      <w:r w:rsidRPr="001D7ACC">
        <w:rPr>
          <w:szCs w:val="24"/>
        </w:rPr>
        <w:t>.</w:t>
      </w:r>
      <w:r>
        <w:fldChar w:fldCharType="end"/>
      </w:r>
    </w:p>
  </w:footnote>
  <w:footnote w:id="3">
    <w:p w14:paraId="184E1D35" w14:textId="77777777" w:rsidR="00734146" w:rsidRPr="008D13D3" w:rsidRDefault="00734146" w:rsidP="00734146">
      <w:pPr>
        <w:pStyle w:val="FootnoteText"/>
        <w:rPr>
          <w:lang w:val="en-US"/>
        </w:rPr>
      </w:pPr>
      <w:r>
        <w:rPr>
          <w:rStyle w:val="FootnoteReference"/>
        </w:rPr>
        <w:footnoteRef/>
      </w:r>
      <w:r>
        <w:t xml:space="preserve"> </w:t>
      </w:r>
      <w:r>
        <w:fldChar w:fldCharType="begin"/>
      </w:r>
      <w:r>
        <w:instrText xml:space="preserve"> ADDIN ZOTERO_ITEM CSL_CITATION {"citationID":"GBtYXAx5","properties":{"formattedCitation":"M Quraish Shihab, {\\i{}Kaidah Tafsir} (Lentera Hati Group, 2013).","plainCitation":"M Quraish Shihab, Kaidah Tafsir (Lentera Hati Group, 2013).","noteIndex":12},"citationItems":[{"id":67,"uris":["http://zotero.org/users/13503244/items/TKHVKBI5"],"itemData":{"id":67,"type":"book","publisher":"Lentera Hati Group","title":"Kaidah tafsir","author":[{"family":"Shihab","given":"M Quraish"}],"issued":{"date-parts":[["2013"]]}}}],"schema":"https://github.com/citation-style-language/schema/raw/master/csl-citation.json"} </w:instrText>
      </w:r>
      <w:r>
        <w:fldChar w:fldCharType="separate"/>
      </w:r>
      <w:r w:rsidRPr="008D13D3">
        <w:rPr>
          <w:rFonts w:asciiTheme="minorHAnsi" w:hAnsiTheme="minorHAnsi"/>
          <w:sz w:val="16"/>
        </w:rPr>
        <w:t xml:space="preserve">M Quraish Shihab, </w:t>
      </w:r>
      <w:proofErr w:type="spellStart"/>
      <w:r w:rsidRPr="008D13D3">
        <w:rPr>
          <w:rFonts w:asciiTheme="minorHAnsi" w:hAnsiTheme="minorHAnsi"/>
          <w:i/>
          <w:iCs/>
          <w:sz w:val="16"/>
        </w:rPr>
        <w:t>Kaidah</w:t>
      </w:r>
      <w:proofErr w:type="spellEnd"/>
      <w:r w:rsidRPr="008D13D3">
        <w:rPr>
          <w:rFonts w:asciiTheme="minorHAnsi" w:hAnsiTheme="minorHAnsi"/>
          <w:i/>
          <w:iCs/>
          <w:sz w:val="16"/>
        </w:rPr>
        <w:t xml:space="preserve"> Tafsir</w:t>
      </w:r>
      <w:r w:rsidRPr="008D13D3">
        <w:rPr>
          <w:rFonts w:asciiTheme="minorHAnsi" w:hAnsiTheme="minorHAnsi"/>
          <w:sz w:val="16"/>
        </w:rPr>
        <w:t xml:space="preserve"> (</w:t>
      </w:r>
      <w:proofErr w:type="spellStart"/>
      <w:r w:rsidRPr="008D13D3">
        <w:rPr>
          <w:rFonts w:asciiTheme="minorHAnsi" w:hAnsiTheme="minorHAnsi"/>
          <w:sz w:val="16"/>
        </w:rPr>
        <w:t>Lentera</w:t>
      </w:r>
      <w:proofErr w:type="spellEnd"/>
      <w:r w:rsidRPr="008D13D3">
        <w:rPr>
          <w:rFonts w:asciiTheme="minorHAnsi" w:hAnsiTheme="minorHAnsi"/>
          <w:sz w:val="16"/>
        </w:rPr>
        <w:t xml:space="preserve"> Hati Group, 2013)</w:t>
      </w:r>
      <w:r>
        <w:rPr>
          <w:rFonts w:asciiTheme="minorHAnsi" w:hAnsiTheme="minorHAnsi" w:hint="cs"/>
          <w:sz w:val="16"/>
          <w:rtl/>
        </w:rPr>
        <w:t xml:space="preserve"> </w:t>
      </w:r>
      <w:proofErr w:type="gramStart"/>
      <w:r w:rsidRPr="008D13D3">
        <w:rPr>
          <w:rFonts w:ascii="Sakkal Majalla" w:hAnsi="Sakkal Majalla" w:cs="Sakkal Majalla" w:hint="cs"/>
          <w:sz w:val="24"/>
          <w:szCs w:val="24"/>
          <w:rtl/>
        </w:rPr>
        <w:t xml:space="preserve">ص </w:t>
      </w:r>
      <w:r w:rsidRPr="008D13D3">
        <w:rPr>
          <w:rFonts w:ascii="Sakkal Majalla" w:hAnsi="Sakkal Majalla" w:cs="Sakkal Majalla" w:hint="cs"/>
          <w:sz w:val="24"/>
          <w:szCs w:val="24"/>
        </w:rPr>
        <w:t xml:space="preserve"> </w:t>
      </w:r>
      <w:r w:rsidRPr="008D13D3">
        <w:rPr>
          <w:rFonts w:ascii="Sakkal Majalla" w:hAnsi="Sakkal Majalla" w:cs="Sakkal Majalla" w:hint="cs"/>
          <w:sz w:val="24"/>
          <w:szCs w:val="24"/>
          <w:rtl/>
          <w:lang w:bidi="ar-EG"/>
        </w:rPr>
        <w:t>61</w:t>
      </w:r>
      <w:proofErr w:type="gramEnd"/>
      <w:r w:rsidRPr="008D13D3">
        <w:rPr>
          <w:szCs w:val="24"/>
        </w:rPr>
        <w:t>.</w:t>
      </w:r>
      <w:r>
        <w:fldChar w:fldCharType="end"/>
      </w:r>
    </w:p>
  </w:footnote>
  <w:footnote w:id="4">
    <w:p w14:paraId="6116E736" w14:textId="2E3B1CA1" w:rsidR="0017107B" w:rsidRPr="0017107B" w:rsidRDefault="0017107B">
      <w:pPr>
        <w:pStyle w:val="FootnoteText"/>
        <w:rPr>
          <w:lang w:val="en-US"/>
        </w:rPr>
      </w:pPr>
      <w:r>
        <w:rPr>
          <w:rStyle w:val="FootnoteReference"/>
        </w:rPr>
        <w:footnoteRef/>
      </w:r>
      <w:r>
        <w:t xml:space="preserve"> </w:t>
      </w:r>
      <w:r>
        <w:fldChar w:fldCharType="begin"/>
      </w:r>
      <w:r w:rsidR="0095634A">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395–406.","noteIndex":3},"citationItems":[{"id":25,"uris":["http://zotero.org/users/local/PxK9EVr5/items/LSFXHV3J","http://zotero.org/users/13503244/items/LSFXHV3J"],"itemData":{"id":25,"type":"article-journal","container-title":"A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fldChar w:fldCharType="separate"/>
      </w:r>
      <w:r w:rsidR="0095634A" w:rsidRPr="0095634A">
        <w:rPr>
          <w:rFonts w:asciiTheme="minorHAnsi" w:hAnsiTheme="minorHAnsi" w:cs="Times New Roman"/>
          <w:sz w:val="16"/>
          <w:szCs w:val="16"/>
        </w:rPr>
        <w:t xml:space="preserve">Randy </w:t>
      </w:r>
      <w:proofErr w:type="spellStart"/>
      <w:r w:rsidR="0095634A" w:rsidRPr="0095634A">
        <w:rPr>
          <w:rFonts w:asciiTheme="minorHAnsi" w:hAnsiTheme="minorHAnsi" w:cs="Times New Roman"/>
          <w:sz w:val="16"/>
          <w:szCs w:val="16"/>
        </w:rPr>
        <w:t>Safii</w:t>
      </w:r>
      <w:proofErr w:type="spellEnd"/>
      <w:r w:rsidR="0095634A" w:rsidRPr="0095634A">
        <w:rPr>
          <w:rFonts w:asciiTheme="minorHAnsi" w:hAnsiTheme="minorHAnsi" w:cs="Times New Roman"/>
          <w:sz w:val="16"/>
          <w:szCs w:val="16"/>
        </w:rPr>
        <w:t xml:space="preserve">, </w:t>
      </w:r>
      <w:proofErr w:type="spellStart"/>
      <w:r w:rsidR="0095634A" w:rsidRPr="0095634A">
        <w:rPr>
          <w:rFonts w:asciiTheme="minorHAnsi" w:hAnsiTheme="minorHAnsi" w:cs="Times New Roman"/>
          <w:sz w:val="16"/>
          <w:szCs w:val="16"/>
        </w:rPr>
        <w:t>Sriwahyuningsih</w:t>
      </w:r>
      <w:proofErr w:type="spellEnd"/>
      <w:r w:rsidR="0095634A" w:rsidRPr="0095634A">
        <w:rPr>
          <w:rFonts w:asciiTheme="minorHAnsi" w:hAnsiTheme="minorHAnsi" w:cs="Times New Roman"/>
          <w:sz w:val="16"/>
          <w:szCs w:val="16"/>
        </w:rPr>
        <w:t xml:space="preserve"> R Shaleh, and Chaterina Puteri Doni, “Uslub Kalam Khabar Dan Insya’dalam Dialog Kisah Nabi Zakariyah Dalam Al-Qur’an,” </w:t>
      </w:r>
      <w:r w:rsidR="0095634A" w:rsidRPr="0095634A">
        <w:rPr>
          <w:rFonts w:asciiTheme="minorHAnsi" w:hAnsiTheme="minorHAnsi" w:cs="Times New Roman"/>
          <w:i/>
          <w:iCs/>
          <w:sz w:val="16"/>
          <w:szCs w:val="16"/>
        </w:rPr>
        <w:t>A Jamiy: Jurnal Bahasa dan Sastra Arab</w:t>
      </w:r>
      <w:r w:rsidR="0095634A">
        <w:rPr>
          <w:rFonts w:ascii="Times New Roman" w:hAnsi="Times New Roman" w:cs="Times New Roman"/>
          <w:sz w:val="24"/>
          <w:szCs w:val="24"/>
        </w:rPr>
        <w:t xml:space="preserve"> </w:t>
      </w:r>
      <w:r w:rsidR="0095634A" w:rsidRPr="0095634A">
        <w:rPr>
          <w:rFonts w:ascii="Sakkal Majalla" w:hAnsi="Sakkal Majalla" w:cs="Sakkal Majalla" w:hint="cs"/>
          <w:sz w:val="24"/>
          <w:szCs w:val="24"/>
        </w:rPr>
        <w:t>11</w:t>
      </w:r>
      <w:r w:rsidR="0095634A">
        <w:rPr>
          <w:rFonts w:ascii="Times New Roman" w:hAnsi="Times New Roman" w:cs="Times New Roman"/>
          <w:sz w:val="24"/>
          <w:szCs w:val="24"/>
        </w:rPr>
        <w:t>,</w:t>
      </w:r>
      <w:r w:rsidR="0095634A" w:rsidRPr="0095634A">
        <w:rPr>
          <w:rFonts w:asciiTheme="minorHAnsi" w:hAnsiTheme="minorHAnsi" w:cs="Times New Roman"/>
          <w:sz w:val="16"/>
          <w:szCs w:val="16"/>
        </w:rPr>
        <w:t xml:space="preserve"> no</w:t>
      </w:r>
      <w:r w:rsidR="0095634A">
        <w:rPr>
          <w:rFonts w:ascii="Times New Roman" w:hAnsi="Times New Roman" w:cs="Times New Roman"/>
          <w:sz w:val="24"/>
          <w:szCs w:val="24"/>
        </w:rPr>
        <w:t xml:space="preserve">. </w:t>
      </w:r>
      <w:r w:rsidR="0095634A" w:rsidRPr="0095634A">
        <w:rPr>
          <w:rFonts w:ascii="Sakkal Majalla" w:hAnsi="Sakkal Majalla" w:cs="Sakkal Majalla" w:hint="cs"/>
          <w:sz w:val="24"/>
          <w:szCs w:val="24"/>
        </w:rPr>
        <w:t>2 (2022): 395–406</w:t>
      </w:r>
      <w:r w:rsidR="0095634A">
        <w:rPr>
          <w:rFonts w:ascii="Times New Roman" w:hAnsi="Times New Roman" w:cs="Times New Roman"/>
          <w:sz w:val="24"/>
          <w:szCs w:val="24"/>
        </w:rPr>
        <w:t>.</w:t>
      </w:r>
      <w:r>
        <w:fldChar w:fldCharType="end"/>
      </w:r>
    </w:p>
  </w:footnote>
  <w:footnote w:id="5">
    <w:p w14:paraId="09A1B6AE" w14:textId="28E9D922" w:rsidR="00893034" w:rsidRDefault="00893034">
      <w:pPr>
        <w:pStyle w:val="FootnoteText"/>
        <w:rPr>
          <w:rtl/>
          <w:lang w:bidi="ar-EG"/>
        </w:rPr>
      </w:pPr>
      <w:r>
        <w:rPr>
          <w:rStyle w:val="FootnoteReference"/>
        </w:rPr>
        <w:footnoteRef/>
      </w:r>
      <w:r>
        <w:t xml:space="preserve"> </w:t>
      </w:r>
      <w:r>
        <w:fldChar w:fldCharType="begin"/>
      </w:r>
      <w:r w:rsidR="0095634A">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131–142.","noteIndex":4},"citationItems":[{"id":19,"uris":["http://zotero.org/users/local/PxK9EVr5/items/P3JCLBVM","http://zotero.org/users/13503244/items/P3JCLBVM"],"itemData":{"id":19,"type":"article-journal","container-title":"RUSYDIAH: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fldChar w:fldCharType="separate"/>
      </w:r>
      <w:r w:rsidRPr="00925404">
        <w:rPr>
          <w:rFonts w:asciiTheme="minorHAnsi" w:hAnsiTheme="minorHAnsi"/>
          <w:sz w:val="16"/>
        </w:rPr>
        <w:t xml:space="preserve">Aidilah Suja, </w:t>
      </w:r>
      <w:r w:rsidRPr="00925404">
        <w:rPr>
          <w:rFonts w:asciiTheme="minorHAnsi" w:hAnsiTheme="minorHAnsi"/>
          <w:sz w:val="16"/>
          <w:u w:val="single"/>
        </w:rPr>
        <w:t>“ANALISIS USHLUB AL-MUQOBALAH DI DALAM AL-QUR’AN MELALUI PENDEKATAN BALAGHOH,</w:t>
      </w:r>
      <w:r w:rsidRPr="00925404">
        <w:rPr>
          <w:rFonts w:asciiTheme="minorHAnsi" w:hAnsiTheme="minorHAnsi"/>
          <w:sz w:val="16"/>
        </w:rPr>
        <w:t xml:space="preserve">” </w:t>
      </w:r>
      <w:r w:rsidRPr="00925404">
        <w:rPr>
          <w:rFonts w:asciiTheme="minorHAnsi" w:hAnsiTheme="minorHAnsi"/>
          <w:i/>
          <w:iCs/>
          <w:sz w:val="16"/>
        </w:rPr>
        <w:t>RUSYDIAH: Jurnal Pemikiran Islam</w:t>
      </w:r>
      <w:r w:rsidRPr="00893034">
        <w:rPr>
          <w:szCs w:val="24"/>
        </w:rPr>
        <w:t xml:space="preserve"> 1, no. 2 (2020): 131–142.</w:t>
      </w:r>
      <w:r>
        <w:fldChar w:fldCharType="end"/>
      </w:r>
    </w:p>
  </w:footnote>
  <w:footnote w:id="6">
    <w:p w14:paraId="2BB52166" w14:textId="61869D0B" w:rsidR="00893034" w:rsidRDefault="00893034">
      <w:pPr>
        <w:pStyle w:val="FootnoteText"/>
        <w:rPr>
          <w:rtl/>
          <w:lang w:bidi="ar-EG"/>
        </w:rPr>
      </w:pPr>
      <w:r>
        <w:rPr>
          <w:rStyle w:val="FootnoteReference"/>
        </w:rPr>
        <w:footnoteRef/>
      </w:r>
      <w:r>
        <w:t xml:space="preserve"> </w:t>
      </w:r>
      <w:r>
        <w:fldChar w:fldCharType="begin"/>
      </w:r>
      <w:r w:rsidR="0095634A">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95634A">
        <w:rPr>
          <w:rtl/>
        </w:rPr>
        <w:instrText>لسـانـنـا</w:instrText>
      </w:r>
      <w:r w:rsidR="0095634A">
        <w:instrText xml:space="preserve"> (LISANUNA): Jurnal Ilmu Bahasa Arab dan Pembelajarannya 10, no. 1 (2020): 55–69.","noteIndex":5},"citationItems":[{"id":15,"uris":["http://zotero.org/users/local/PxK9EVr5/items/CU2S3XM8","http://zotero.org/users/13503244/items/CU2S3XM8"],"itemData":{"id":15,"type":"article-journal","container-title":"</w:instrText>
      </w:r>
      <w:r w:rsidR="0095634A">
        <w:rPr>
          <w:rtl/>
        </w:rPr>
        <w:instrText>لسـانـنـا</w:instrText>
      </w:r>
      <w:r w:rsidR="0095634A">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925404">
        <w:rPr>
          <w:rFonts w:asciiTheme="minorHAnsi" w:hAnsiTheme="minorHAnsi"/>
          <w:sz w:val="16"/>
          <w:szCs w:val="16"/>
          <w:u w:val="single"/>
        </w:rPr>
        <w:t>Inggo Nugraha, “PEMAKAIAN USLUB AL-HAKIM DALAM ALQURAN,</w:t>
      </w:r>
      <w:r w:rsidRPr="00925404">
        <w:rPr>
          <w:rFonts w:asciiTheme="minorHAnsi" w:hAnsiTheme="minorHAnsi"/>
          <w:sz w:val="16"/>
          <w:szCs w:val="16"/>
        </w:rPr>
        <w:t xml:space="preserve">” </w:t>
      </w:r>
      <w:r w:rsidRPr="00925404">
        <w:rPr>
          <w:rFonts w:asciiTheme="minorHAnsi" w:hAnsiTheme="minorHAnsi"/>
          <w:i/>
          <w:iCs/>
          <w:sz w:val="16"/>
          <w:szCs w:val="16"/>
          <w:rtl/>
        </w:rPr>
        <w:t>لسـانـنـا</w:t>
      </w:r>
      <w:r w:rsidRPr="00925404">
        <w:rPr>
          <w:rFonts w:asciiTheme="minorHAnsi" w:hAnsiTheme="minorHAnsi"/>
          <w:i/>
          <w:iCs/>
          <w:sz w:val="16"/>
          <w:szCs w:val="16"/>
        </w:rPr>
        <w:t xml:space="preserve"> (LISANUNA): Jurnal Ilmu Bahasa Arab dan Pembelajarannya</w:t>
      </w:r>
      <w:r w:rsidRPr="00893034">
        <w:rPr>
          <w:szCs w:val="24"/>
        </w:rPr>
        <w:t xml:space="preserve"> 10, </w:t>
      </w:r>
      <w:r w:rsidRPr="009B74D0">
        <w:rPr>
          <w:rFonts w:asciiTheme="minorHAnsi" w:hAnsiTheme="minorHAnsi"/>
          <w:sz w:val="16"/>
        </w:rPr>
        <w:t>no</w:t>
      </w:r>
      <w:r w:rsidRPr="00893034">
        <w:rPr>
          <w:szCs w:val="24"/>
        </w:rPr>
        <w:t>. 1 (2020): 55–69.</w:t>
      </w:r>
      <w:r>
        <w:fldChar w:fldCharType="end"/>
      </w:r>
    </w:p>
  </w:footnote>
  <w:footnote w:id="7">
    <w:p w14:paraId="6E220929" w14:textId="577112CB" w:rsidR="00893034" w:rsidRPr="001E40E2" w:rsidRDefault="00893034">
      <w:pPr>
        <w:pStyle w:val="FootnoteText"/>
        <w:rPr>
          <w:rFonts w:asciiTheme="minorHAnsi" w:hAnsiTheme="minorHAnsi"/>
          <w:sz w:val="18"/>
          <w:szCs w:val="18"/>
          <w:lang w:val="en-US"/>
        </w:rPr>
      </w:pPr>
      <w:r>
        <w:rPr>
          <w:rStyle w:val="FootnoteReference"/>
        </w:rPr>
        <w:footnoteRef/>
      </w:r>
      <w:r>
        <w:t xml:space="preserve"> </w:t>
      </w:r>
      <w:r w:rsidRPr="00925404">
        <w:rPr>
          <w:rFonts w:asciiTheme="minorHAnsi" w:hAnsiTheme="minorHAnsi"/>
          <w:sz w:val="16"/>
          <w:szCs w:val="16"/>
        </w:rPr>
        <w:fldChar w:fldCharType="begin"/>
      </w:r>
      <w:r w:rsidR="0095634A">
        <w:rPr>
          <w:rFonts w:asciiTheme="minorHAnsi" w:hAnsiTheme="minorHAnsi"/>
          <w:sz w:val="16"/>
          <w:szCs w:val="16"/>
        </w:rPr>
        <w:instrText xml:space="preserve"> ADDIN ZOTERO_ITEM CSL_CITATION {"citationID":"a4TDhKqw","properties":{"formattedCitation":"Sagala Rumadani, \\uc0\\u8220{}Buku: Balaghah\\uc0\\u8221{} (n.d.).","plainCitation":"Sagala Rumadani, “Buku: Balaghah” (n.d.).","noteIndex":6},"citationItems":[{"id":1,"uris":["http://zotero.org/users/local/PxK9EVr5/items/6UZ4G2H5","http://zotero.org/users/13503244/items/6UZ4G2H5"],"itemData":{"id":1,"type":"article-journal","note":"publisher: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Sagala Rumadani, “</w:t>
      </w:r>
      <w:r w:rsidRPr="00925404">
        <w:rPr>
          <w:rFonts w:asciiTheme="minorHAnsi" w:hAnsiTheme="minorHAnsi"/>
          <w:sz w:val="16"/>
          <w:u w:val="single"/>
        </w:rPr>
        <w:t>Buku: Balaghah”</w:t>
      </w:r>
      <w:r w:rsidRPr="00925404">
        <w:rPr>
          <w:rFonts w:asciiTheme="minorHAnsi" w:hAnsiTheme="minorHAnsi"/>
          <w:sz w:val="16"/>
        </w:rPr>
        <w:t xml:space="preserve"> (n.d.).</w:t>
      </w:r>
      <w:r w:rsidRPr="00925404">
        <w:rPr>
          <w:rFonts w:asciiTheme="minorHAnsi" w:hAnsiTheme="minorHAnsi"/>
          <w:sz w:val="16"/>
          <w:szCs w:val="16"/>
        </w:rPr>
        <w:fldChar w:fldCharType="end"/>
      </w:r>
    </w:p>
  </w:footnote>
  <w:footnote w:id="8">
    <w:p w14:paraId="626AEA2B" w14:textId="2807EA13" w:rsidR="00301207" w:rsidRDefault="00301207" w:rsidP="00301207">
      <w:pPr>
        <w:pStyle w:val="FootnoteText"/>
        <w:rPr>
          <w:rtl/>
          <w:lang w:bidi="ar-EG"/>
        </w:rPr>
      </w:pPr>
      <w:r>
        <w:rPr>
          <w:rStyle w:val="FootnoteReference"/>
        </w:rPr>
        <w:footnoteRef/>
      </w:r>
      <w:r>
        <w:t xml:space="preserve"> </w:t>
      </w:r>
      <w:r>
        <w:fldChar w:fldCharType="begin"/>
      </w:r>
      <w:r w:rsidR="0095634A">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159.","noteIndex":7},"citationItems":[{"id":26,"uris":["http://zotero.org/users/local/PxK9EVr5/items/4MAP5GVK","http://zotero.org/users/13503244/items/4MAP5GVK"],"itemData":{"id":26,"type":"article-journal","container-title":"El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fldChar w:fldCharType="separate"/>
      </w:r>
      <w:r w:rsidRPr="00B71275">
        <w:rPr>
          <w:rFonts w:asciiTheme="minorHAnsi" w:hAnsiTheme="minorHAnsi"/>
          <w:sz w:val="16"/>
          <w:u w:val="single"/>
        </w:rPr>
        <w:t xml:space="preserve">Mohamad Zaka Al Farisi, “Ketedasan Terjemahan Ayat-Ayat Imperatif Bernuansa Budaya,” </w:t>
      </w:r>
      <w:r w:rsidRPr="00B71275">
        <w:rPr>
          <w:rFonts w:asciiTheme="minorHAnsi" w:hAnsiTheme="minorHAnsi"/>
          <w:i/>
          <w:iCs/>
          <w:sz w:val="16"/>
        </w:rPr>
        <w:t>El harakah</w:t>
      </w:r>
      <w:r w:rsidRPr="00B71275">
        <w:rPr>
          <w:rFonts w:asciiTheme="minorHAnsi" w:hAnsiTheme="minorHAnsi"/>
          <w:sz w:val="16"/>
        </w:rPr>
        <w:t xml:space="preserve"> </w:t>
      </w:r>
      <w:r w:rsidRPr="00C36F26">
        <w:rPr>
          <w:szCs w:val="24"/>
        </w:rPr>
        <w:t>19, no. 2 (2017): 159.</w:t>
      </w:r>
      <w:r>
        <w:fldChar w:fldCharType="end"/>
      </w:r>
    </w:p>
  </w:footnote>
  <w:footnote w:id="9">
    <w:p w14:paraId="49769AF7" w14:textId="68246F8A" w:rsidR="00CC4A88" w:rsidRPr="00CC4A88" w:rsidRDefault="00CC4A88">
      <w:pPr>
        <w:pStyle w:val="FootnoteText"/>
        <w:rPr>
          <w:lang w:val="en-US"/>
        </w:rPr>
      </w:pPr>
      <w:r>
        <w:rPr>
          <w:rStyle w:val="FootnoteReference"/>
        </w:rPr>
        <w:footnoteRef/>
      </w:r>
      <w:r>
        <w:t xml:space="preserve"> </w:t>
      </w:r>
      <w:r w:rsidRPr="005855C6">
        <w:rPr>
          <w:sz w:val="18"/>
          <w:szCs w:val="18"/>
        </w:rPr>
        <w:fldChar w:fldCharType="begin"/>
      </w:r>
      <w:r w:rsidR="0095634A">
        <w:rPr>
          <w:sz w:val="18"/>
          <w:szCs w:val="18"/>
        </w:rPr>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(2019).","noteIndex":8},"citationItems":[{"id":20,"uris":["http://zotero.org/users/local/PxK9EVr5/items/XLL8CVBA","http://zotero.org/users/13503244/items/XLL8CVBA"],"itemData":{"id":20,"type":"article-journal","container-title":"Al-Fathin","issue":"2","title":"Kajian Balahgah Dalam Al-Qur'an surah Lukman","volume":"02","author":[{"literal":"Muhammad Zaky Sya'bani"}],"issued":{"date-parts":[["2019"]]}}}],"schema":"https://github.com/citation-style-language/schema/raw/master/csl-citation.json"} </w:instrText>
      </w:r>
      <w:r w:rsidRPr="005855C6">
        <w:rPr>
          <w:sz w:val="18"/>
          <w:szCs w:val="18"/>
        </w:rPr>
        <w:fldChar w:fldCharType="separate"/>
      </w:r>
      <w:r w:rsidRPr="005855C6">
        <w:rPr>
          <w:rFonts w:asciiTheme="minorHAnsi" w:hAnsiTheme="minorHAnsi"/>
          <w:sz w:val="16"/>
          <w:szCs w:val="16"/>
          <w:u w:val="single"/>
        </w:rPr>
        <w:t>Muhammad Zaky Sya’bani, “Kajian Balahgah Dalam Al-Qur’an Surah Lukman,</w:t>
      </w:r>
      <w:r w:rsidRPr="005855C6">
        <w:rPr>
          <w:rFonts w:asciiTheme="minorHAnsi" w:hAnsiTheme="minorHAnsi"/>
          <w:sz w:val="16"/>
          <w:szCs w:val="16"/>
        </w:rPr>
        <w:t xml:space="preserve">” </w:t>
      </w:r>
      <w:r w:rsidRPr="005855C6">
        <w:rPr>
          <w:rFonts w:asciiTheme="minorHAnsi" w:hAnsiTheme="minorHAnsi"/>
          <w:i/>
          <w:iCs/>
          <w:sz w:val="16"/>
          <w:szCs w:val="16"/>
        </w:rPr>
        <w:t>Al-Fathin</w:t>
      </w:r>
      <w:r w:rsidRPr="005855C6">
        <w:rPr>
          <w:sz w:val="18"/>
          <w:szCs w:val="22"/>
        </w:rPr>
        <w:t xml:space="preserve"> 02, no. 2 (2019).</w:t>
      </w:r>
      <w:r w:rsidRPr="005855C6">
        <w:rPr>
          <w:sz w:val="18"/>
          <w:szCs w:val="18"/>
        </w:rPr>
        <w:fldChar w:fldCharType="end"/>
      </w:r>
    </w:p>
  </w:footnote>
  <w:footnote w:id="10">
    <w:p w14:paraId="60316D77" w14:textId="29658DB5" w:rsidR="00CC4A88" w:rsidRDefault="00CC4A88">
      <w:pPr>
        <w:pStyle w:val="FootnoteText"/>
        <w:rPr>
          <w:rtl/>
          <w:lang w:bidi="ar-EG"/>
        </w:rPr>
      </w:pPr>
      <w:r>
        <w:rPr>
          <w:rStyle w:val="FootnoteReference"/>
        </w:rPr>
        <w:footnoteRef/>
      </w:r>
      <w:r>
        <w:t xml:space="preserve"> </w:t>
      </w:r>
      <w:r w:rsidRPr="001E40E2">
        <w:rPr>
          <w:rFonts w:asciiTheme="minorHAnsi" w:hAnsiTheme="minorHAnsi"/>
          <w:sz w:val="18"/>
          <w:szCs w:val="18"/>
        </w:rPr>
        <w:fldChar w:fldCharType="begin"/>
      </w:r>
      <w:r w:rsidR="0095634A">
        <w:rPr>
          <w:rFonts w:asciiTheme="minorHAnsi" w:hAnsiTheme="minorHAnsi"/>
          <w:sz w:val="18"/>
          <w:szCs w:val="18"/>
        </w:rPr>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(2007).","noteIndex":9},"citationItems":[{"id":6,"uris":["http://zotero.org/users/local/PxK9EVr5/items/9FIIPEWH","http://zotero.org/users/13503244/items/9FIIPEWH"],"itemData":{"id":6,"type":"article-journal","container-title":"Jakarta: Raudhah Faris","title":"al-Balaghah al-Wadhihah","author":[{"family":"Al-Jarim","given":"Ali"},{"family":"Amin","given":"Musthafa"}],"issued":{"date-parts":[["2007"]]}}}],"schema":"https://github.com/citation-style-language/schema/raw/master/csl-citation.json"} </w:instrText>
      </w:r>
      <w:r w:rsidRPr="001E40E2">
        <w:rPr>
          <w:rFonts w:asciiTheme="minorHAnsi" w:hAnsiTheme="minorHAnsi"/>
          <w:sz w:val="18"/>
          <w:szCs w:val="18"/>
        </w:rPr>
        <w:fldChar w:fldCharType="separate"/>
      </w:r>
      <w:r w:rsidR="0095634A" w:rsidRPr="00B71275">
        <w:rPr>
          <w:rFonts w:asciiTheme="minorHAnsi" w:hAnsiTheme="minorHAnsi" w:cs="Times New Roman"/>
          <w:sz w:val="16"/>
          <w:szCs w:val="16"/>
        </w:rPr>
        <w:t xml:space="preserve">Ali Al-Jarim and Musthafa Amin, “Al-Balaghah al-Wadhihah,” </w:t>
      </w:r>
      <w:r w:rsidR="0095634A" w:rsidRPr="00B71275">
        <w:rPr>
          <w:rFonts w:asciiTheme="minorHAnsi" w:hAnsiTheme="minorHAnsi" w:cs="Times New Roman"/>
          <w:i/>
          <w:iCs/>
          <w:sz w:val="16"/>
          <w:szCs w:val="16"/>
        </w:rPr>
        <w:t>Jakarta: Raudhah Faris</w:t>
      </w:r>
      <w:r w:rsidR="0095634A" w:rsidRPr="00B71275">
        <w:rPr>
          <w:rFonts w:asciiTheme="minorHAnsi" w:hAnsiTheme="minorHAnsi" w:cs="Times New Roman"/>
          <w:sz w:val="16"/>
          <w:szCs w:val="16"/>
        </w:rPr>
        <w:t xml:space="preserve"> </w:t>
      </w:r>
      <w:r w:rsidR="0095634A" w:rsidRPr="00B71275">
        <w:rPr>
          <w:rFonts w:ascii="Sakkal Majalla" w:hAnsi="Sakkal Majalla" w:cs="Sakkal Majalla" w:hint="cs"/>
          <w:sz w:val="24"/>
          <w:szCs w:val="24"/>
        </w:rPr>
        <w:t>(2007)</w:t>
      </w:r>
      <w:r w:rsidR="0095634A">
        <w:rPr>
          <w:rFonts w:ascii="Times New Roman" w:hAnsi="Times New Roman" w:cs="Times New Roman"/>
          <w:sz w:val="24"/>
          <w:szCs w:val="24"/>
        </w:rPr>
        <w:t>.</w:t>
      </w:r>
      <w:r w:rsidRPr="001E40E2">
        <w:rPr>
          <w:rFonts w:asciiTheme="minorHAnsi" w:hAnsiTheme="minorHAnsi"/>
          <w:sz w:val="18"/>
          <w:szCs w:val="18"/>
        </w:rPr>
        <w:fldChar w:fldCharType="end"/>
      </w:r>
    </w:p>
  </w:footnote>
  <w:footnote w:id="11">
    <w:p w14:paraId="11569454" w14:textId="5066D663" w:rsidR="00F10ABE" w:rsidRDefault="00F10ABE">
      <w:pPr>
        <w:pStyle w:val="FootnoteText"/>
        <w:rPr>
          <w:rtl/>
          <w:lang w:bidi="ar-EG"/>
        </w:rPr>
      </w:pPr>
      <w:r>
        <w:rPr>
          <w:rStyle w:val="FootnoteReference"/>
        </w:rPr>
        <w:footnoteRef/>
      </w:r>
      <w:r>
        <w:t xml:space="preserve"> </w:t>
      </w:r>
      <w:r w:rsidRPr="00925404">
        <w:rPr>
          <w:rFonts w:asciiTheme="minorHAnsi" w:hAnsiTheme="minorHAnsi"/>
          <w:sz w:val="16"/>
          <w:szCs w:val="16"/>
        </w:rPr>
        <w:fldChar w:fldCharType="begin"/>
      </w:r>
      <w:r w:rsidR="0095634A">
        <w:rPr>
          <w:rFonts w:asciiTheme="minorHAnsi" w:hAnsiTheme="minorHAnsi"/>
          <w:sz w:val="16"/>
          <w:szCs w:val="16"/>
        </w:rPr>
        <w:instrText xml:space="preserve"> ADDIN ZOTERO_ITEM CSL_CITATION {"citationID":"eTo9A0sC","properties":{"formattedCitation":"HA Syarifudin, \\uc0\\u8220{}Ushul Fiqih Jilid I (Vol. 1),\\uc0\\u8221{} {\\i{}Prenada Media} (2014).","plainCitation":"HA Syarifudin, “Ushul Fiqih Jilid I (Vol. 1),” Prenada Media (2014).","noteIndex":10},"citationItems":[{"id":38,"uris":["http://zotero.org/users/local/PxK9EVr5/items/LSH4BGMP","http://zotero.org/users/13503244/items/LSH4BGMP"],"itemData":{"id":38,"type":"article-journal","container-title":"Prenada Media","journalAbbreviation":"Prenada Media","title":"Ushul Fiqih Jilid I (Vol. 1)","author":[{"family":"Syarifudin","given":"HA"}],"issued":{"date-parts":[["2014"]]}}}],"schema":"https://github.com/citation-style-language/schema/raw/master/csl-citation.json"}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 xml:space="preserve">HA Syarifudin, </w:t>
      </w:r>
      <w:r w:rsidRPr="005855C6">
        <w:rPr>
          <w:rFonts w:asciiTheme="minorHAnsi" w:hAnsiTheme="minorHAnsi"/>
          <w:sz w:val="16"/>
          <w:u w:val="single"/>
        </w:rPr>
        <w:t>“Ushul Fiqih Jilid I (Vol.</w:t>
      </w:r>
      <w:r w:rsidR="00925404" w:rsidRPr="005855C6">
        <w:rPr>
          <w:rFonts w:asciiTheme="minorHAnsi" w:hAnsiTheme="minorHAnsi" w:hint="cs"/>
          <w:sz w:val="16"/>
          <w:u w:val="single"/>
          <w:rtl/>
        </w:rPr>
        <w:t xml:space="preserve"> </w:t>
      </w:r>
      <w:r w:rsidRPr="005855C6">
        <w:rPr>
          <w:rFonts w:asciiTheme="minorHAnsi" w:hAnsiTheme="minorHAnsi"/>
          <w:sz w:val="16"/>
          <w:u w:val="single"/>
        </w:rPr>
        <w:t>1),</w:t>
      </w:r>
      <w:r w:rsidRPr="00925404">
        <w:rPr>
          <w:rFonts w:asciiTheme="minorHAnsi" w:hAnsiTheme="minorHAnsi"/>
          <w:sz w:val="16"/>
        </w:rPr>
        <w:t xml:space="preserve">” </w:t>
      </w:r>
      <w:r w:rsidRPr="00925404">
        <w:rPr>
          <w:rFonts w:asciiTheme="minorHAnsi" w:hAnsiTheme="minorHAnsi"/>
          <w:i/>
          <w:iCs/>
          <w:sz w:val="16"/>
        </w:rPr>
        <w:t>Prenada Media</w:t>
      </w:r>
      <w:r w:rsidRPr="00925404">
        <w:rPr>
          <w:rFonts w:asciiTheme="minorHAnsi" w:hAnsiTheme="minorHAnsi"/>
          <w:sz w:val="16"/>
        </w:rPr>
        <w:t xml:space="preserve"> (2014).</w:t>
      </w:r>
      <w:r w:rsidRPr="00925404">
        <w:rPr>
          <w:rFonts w:asciiTheme="minorHAnsi" w:hAnsiTheme="minorHAnsi"/>
          <w:sz w:val="16"/>
          <w:szCs w:val="16"/>
        </w:rPr>
        <w:fldChar w:fldCharType="end"/>
      </w:r>
    </w:p>
  </w:footnote>
  <w:footnote w:id="12">
    <w:p w14:paraId="25F3F4A7" w14:textId="64E7CF14" w:rsidR="00F10ABE" w:rsidRPr="00F10ABE" w:rsidRDefault="00F10ABE">
      <w:pPr>
        <w:pStyle w:val="FootnoteText"/>
        <w:rPr>
          <w:lang w:val="en-US"/>
        </w:rPr>
      </w:pPr>
      <w:r>
        <w:rPr>
          <w:rStyle w:val="FootnoteReference"/>
        </w:rPr>
        <w:footnoteRef/>
      </w:r>
      <w:r>
        <w:t xml:space="preserve"> </w:t>
      </w:r>
      <w:r w:rsidRPr="00925404">
        <w:rPr>
          <w:rFonts w:asciiTheme="minorHAnsi" w:hAnsiTheme="minorHAnsi"/>
          <w:sz w:val="16"/>
          <w:szCs w:val="16"/>
        </w:rPr>
        <w:fldChar w:fldCharType="begin"/>
      </w:r>
      <w:r w:rsidR="0095634A">
        <w:rPr>
          <w:rFonts w:asciiTheme="minorHAnsi" w:hAnsiTheme="minorHAnsi"/>
          <w:sz w:val="16"/>
          <w:szCs w:val="16"/>
        </w:rPr>
        <w:instrText xml:space="preserve"> ADDIN ZOTERO_ITEM CSL_CITATION {"citationID":"UeoueAaD","properties":{"formattedCitation":"Mohammad Hashim Kamali, {\\i{}Principles of Islamic Jurisprudence} (Islamic texts society Cambridge, 1991).","plainCitation":"Mohammad Hashim Kamali, Principles of Islamic Jurisprudence (Islamic texts society Cambridge, 1991).","noteIndex":11},"citationItems":[{"id":39,"uris":["http://zotero.org/users/local/PxK9EVr5/items/UPCYBEY3","http://zotero.org/users/13503244/items/UPCYBEY3"],"itemData":{"id":39,"type":"book","ISBN":"0-946621-24-1","publisher":"Islamic texts society Cambridge","title":"Principles of Islamic jurisprudence","author":[{"family":"Kamali","given":"Mohammad Hashim"}],"issued":{"date-parts":[["1991"]]}}}],"schema":"https://github.com/citation-style-language/schema/raw/master/csl-citation.json"} </w:instrText>
      </w:r>
      <w:r w:rsidRPr="00925404">
        <w:rPr>
          <w:rFonts w:asciiTheme="minorHAnsi" w:hAnsiTheme="minorHAnsi"/>
          <w:sz w:val="16"/>
          <w:szCs w:val="16"/>
        </w:rPr>
        <w:fldChar w:fldCharType="separate"/>
      </w:r>
      <w:r w:rsidR="0095634A" w:rsidRPr="0095634A">
        <w:rPr>
          <w:rFonts w:ascii="Cambria" w:hAnsi="Cambria" w:cs="Times New Roman"/>
          <w:sz w:val="16"/>
          <w:szCs w:val="24"/>
        </w:rPr>
        <w:t xml:space="preserve">Mohammad Hashim Kamali, </w:t>
      </w:r>
      <w:r w:rsidR="0095634A" w:rsidRPr="0095634A">
        <w:rPr>
          <w:rFonts w:ascii="Cambria" w:hAnsi="Cambria" w:cs="Times New Roman"/>
          <w:i/>
          <w:iCs/>
          <w:sz w:val="16"/>
          <w:szCs w:val="24"/>
        </w:rPr>
        <w:t>Principles of Islamic Jurisprudence</w:t>
      </w:r>
      <w:r w:rsidR="0095634A" w:rsidRPr="0095634A">
        <w:rPr>
          <w:rFonts w:ascii="Cambria" w:hAnsi="Cambria" w:cs="Times New Roman"/>
          <w:sz w:val="16"/>
          <w:szCs w:val="24"/>
        </w:rPr>
        <w:t xml:space="preserve"> (</w:t>
      </w:r>
      <w:r w:rsidR="0095634A" w:rsidRPr="00B71275">
        <w:rPr>
          <w:rFonts w:ascii="Cambria" w:hAnsi="Cambria" w:cs="Times New Roman"/>
          <w:i/>
          <w:iCs/>
          <w:sz w:val="16"/>
          <w:szCs w:val="24"/>
        </w:rPr>
        <w:t>Islamic texts society Cambridge</w:t>
      </w:r>
      <w:r w:rsidR="0095634A" w:rsidRPr="0095634A">
        <w:rPr>
          <w:rFonts w:ascii="Cambria" w:hAnsi="Cambria" w:cs="Times New Roman"/>
          <w:sz w:val="16"/>
          <w:szCs w:val="24"/>
        </w:rPr>
        <w:t>, 1991).</w:t>
      </w:r>
      <w:r w:rsidRPr="00925404">
        <w:rPr>
          <w:rFonts w:asciiTheme="minorHAnsi" w:hAnsiTheme="minorHAnsi"/>
          <w:sz w:val="16"/>
          <w:szCs w:val="16"/>
        </w:rPr>
        <w:fldChar w:fldCharType="end"/>
      </w:r>
    </w:p>
  </w:footnote>
  <w:footnote w:id="13">
    <w:p w14:paraId="53A789FC" w14:textId="2E189BD2" w:rsidR="00CC4A88" w:rsidRDefault="00CC4A88">
      <w:pPr>
        <w:pStyle w:val="FootnoteText"/>
        <w:rPr>
          <w:rtl/>
          <w:lang w:bidi="ar-EG"/>
        </w:rPr>
      </w:pPr>
      <w:r>
        <w:rPr>
          <w:rStyle w:val="FootnoteReference"/>
        </w:rPr>
        <w:footnoteRef/>
      </w:r>
      <w:r>
        <w:t xml:space="preserve"> </w:t>
      </w:r>
      <w:r>
        <w:fldChar w:fldCharType="begin"/>
      </w:r>
      <w:r w:rsidR="0095634A">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(2020).","noteIndex":12},"citationItems":[{"id":7,"uris":["http://zotero.org/users/local/PxK9EVr5/items/A8Q5GCP5","http://zotero.org/users/13503244/items/A8Q5GCP5"],"itemData":{"id":7,"type":"article-journal","abstract":"Kajian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fldChar w:fldCharType="separate"/>
      </w:r>
      <w:r w:rsidR="0095634A" w:rsidRPr="00B71275">
        <w:rPr>
          <w:rFonts w:asciiTheme="minorHAnsi" w:hAnsiTheme="minorHAnsi" w:cs="Times New Roman"/>
          <w:sz w:val="16"/>
          <w:szCs w:val="16"/>
        </w:rPr>
        <w:t xml:space="preserve">M Hussin and M H Kamal, “Gaya Bahasa ’Aṭf Dengan Waw Dalam Surah Al-Rūm: The Speech Act of ’Aṭf with Waw in Surah al-Rūm,” </w:t>
      </w:r>
      <w:r w:rsidR="0095634A" w:rsidRPr="00B71275">
        <w:rPr>
          <w:rFonts w:asciiTheme="minorHAnsi" w:hAnsiTheme="minorHAnsi" w:cs="Times New Roman"/>
          <w:i/>
          <w:iCs/>
          <w:sz w:val="16"/>
          <w:szCs w:val="16"/>
        </w:rPr>
        <w:t>’Abqari Journal</w:t>
      </w:r>
      <w:r w:rsidR="0095634A">
        <w:rPr>
          <w:rFonts w:ascii="Times New Roman" w:hAnsi="Times New Roman" w:cs="Times New Roman"/>
          <w:sz w:val="24"/>
          <w:szCs w:val="24"/>
        </w:rPr>
        <w:t xml:space="preserve"> </w:t>
      </w:r>
      <w:r w:rsidR="0095634A" w:rsidRPr="00B71275">
        <w:rPr>
          <w:rFonts w:ascii="Sakkal Majalla" w:hAnsi="Sakkal Majalla" w:cs="Sakkal Majalla" w:hint="cs"/>
          <w:sz w:val="24"/>
          <w:szCs w:val="24"/>
        </w:rPr>
        <w:t>(2020).</w:t>
      </w:r>
      <w:r>
        <w:fldChar w:fldCharType="end"/>
      </w:r>
    </w:p>
  </w:footnote>
  <w:footnote w:id="14">
    <w:p w14:paraId="544CEF99" w14:textId="1ED0896C" w:rsidR="007A4BA3" w:rsidRPr="007A4BA3" w:rsidRDefault="007A4BA3">
      <w:pPr>
        <w:pStyle w:val="FootnoteText"/>
        <w:rPr>
          <w:lang w:val="en-US"/>
        </w:rPr>
      </w:pPr>
      <w:r>
        <w:rPr>
          <w:rStyle w:val="FootnoteReference"/>
        </w:rPr>
        <w:footnoteRef/>
      </w:r>
      <w:r>
        <w:t xml:space="preserve"> </w:t>
      </w:r>
      <w:r>
        <w:fldChar w:fldCharType="begin"/>
      </w:r>
      <w:r w:rsidR="0095634A">
        <w:instrText xml:space="preserve"> ADDIN ZOTERO_ITEM CSL_CITATION {"citationID":"qnoTLQKC","properties":{"formattedCitation":"Didik Hariyanto, Fauziah Anis Afifah, and Arich H Anshorullah, \\uc0\\u8220{}NILAI-NILAI PENDIDIKAN TAUHID PADA ANAK DALAM QS. AR-RUM,\\uc0\\u8221{} {\\i{}Jurnal Teknologi Pendidikan} 10, no. 1 (2021).","plainCitation":"Didik Hariyanto, Fauziah Anis Afifah, and Arich H Anshorullah, “NILAI-NILAI PENDIDIKAN TAUHID PADA ANAK DALAM QS. AR-RUM,” Jurnal Teknologi Pendidikan 10, no. 1 (2021).","noteIndex":13},"citationItems":[{"id":27,"uris":["http://zotero.org/users/local/PxK9EVr5/items/8H4GUJS5","http://zotero.org/users/13503244/items/8H4GUJS5"],"itemData":{"id":27,"type":"article-journal","container-title":"Jurnal Teknologi Pendidikan","ISSN":"2614-7785","issue":"1","journalAbbreviation":"Jurnal Teknologi Pendidikan","title":"NILAI-NILAI PENDIDIKAN TAUHID PADA ANAK DALAM QS. AR-RUM","volume":"10","author":[{"family":"Hariyanto","given":"Didik"},{"family":"Afifah","given":"Fauziah Anis"},{"family":"Anshorullah","given":"Arich H"}],"issued":{"date-parts":[["2021"]]}}}],"schema":"https://github.com/citation-style-language/schema/raw/master/csl-citation.json"} </w:instrText>
      </w:r>
      <w:r>
        <w:fldChar w:fldCharType="separate"/>
      </w:r>
      <w:r w:rsidR="0095634A" w:rsidRPr="00B71275">
        <w:rPr>
          <w:rFonts w:asciiTheme="minorHAnsi" w:hAnsiTheme="minorHAnsi" w:cs="Times New Roman"/>
          <w:sz w:val="16"/>
          <w:szCs w:val="16"/>
        </w:rPr>
        <w:t xml:space="preserve">Didik Hariyanto, Fauziah Anis Afifah, and Arich H Anshorullah, “NILAI-NILAI PENDIDIKAN TAUHID PADA ANAK DALAM QS. AR-RUM,” </w:t>
      </w:r>
      <w:r w:rsidR="0095634A" w:rsidRPr="00B71275">
        <w:rPr>
          <w:rFonts w:asciiTheme="minorHAnsi" w:hAnsiTheme="minorHAnsi" w:cs="Times New Roman"/>
          <w:i/>
          <w:iCs/>
          <w:sz w:val="16"/>
          <w:szCs w:val="16"/>
        </w:rPr>
        <w:t>Jurnal Teknologi Pendidikan</w:t>
      </w:r>
      <w:r w:rsidR="0095634A" w:rsidRPr="00B71275">
        <w:rPr>
          <w:rFonts w:asciiTheme="minorHAnsi" w:hAnsiTheme="minorHAnsi" w:cs="Times New Roman"/>
          <w:sz w:val="16"/>
          <w:szCs w:val="16"/>
        </w:rPr>
        <w:t xml:space="preserve"> </w:t>
      </w:r>
      <w:r w:rsidR="0095634A" w:rsidRPr="00B71275">
        <w:rPr>
          <w:rFonts w:ascii="Sakkal Majalla" w:hAnsi="Sakkal Majalla" w:cs="Sakkal Majalla" w:hint="cs"/>
          <w:sz w:val="24"/>
          <w:szCs w:val="24"/>
        </w:rPr>
        <w:t>10, no. 1 (2021)</w:t>
      </w:r>
      <w:r w:rsidR="0095634A">
        <w:rPr>
          <w:rFonts w:ascii="Times New Roman" w:hAnsi="Times New Roman" w:cs="Times New Roman"/>
          <w:sz w:val="24"/>
          <w:szCs w:val="24"/>
        </w:rPr>
        <w:t>.</w:t>
      </w:r>
      <w:r>
        <w:fldChar w:fldCharType="end"/>
      </w:r>
    </w:p>
  </w:footnote>
  <w:footnote w:id="15">
    <w:p w14:paraId="7AC157A4" w14:textId="72A4DCDB" w:rsidR="00CE6A9E" w:rsidRPr="00CE6A9E" w:rsidRDefault="00CE6A9E" w:rsidP="00B71275">
      <w:pPr>
        <w:pStyle w:val="FootnoteText"/>
        <w:bidi/>
        <w:rPr>
          <w:lang w:val="en-US"/>
        </w:rPr>
      </w:pPr>
      <w:r>
        <w:rPr>
          <w:rStyle w:val="FootnoteReference"/>
        </w:rPr>
        <w:footnoteRef/>
      </w:r>
      <w:r>
        <w:t xml:space="preserve"> </w:t>
      </w:r>
      <w:r>
        <w:rPr>
          <w:rFonts w:hint="cs"/>
          <w:rtl/>
        </w:rPr>
        <w:t xml:space="preserve"> </w:t>
      </w:r>
      <w:r w:rsidRPr="001E40E2">
        <w:rPr>
          <w:rFonts w:ascii="Sakkal Majalla" w:hAnsi="Sakkal Majalla" w:cs="Sakkal Majalla" w:hint="cs"/>
          <w:sz w:val="24"/>
          <w:szCs w:val="24"/>
          <w:rtl/>
          <w:lang w:val="id-ID"/>
        </w:rPr>
        <w:t xml:space="preserve">المرجع السابق, </w:t>
      </w:r>
      <w:r w:rsidRPr="001E40E2">
        <w:rPr>
          <w:rFonts w:ascii="Sakkal Majalla" w:hAnsi="Sakkal Majalla" w:cs="Sakkal Majalla" w:hint="cs"/>
          <w:sz w:val="24"/>
          <w:szCs w:val="24"/>
          <w:rtl/>
        </w:rPr>
        <w:t xml:space="preserve">فجري كاميلايني أمة </w:t>
      </w:r>
      <w:r w:rsidRPr="001E40E2">
        <w:rPr>
          <w:rFonts w:ascii="Sakkal Majalla" w:hAnsi="Sakkal Majalla" w:cs="Sakkal Majalla"/>
          <w:sz w:val="24"/>
          <w:szCs w:val="24"/>
          <w:rtl/>
        </w:rPr>
        <w:t>و</w:t>
      </w:r>
      <w:r w:rsidRPr="001E40E2">
        <w:rPr>
          <w:rFonts w:ascii="Sakkal Majalla" w:hAnsi="Sakkal Majalla" w:cs="Sakkal Majalla" w:hint="cs"/>
          <w:sz w:val="24"/>
          <w:szCs w:val="24"/>
          <w:rtl/>
        </w:rPr>
        <w:t xml:space="preserve"> </w:t>
      </w:r>
      <w:r w:rsidRPr="001E40E2">
        <w:rPr>
          <w:rFonts w:ascii="Sakkal Majalla" w:hAnsi="Sakkal Majalla" w:cs="Sakkal Majalla"/>
          <w:sz w:val="24"/>
          <w:szCs w:val="24"/>
          <w:rtl/>
        </w:rPr>
        <w:t>آخرون</w:t>
      </w:r>
      <w:r w:rsidRPr="001E40E2">
        <w:rPr>
          <w:rFonts w:ascii="Sakkal Majalla" w:hAnsi="Sakkal Majalla" w:cs="Sakkal Majalla" w:hint="cs"/>
          <w:sz w:val="24"/>
          <w:szCs w:val="24"/>
          <w:rtl/>
        </w:rPr>
        <w:t xml:space="preserve"> , ص </w:t>
      </w:r>
      <w:r w:rsidRPr="001E40E2">
        <w:rPr>
          <w:rFonts w:ascii="Sakkal Majalla" w:hAnsi="Sakkal Majalla" w:cs="Sakkal Majalla" w:hint="cs"/>
          <w:szCs w:val="24"/>
          <w:rtl/>
        </w:rPr>
        <w:t>424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12"/>
  </w:num>
  <w:num w:numId="4">
    <w:abstractNumId w:val="2"/>
  </w:num>
  <w:num w:numId="5">
    <w:abstractNumId w:val="0"/>
  </w:num>
  <w:num w:numId="6">
    <w:abstractNumId w:val="8"/>
  </w:num>
  <w:num w:numId="7">
    <w:abstractNumId w:val="5"/>
  </w:num>
  <w:num w:numId="8">
    <w:abstractNumId w:val="9"/>
  </w:num>
  <w:num w:numId="9">
    <w:abstractNumId w:val="6"/>
  </w:num>
  <w:num w:numId="10">
    <w:abstractNumId w:val="7"/>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20CEF"/>
    <w:rsid w:val="00054AEB"/>
    <w:rsid w:val="001474CC"/>
    <w:rsid w:val="0017107B"/>
    <w:rsid w:val="00195D2D"/>
    <w:rsid w:val="001D4ECA"/>
    <w:rsid w:val="001D7ACC"/>
    <w:rsid w:val="001E40E2"/>
    <w:rsid w:val="00200010"/>
    <w:rsid w:val="0022341C"/>
    <w:rsid w:val="00240488"/>
    <w:rsid w:val="00254E46"/>
    <w:rsid w:val="00280CAB"/>
    <w:rsid w:val="002A384D"/>
    <w:rsid w:val="002B0C14"/>
    <w:rsid w:val="002C133E"/>
    <w:rsid w:val="00301207"/>
    <w:rsid w:val="00323870"/>
    <w:rsid w:val="00350C69"/>
    <w:rsid w:val="0035638E"/>
    <w:rsid w:val="0038323A"/>
    <w:rsid w:val="00383D90"/>
    <w:rsid w:val="003846B8"/>
    <w:rsid w:val="00385360"/>
    <w:rsid w:val="00387301"/>
    <w:rsid w:val="00403303"/>
    <w:rsid w:val="00407A61"/>
    <w:rsid w:val="004351D0"/>
    <w:rsid w:val="00440AD6"/>
    <w:rsid w:val="00484BD7"/>
    <w:rsid w:val="00497BC3"/>
    <w:rsid w:val="0051790B"/>
    <w:rsid w:val="00535146"/>
    <w:rsid w:val="00535903"/>
    <w:rsid w:val="00544CA5"/>
    <w:rsid w:val="005456E8"/>
    <w:rsid w:val="00581ABE"/>
    <w:rsid w:val="005855C6"/>
    <w:rsid w:val="005A14C5"/>
    <w:rsid w:val="00633869"/>
    <w:rsid w:val="006B7E81"/>
    <w:rsid w:val="006C5C2F"/>
    <w:rsid w:val="00707BBE"/>
    <w:rsid w:val="00725996"/>
    <w:rsid w:val="007268B1"/>
    <w:rsid w:val="00734146"/>
    <w:rsid w:val="0077677E"/>
    <w:rsid w:val="00784217"/>
    <w:rsid w:val="00795439"/>
    <w:rsid w:val="007A010A"/>
    <w:rsid w:val="007A2189"/>
    <w:rsid w:val="007A4BA3"/>
    <w:rsid w:val="007C0E29"/>
    <w:rsid w:val="007D0732"/>
    <w:rsid w:val="007F449E"/>
    <w:rsid w:val="007F75D7"/>
    <w:rsid w:val="00807ED1"/>
    <w:rsid w:val="00825822"/>
    <w:rsid w:val="00827E47"/>
    <w:rsid w:val="008426E1"/>
    <w:rsid w:val="00866FD1"/>
    <w:rsid w:val="00893034"/>
    <w:rsid w:val="008B5FAC"/>
    <w:rsid w:val="008D13D3"/>
    <w:rsid w:val="00925404"/>
    <w:rsid w:val="009424FF"/>
    <w:rsid w:val="0095634A"/>
    <w:rsid w:val="0099774D"/>
    <w:rsid w:val="009A3A2D"/>
    <w:rsid w:val="009B0108"/>
    <w:rsid w:val="009B74D0"/>
    <w:rsid w:val="009C3634"/>
    <w:rsid w:val="009E3339"/>
    <w:rsid w:val="009F73E6"/>
    <w:rsid w:val="00A14F25"/>
    <w:rsid w:val="00A16E77"/>
    <w:rsid w:val="00A458A1"/>
    <w:rsid w:val="00A56225"/>
    <w:rsid w:val="00A96665"/>
    <w:rsid w:val="00AD4B59"/>
    <w:rsid w:val="00AF1154"/>
    <w:rsid w:val="00B10753"/>
    <w:rsid w:val="00B11348"/>
    <w:rsid w:val="00B256F6"/>
    <w:rsid w:val="00B45339"/>
    <w:rsid w:val="00B71275"/>
    <w:rsid w:val="00BC385A"/>
    <w:rsid w:val="00C15C2D"/>
    <w:rsid w:val="00C2024C"/>
    <w:rsid w:val="00C36F26"/>
    <w:rsid w:val="00C73AD3"/>
    <w:rsid w:val="00C8674D"/>
    <w:rsid w:val="00CC3E5E"/>
    <w:rsid w:val="00CC4A88"/>
    <w:rsid w:val="00CD4924"/>
    <w:rsid w:val="00CE6619"/>
    <w:rsid w:val="00CE6A9E"/>
    <w:rsid w:val="00D11F9E"/>
    <w:rsid w:val="00D13D3B"/>
    <w:rsid w:val="00D2545A"/>
    <w:rsid w:val="00D4059F"/>
    <w:rsid w:val="00D4159E"/>
    <w:rsid w:val="00D56CD6"/>
    <w:rsid w:val="00D945C1"/>
    <w:rsid w:val="00DA4B68"/>
    <w:rsid w:val="00E030C2"/>
    <w:rsid w:val="00E22804"/>
    <w:rsid w:val="00E51D98"/>
    <w:rsid w:val="00E7704A"/>
    <w:rsid w:val="00E80379"/>
    <w:rsid w:val="00E85994"/>
    <w:rsid w:val="00ED0B53"/>
    <w:rsid w:val="00ED3164"/>
    <w:rsid w:val="00EE6EE4"/>
    <w:rsid w:val="00F04AF6"/>
    <w:rsid w:val="00F062A0"/>
    <w:rsid w:val="00F063DA"/>
    <w:rsid w:val="00F10ABE"/>
    <w:rsid w:val="00F15A66"/>
    <w:rsid w:val="00F363BB"/>
    <w:rsid w:val="00F440B6"/>
    <w:rsid w:val="00F4715A"/>
    <w:rsid w:val="00F50054"/>
    <w:rsid w:val="00F519B8"/>
    <w:rsid w:val="00F83BE1"/>
    <w:rsid w:val="00F849FE"/>
    <w:rsid w:val="00FB5060"/>
    <w:rsid w:val="00FC22E4"/>
    <w:rsid w:val="00FE410C"/>
    <w:rsid w:val="00FF7D4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9</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27</cp:revision>
  <cp:lastPrinted>2024-01-31T16:52:00Z</cp:lastPrinted>
  <dcterms:created xsi:type="dcterms:W3CDTF">2023-12-31T16:11:00Z</dcterms:created>
  <dcterms:modified xsi:type="dcterms:W3CDTF">2024-02-06T09:43:00Z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id="F86gao7W"/&gt;&lt;style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