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EDF37" w14:textId="77777777" w:rsidR="00F440B6" w:rsidRPr="00C22725" w:rsidRDefault="00A84C65" w:rsidP="00C22725">
      <w:pPr>
        <w:pStyle w:val="Heading1"/>
        <w:bidi/>
        <w:jc w:val="center"/>
        <w:rPr>
          <w:rFonts w:ascii="Sakkal Majalla" w:hAnsi="Sakkal Majalla" w:cs="Sakkal Majalla" w:hint="cs"/>
          <w:b/>
          <w:bCs/>
          <w:sz w:val="36"/>
          <w:szCs w:val="36"/>
          <w:highlight w:val="white"/>
        </w:rPr>
      </w:pPr>
      <w:r w:rsidRPr="00C22725">
        <w:rPr>
          <w:rFonts w:ascii="Sakkal Majalla" w:hAnsi="Sakkal Majalla" w:cs="Sakkal Majalla" w:hint="cs"/>
          <w:b/>
          <w:bCs/>
          <w:sz w:val="36"/>
          <w:szCs w:val="36"/>
          <w:highlight w:val="white"/>
          <w:rtl/>
        </w:rPr>
        <w:t>الباب الثاني: الدراسة النظرية</w:t>
      </w:r>
    </w:p>
    <w:p w14:paraId="42F6053E" w14:textId="77777777" w:rsidR="00F440B6" w:rsidRPr="001474CC" w:rsidRDefault="00F440B6"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7333E134" w14:textId="77777777" w:rsidR="00F440B6" w:rsidRPr="00C22725" w:rsidRDefault="00A84C65" w:rsidP="00C22725">
      <w:pPr>
        <w:pStyle w:val="Heading2"/>
        <w:bidi/>
        <w:rPr>
          <w:rFonts w:ascii="Sakkal Majalla" w:hAnsi="Sakkal Majalla" w:cs="Sakkal Majalla" w:hint="cs"/>
          <w:b/>
          <w:bCs/>
          <w:sz w:val="36"/>
          <w:szCs w:val="36"/>
          <w:highlight w:val="white"/>
        </w:rPr>
      </w:pPr>
      <w:r w:rsidRPr="00C22725">
        <w:rPr>
          <w:rFonts w:ascii="Sakkal Majalla" w:hAnsi="Sakkal Majalla" w:cs="Sakkal Majalla" w:hint="cs"/>
          <w:b/>
          <w:bCs/>
          <w:sz w:val="36"/>
          <w:szCs w:val="36"/>
          <w:highlight w:val="white"/>
          <w:rtl/>
        </w:rPr>
        <w:t>أ. الوصف المفاهمي</w:t>
      </w:r>
    </w:p>
    <w:p w14:paraId="2853853F" w14:textId="54F63C10" w:rsidR="00F440B6" w:rsidRPr="00C22725" w:rsidRDefault="00E905E6" w:rsidP="00C22725">
      <w:pPr>
        <w:pStyle w:val="Heading3"/>
        <w:bidi/>
        <w:rPr>
          <w:rFonts w:ascii="Sakkal Majalla" w:hAnsi="Sakkal Majalla" w:cs="Sakkal Majalla" w:hint="cs"/>
          <w:b/>
          <w:bCs/>
          <w:sz w:val="36"/>
          <w:szCs w:val="36"/>
          <w:highlight w:val="white"/>
        </w:rPr>
      </w:pPr>
      <w:r w:rsidRPr="00C22725">
        <w:rPr>
          <w:rFonts w:ascii="Sakkal Majalla" w:hAnsi="Sakkal Majalla" w:cs="Sakkal Majalla" w:hint="cs"/>
          <w:b/>
          <w:bCs/>
          <w:sz w:val="36"/>
          <w:szCs w:val="36"/>
          <w:highlight w:val="white"/>
          <w:rtl/>
        </w:rPr>
        <w:t>1</w:t>
      </w:r>
      <w:r w:rsidR="00C22725" w:rsidRPr="00C22725">
        <w:rPr>
          <w:rFonts w:ascii="Sakkal Majalla" w:hAnsi="Sakkal Majalla" w:cs="Sakkal Majalla" w:hint="cs"/>
          <w:b/>
          <w:bCs/>
          <w:sz w:val="36"/>
          <w:szCs w:val="36"/>
          <w:highlight w:val="white"/>
          <w:rtl/>
        </w:rPr>
        <w:t xml:space="preserve">. </w:t>
      </w:r>
      <w:r w:rsidR="00C22725">
        <w:rPr>
          <w:rFonts w:ascii="Sakkal Majalla" w:hAnsi="Sakkal Majalla" w:cs="Sakkal Majalla" w:hint="cs"/>
          <w:b/>
          <w:bCs/>
          <w:sz w:val="36"/>
          <w:szCs w:val="36"/>
          <w:highlight w:val="white"/>
          <w:rtl/>
        </w:rPr>
        <w:t xml:space="preserve">مفهوم </w:t>
      </w:r>
      <w:r w:rsidR="00564892" w:rsidRPr="00C22725">
        <w:rPr>
          <w:rFonts w:ascii="Sakkal Majalla" w:hAnsi="Sakkal Majalla" w:cs="Sakkal Majalla" w:hint="cs"/>
          <w:b/>
          <w:bCs/>
          <w:sz w:val="36"/>
          <w:szCs w:val="36"/>
          <w:highlight w:val="white"/>
          <w:rtl/>
          <w:lang w:bidi="ar-EG"/>
        </w:rPr>
        <w:t xml:space="preserve">علم </w:t>
      </w:r>
      <w:r w:rsidRPr="00C22725">
        <w:rPr>
          <w:rFonts w:ascii="Sakkal Majalla" w:hAnsi="Sakkal Majalla" w:cs="Sakkal Majalla" w:hint="cs"/>
          <w:b/>
          <w:bCs/>
          <w:sz w:val="36"/>
          <w:szCs w:val="36"/>
          <w:highlight w:val="white"/>
          <w:rtl/>
        </w:rPr>
        <w:t xml:space="preserve">البَلَاغَة </w:t>
      </w:r>
    </w:p>
    <w:p w14:paraId="631C8E15" w14:textId="47CF139E" w:rsidR="003B0C26" w:rsidRDefault="00A84C65" w:rsidP="003B0C26">
      <w:pPr>
        <w:bidi/>
        <w:spacing w:line="360" w:lineRule="auto"/>
        <w:ind w:firstLine="63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8B203A">
      <w:pPr>
        <w:bidi/>
        <w:spacing w:line="360" w:lineRule="auto"/>
        <w:ind w:firstLine="63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t xml:space="preserve">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w:t>
      </w:r>
      <w:r w:rsidRPr="003B0C26">
        <w:rPr>
          <w:rFonts w:ascii="Sakkal Majalla" w:eastAsia="Noto Naskh Arabic" w:hAnsi="Sakkal Majalla" w:cs="Sakkal Majalla"/>
          <w:color w:val="27272A"/>
          <w:sz w:val="36"/>
          <w:szCs w:val="36"/>
          <w:rtl/>
        </w:rPr>
        <w:lastRenderedPageBreak/>
        <w:t>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68AD20E9" w14:textId="7C7A7447" w:rsidR="003B0C26" w:rsidRDefault="00392157" w:rsidP="003B0C26">
      <w:pPr>
        <w:bidi/>
        <w:spacing w:line="360" w:lineRule="auto"/>
        <w:ind w:firstLine="630"/>
        <w:jc w:val="both"/>
        <w:rPr>
          <w:rFonts w:ascii="Sakkal Majalla" w:eastAsia="Noto Naskh Arabic" w:hAnsi="Sakkal Majalla" w:cs="Sakkal Majalla"/>
          <w:color w:val="27272A"/>
          <w:sz w:val="36"/>
          <w:szCs w:val="36"/>
        </w:rPr>
      </w:pPr>
      <w:r w:rsidRPr="00392157">
        <w:rPr>
          <w:rFonts w:ascii="Sakkal Majalla" w:eastAsia="Noto Naskh Arabic" w:hAnsi="Sakkal Majalla" w:cs="Sakkal Majalla"/>
          <w:color w:val="27272A"/>
          <w:sz w:val="36"/>
          <w:szCs w:val="36"/>
          <w:rtl/>
        </w:rPr>
        <w:t>أهل البلاغة كمشاهير الرسامين، الفارق يكمن في أن الرسام يخلق الجمال من خلال عناصر الخطوط والأشكال والألوان التي يختارها بعناية لتظهر وتؤثر في الناظرين. أما أهل البلاغة، فيخلقون جمالًا من تناغم الجمل والمعاني الرفيعة، ودور العواطف وفقًا للمكان والزمان والموضوع وظروف السامعين، بحيث يكون لهم تأثير قوي على نفوس السامعين.</w:t>
      </w:r>
      <w:r>
        <w:rPr>
          <w:rStyle w:val="FootnoteReference"/>
          <w:rFonts w:ascii="Sakkal Majalla" w:eastAsia="Noto Naskh Arabic" w:hAnsi="Sakkal Majalla" w:cs="Sakkal Majalla"/>
          <w:color w:val="27272A"/>
          <w:sz w:val="36"/>
          <w:szCs w:val="36"/>
          <w:rtl/>
        </w:rPr>
        <w:footnoteReference w:id="3"/>
      </w:r>
    </w:p>
    <w:p w14:paraId="00CBD44A" w14:textId="5B7C9C1A" w:rsidR="00392157" w:rsidRDefault="00392157" w:rsidP="00392157">
      <w:pPr>
        <w:bidi/>
        <w:spacing w:line="360" w:lineRule="auto"/>
        <w:ind w:firstLine="630"/>
        <w:jc w:val="both"/>
        <w:rPr>
          <w:rFonts w:ascii="Sakkal Majalla" w:eastAsia="Noto Naskh Arabic" w:hAnsi="Sakkal Majalla" w:cs="Sakkal Majalla"/>
          <w:color w:val="27272A"/>
          <w:sz w:val="36"/>
          <w:szCs w:val="36"/>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4"/>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5"/>
      </w:r>
    </w:p>
    <w:p w14:paraId="567D7CBE" w14:textId="77777777" w:rsidR="00392157" w:rsidRDefault="00392157" w:rsidP="00392157">
      <w:pPr>
        <w:bidi/>
        <w:spacing w:line="360" w:lineRule="auto"/>
        <w:ind w:firstLine="630"/>
        <w:jc w:val="both"/>
        <w:rPr>
          <w:rFonts w:ascii="Sakkal Majalla" w:eastAsia="Noto Naskh Arabic" w:hAnsi="Sakkal Majalla" w:cs="Sakkal Majalla"/>
          <w:color w:val="27272A"/>
          <w:sz w:val="36"/>
          <w:szCs w:val="36"/>
          <w:rtl/>
        </w:rPr>
      </w:pPr>
    </w:p>
    <w:p w14:paraId="0971308D" w14:textId="77777777" w:rsidR="008E2A0C" w:rsidRDefault="008E2A0C" w:rsidP="008B203A">
      <w:pPr>
        <w:bidi/>
        <w:spacing w:line="360" w:lineRule="auto"/>
        <w:ind w:firstLine="630"/>
        <w:jc w:val="both"/>
        <w:rPr>
          <w:rFonts w:ascii="Sakkal Majalla" w:eastAsia="Noto Naskh Arabic" w:hAnsi="Sakkal Majalla" w:cs="Sakkal Majalla"/>
          <w:color w:val="27272A"/>
          <w:sz w:val="36"/>
          <w:szCs w:val="36"/>
        </w:rPr>
      </w:pPr>
      <w:r w:rsidRPr="008E2A0C">
        <w:rPr>
          <w:rFonts w:ascii="Sakkal Majalla" w:eastAsia="Noto Naskh Arabic" w:hAnsi="Sakkal Majalla" w:cs="Sakkal Majalla"/>
          <w:color w:val="27272A"/>
          <w:sz w:val="36"/>
          <w:szCs w:val="36"/>
          <w:rtl/>
        </w:rPr>
        <w:lastRenderedPageBreak/>
        <w:t>إنه معروف بشكل عام أن علم البلاغة هو أحد فروع أساسيات اللغة العربية الذي يتناول أساليب اللغة العربية ذاتها، سواء كان ذلك شفويًا أو كتابيًا.</w:t>
      </w:r>
    </w:p>
    <w:p w14:paraId="46DF1133" w14:textId="4E0FE0A0" w:rsidR="008E2A0C" w:rsidRDefault="008E2A0C" w:rsidP="008B203A">
      <w:pPr>
        <w:bidi/>
        <w:spacing w:line="360" w:lineRule="auto"/>
        <w:ind w:firstLine="630"/>
        <w:jc w:val="both"/>
        <w:rPr>
          <w:rFonts w:ascii="Sakkal Majalla" w:eastAsia="Noto Naskh Arabic" w:hAnsi="Sakkal Majalla" w:cs="Sakkal Majalla"/>
          <w:color w:val="27272A"/>
          <w:sz w:val="36"/>
          <w:szCs w:val="36"/>
        </w:rPr>
      </w:pPr>
      <w:r w:rsidRPr="008E2A0C">
        <w:rPr>
          <w:rFonts w:ascii="Sakkal Majalla" w:eastAsia="Noto Naskh Arabic" w:hAnsi="Sakkal Majalla" w:cs="Sakkal Majalla"/>
          <w:color w:val="27272A"/>
          <w:sz w:val="36"/>
          <w:szCs w:val="36"/>
          <w:rtl/>
        </w:rPr>
        <w:t>في 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6"/>
      </w:r>
    </w:p>
    <w:p w14:paraId="2CF51961" w14:textId="77777777" w:rsidR="008E2A0C" w:rsidRDefault="008B203A" w:rsidP="008E2A0C">
      <w:pPr>
        <w:bidi/>
        <w:spacing w:line="360" w:lineRule="auto"/>
        <w:ind w:firstLine="630"/>
        <w:jc w:val="both"/>
        <w:rPr>
          <w:rFonts w:ascii="Sakkal Majalla" w:eastAsia="Noto Naskh Arabic" w:hAnsi="Sakkal Majalla" w:cs="Sakkal Majalla"/>
          <w:color w:val="27272A"/>
          <w:sz w:val="36"/>
          <w:szCs w:val="36"/>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7"/>
          </w:r>
        </w:sdtContent>
      </w:sdt>
      <w:r w:rsidRPr="008B203A">
        <w:rPr>
          <w:rFonts w:ascii="Sakkal Majalla" w:eastAsia="Noto Naskh Arabic" w:hAnsi="Sakkal Majalla" w:cs="Sakkal Majalla"/>
          <w:color w:val="27272A"/>
          <w:sz w:val="36"/>
          <w:szCs w:val="36"/>
          <w:rtl/>
        </w:rPr>
        <w:t>.</w:t>
      </w:r>
    </w:p>
    <w:p w14:paraId="3EA9447D" w14:textId="34409732" w:rsidR="00A029BE" w:rsidRPr="00A029BE" w:rsidRDefault="00A029BE" w:rsidP="008E2A0C">
      <w:pPr>
        <w:bidi/>
        <w:spacing w:line="360" w:lineRule="auto"/>
        <w:ind w:firstLine="630"/>
        <w:jc w:val="both"/>
        <w:rPr>
          <w:rFonts w:ascii="Sakkal Majalla" w:eastAsia="Noto Naskh Arabic" w:hAnsi="Sakkal Majalla" w:cs="Sakkal Majalla"/>
          <w:color w:val="27272A"/>
          <w:sz w:val="36"/>
          <w:szCs w:val="36"/>
        </w:rPr>
      </w:pPr>
      <w:r w:rsidRPr="00A029BE">
        <w:rPr>
          <w:rFonts w:ascii="Sakkal Majalla" w:eastAsia="Noto Naskh Arabic" w:hAnsi="Sakkal Majalla" w:cs="Sakkal Majalla"/>
          <w:color w:val="27272A"/>
          <w:sz w:val="36"/>
          <w:szCs w:val="36"/>
          <w:rtl/>
        </w:rPr>
        <w:lastRenderedPageBreak/>
        <w:t>بشكل واضح، يقترب مناقشة علم المعاني من علم النحو، ويقترب علم البيان من شرح اللغة (فقه اللغة)، لأن كليهما، سواء كان علم المعاني أو علم البيان، يركز كل منهما على الكلمة ذات المعنى الفردي (المفردة) بشكل خاص.</w:t>
      </w:r>
    </w:p>
    <w:p w14:paraId="4ECE8D8D" w14:textId="056B03F0" w:rsidR="00A029BE" w:rsidRDefault="00A029BE" w:rsidP="00A029BE">
      <w:pPr>
        <w:bidi/>
        <w:spacing w:line="360" w:lineRule="auto"/>
        <w:ind w:firstLine="630"/>
        <w:jc w:val="both"/>
        <w:rPr>
          <w:rFonts w:ascii="Sakkal Majalla" w:eastAsia="Noto Naskh Arabic" w:hAnsi="Sakkal Majalla" w:cs="Sakkal Majalla"/>
          <w:color w:val="27272A"/>
          <w:sz w:val="36"/>
          <w:szCs w:val="36"/>
        </w:rPr>
      </w:pPr>
      <w:r w:rsidRPr="00A029BE">
        <w:rPr>
          <w:rFonts w:ascii="Sakkal Majalla" w:eastAsia="Noto Naskh Arabic" w:hAnsi="Sakkal Majalla" w:cs="Sakkal Majalla"/>
          <w:color w:val="27272A"/>
          <w:sz w:val="36"/>
          <w:szCs w:val="36"/>
          <w:rtl/>
        </w:rPr>
        <w:t>أما علم البديع، فيتناول دراسة 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582C4A8" w14:textId="7433AF7F" w:rsidR="00C22725" w:rsidRPr="00C22725" w:rsidRDefault="00C22725" w:rsidP="00C77C6C">
      <w:pPr>
        <w:pStyle w:val="Heading4"/>
        <w:numPr>
          <w:ilvl w:val="0"/>
          <w:numId w:val="8"/>
        </w:numPr>
        <w:bidi/>
        <w:spacing w:line="360" w:lineRule="auto"/>
        <w:rPr>
          <w:rFonts w:ascii="Sakkal Majalla" w:hAnsi="Sakkal Majalla" w:cs="Sakkal Majalla" w:hint="cs"/>
          <w:b/>
          <w:bCs/>
          <w:color w:val="000000" w:themeColor="text1"/>
          <w:sz w:val="36"/>
          <w:szCs w:val="36"/>
        </w:rPr>
      </w:pPr>
      <w:r w:rsidRPr="00C22725">
        <w:rPr>
          <w:rFonts w:ascii="Sakkal Majalla" w:hAnsi="Sakkal Majalla" w:cs="Sakkal Majalla" w:hint="cs"/>
          <w:b/>
          <w:bCs/>
          <w:color w:val="000000" w:themeColor="text1"/>
          <w:sz w:val="36"/>
          <w:szCs w:val="36"/>
          <w:rtl/>
        </w:rPr>
        <w:t>دور علم البلاغة في تفسير القرآن الكريم</w:t>
      </w:r>
    </w:p>
    <w:p w14:paraId="12234973" w14:textId="0118E934" w:rsidR="00C77C6C" w:rsidRDefault="00C77C6C" w:rsidP="00CC13B8">
      <w:pPr>
        <w:bidi/>
        <w:spacing w:line="360" w:lineRule="auto"/>
        <w:ind w:left="450" w:firstLine="540"/>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33B7313B" w14:textId="38B66C35" w:rsidR="00C77C6C" w:rsidRDefault="00C77C6C" w:rsidP="00CC13B8">
      <w:pPr>
        <w:bidi/>
        <w:spacing w:line="360" w:lineRule="auto"/>
        <w:ind w:left="450" w:firstLine="540"/>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4961F615" w14:textId="27C169FE" w:rsidR="00C77C6C" w:rsidRDefault="00C77C6C" w:rsidP="00CC13B8">
      <w:pPr>
        <w:bidi/>
        <w:spacing w:line="360" w:lineRule="auto"/>
        <w:ind w:left="450" w:firstLine="540"/>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lastRenderedPageBreak/>
        <w:t>من بعض المعلومات أعلاه، يمكن استخلاص استنتاج أن علم البلاغة يحتل مكانة عالية في ميدان تفسير القرآن الكريم. إتقان أو اتساق المتدبر مع هذا العلم يعد شرطًا أساسيًا إلى جانب الشروط الأخرى. من خلال هذا العلم، يمكن فتح أبواب معجزات القرآن الموجودة وراء كلماته، حتى يظهر في قمة وضوحه أن القرآن هو كلام الله وليس كلام الإنسان.</w:t>
      </w:r>
      <w:r w:rsidR="00781C76">
        <w:rPr>
          <w:rStyle w:val="FootnoteReference"/>
          <w:rFonts w:ascii="Sakkal Majalla" w:eastAsia="Noto Naskh Arabic" w:hAnsi="Sakkal Majalla" w:cs="Sakkal Majalla"/>
          <w:color w:val="000000" w:themeColor="text1"/>
          <w:sz w:val="36"/>
          <w:szCs w:val="36"/>
          <w:rtl/>
          <w:lang w:bidi="ar-EG"/>
        </w:rPr>
        <w:footnoteReference w:id="8"/>
      </w:r>
    </w:p>
    <w:p w14:paraId="05CC0773" w14:textId="43A89C8F" w:rsidR="00781C76" w:rsidRDefault="00781C76" w:rsidP="00781C76">
      <w:pPr>
        <w:bidi/>
        <w:spacing w:line="360" w:lineRule="auto"/>
        <w:ind w:firstLine="360"/>
        <w:rPr>
          <w:rFonts w:ascii="Sakkal Majalla" w:eastAsia="Noto Naskh Arabic" w:hAnsi="Sakkal Majalla" w:cs="Sakkal Majalla"/>
          <w:color w:val="000000" w:themeColor="text1"/>
          <w:sz w:val="36"/>
          <w:szCs w:val="36"/>
          <w:rtl/>
          <w:lang w:bidi="ar-EG"/>
        </w:rPr>
      </w:pPr>
    </w:p>
    <w:p w14:paraId="368AE554" w14:textId="56610CA9" w:rsidR="00781C76" w:rsidRPr="00781C76" w:rsidRDefault="00781C76" w:rsidP="00781C76">
      <w:pPr>
        <w:pStyle w:val="Heading3"/>
        <w:bidi/>
        <w:rPr>
          <w:rFonts w:ascii="Sakkal Majalla" w:hAnsi="Sakkal Majalla" w:cs="Sakkal Majalla" w:hint="cs"/>
          <w:b/>
          <w:bCs/>
          <w:color w:val="000000" w:themeColor="text1"/>
          <w:sz w:val="36"/>
          <w:szCs w:val="36"/>
          <w:rtl/>
          <w:lang w:bidi="ar-EG"/>
        </w:rPr>
      </w:pPr>
      <w:r>
        <w:rPr>
          <w:rFonts w:ascii="Sakkal Majalla" w:hAnsi="Sakkal Majalla" w:cs="Sakkal Majalla" w:hint="cs"/>
          <w:b/>
          <w:bCs/>
          <w:color w:val="000000" w:themeColor="text1"/>
          <w:sz w:val="36"/>
          <w:szCs w:val="36"/>
          <w:rtl/>
          <w:lang w:bidi="ar-EG"/>
        </w:rPr>
        <w:t xml:space="preserve">2. مفهوم </w:t>
      </w:r>
      <w:r w:rsidRPr="00781C76">
        <w:rPr>
          <w:rFonts w:ascii="Sakkal Majalla" w:hAnsi="Sakkal Majalla" w:cs="Sakkal Majalla" w:hint="cs"/>
          <w:b/>
          <w:bCs/>
          <w:color w:val="000000" w:themeColor="text1"/>
          <w:sz w:val="36"/>
          <w:szCs w:val="36"/>
          <w:rtl/>
          <w:lang w:bidi="ar-EG"/>
        </w:rPr>
        <w:t>علم البديع</w:t>
      </w:r>
    </w:p>
    <w:p w14:paraId="2B624CBF" w14:textId="42A0F58C" w:rsidR="00C77C6C" w:rsidRDefault="00781C76" w:rsidP="00CC13B8">
      <w:pPr>
        <w:bidi/>
        <w:spacing w:line="360" w:lineRule="auto"/>
        <w:ind w:firstLine="63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9"/>
      </w:r>
    </w:p>
    <w:p w14:paraId="5D9DC12B" w14:textId="07F2379E" w:rsidR="00781C76" w:rsidRDefault="00781C76" w:rsidP="00CC13B8">
      <w:pPr>
        <w:bidi/>
        <w:spacing w:line="360" w:lineRule="auto"/>
        <w:ind w:firstLine="630"/>
        <w:rPr>
          <w:rFonts w:ascii="Sakkal Majalla" w:eastAsia="Noto Naskh Arabic" w:hAnsi="Sakkal Majalla" w:cs="Sakkal Majalla" w:hint="cs"/>
          <w:color w:val="000000" w:themeColor="text1"/>
          <w:sz w:val="36"/>
          <w:szCs w:val="36"/>
          <w:rtl/>
          <w:lang w:bidi="ar-EG"/>
        </w:rPr>
      </w:pPr>
      <w:r w:rsidRPr="00781C76">
        <w:rPr>
          <w:rFonts w:ascii="Sakkal Majalla" w:eastAsia="Noto Naskh Arabic" w:hAnsi="Sakkal Majalla" w:cs="Sakkal Majalla"/>
          <w:color w:val="000000" w:themeColor="text1"/>
          <w:sz w:val="36"/>
          <w:szCs w:val="36"/>
          <w:rtl/>
        </w:rPr>
        <w:t>وقد علمنا 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 xml:space="preserve">عنها، وتحيرت </w:t>
      </w:r>
      <w:r w:rsidRPr="00781C76">
        <w:rPr>
          <w:rFonts w:ascii="Sakkal Majalla" w:eastAsia="Noto Naskh Arabic" w:hAnsi="Sakkal Majalla" w:cs="Sakkal Majalla"/>
          <w:color w:val="000000" w:themeColor="text1"/>
          <w:sz w:val="36"/>
          <w:szCs w:val="36"/>
          <w:rtl/>
        </w:rPr>
        <w:lastRenderedPageBreak/>
        <w:t>عقولهم فيها.</w:t>
      </w:r>
      <w:r w:rsidR="00CC13B8">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lang w:bidi="ar-EG"/>
        </w:rPr>
        <w:t>.</w:t>
      </w:r>
    </w:p>
    <w:p w14:paraId="33323990" w14:textId="3D26DC8A" w:rsidR="00781C76" w:rsidRDefault="00781C76" w:rsidP="00CC13B8">
      <w:pPr>
        <w:bidi/>
        <w:spacing w:line="360" w:lineRule="auto"/>
        <w:ind w:firstLine="630"/>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ولهذا العلم بعد ذلك فضائل مشهورة، ومناقب معروفة، منها أن صاحب العربية إذا أخل بطلبه، وفرط في التماسه، ففاتته فضيلته، و عاقمت به رذيلة فوقه، عفى على جميع محاسنه، ..... لأنه إذا لم يفرق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بين كلام جيد وآخر رديء، ولفظ حسن وآخر قبيح، وشعر نادر وآخر</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بارد بان جهله، وظهر نقصه</w:t>
      </w:r>
      <w:r>
        <w:rPr>
          <w:rFonts w:ascii="Sakkal Majalla" w:eastAsia="Noto Naskh Arabic" w:hAnsi="Sakkal Majalla" w:cs="Sakkal Majalla" w:hint="cs"/>
          <w:color w:val="000000" w:themeColor="text1"/>
          <w:sz w:val="36"/>
          <w:szCs w:val="36"/>
          <w:rtl/>
        </w:rPr>
        <w:t>.</w:t>
      </w:r>
      <w:r w:rsidR="00F179F0">
        <w:rPr>
          <w:rStyle w:val="FootnoteReference"/>
          <w:rFonts w:ascii="Sakkal Majalla" w:eastAsia="Noto Naskh Arabic" w:hAnsi="Sakkal Majalla" w:cs="Sakkal Majalla"/>
          <w:color w:val="000000" w:themeColor="text1"/>
          <w:sz w:val="36"/>
          <w:szCs w:val="36"/>
          <w:rtl/>
        </w:rPr>
        <w:footnoteReference w:id="10"/>
      </w:r>
    </w:p>
    <w:p w14:paraId="1DE69D6E" w14:textId="01A550F6" w:rsidR="00781C76" w:rsidRPr="0042095A" w:rsidRDefault="00843C52" w:rsidP="00843C52">
      <w:pPr>
        <w:pStyle w:val="Heading3"/>
        <w:bidi/>
        <w:rPr>
          <w:rFonts w:ascii="Sakkal Majalla" w:hAnsi="Sakkal Majalla" w:cs="Sakkal Majalla" w:hint="cs"/>
          <w:b/>
          <w:bCs/>
          <w:color w:val="000000" w:themeColor="text1"/>
          <w:sz w:val="36"/>
          <w:szCs w:val="36"/>
          <w:lang w:val="en-US" w:bidi="ar-EG"/>
        </w:rPr>
      </w:pPr>
      <w:r w:rsidRPr="0042095A">
        <w:rPr>
          <w:rFonts w:ascii="Sakkal Majalla" w:hAnsi="Sakkal Majalla" w:cs="Sakkal Majalla" w:hint="cs"/>
          <w:b/>
          <w:bCs/>
          <w:color w:val="000000" w:themeColor="text1"/>
          <w:sz w:val="36"/>
          <w:szCs w:val="36"/>
          <w:rtl/>
          <w:lang w:val="en-US" w:bidi="ar-EG"/>
        </w:rPr>
        <w:t xml:space="preserve">3. </w:t>
      </w:r>
      <w:r w:rsidR="0042095A" w:rsidRPr="0042095A">
        <w:rPr>
          <w:rFonts w:ascii="Sakkal Majalla" w:hAnsi="Sakkal Majalla" w:cs="Sakkal Majalla" w:hint="cs"/>
          <w:b/>
          <w:bCs/>
          <w:color w:val="000000" w:themeColor="text1"/>
          <w:sz w:val="36"/>
          <w:szCs w:val="36"/>
          <w:rtl/>
          <w:lang w:val="en-US" w:bidi="ar-EG"/>
        </w:rPr>
        <w:t xml:space="preserve">مفهوم علم البيان </w:t>
      </w:r>
    </w:p>
    <w:p w14:paraId="413BACB5" w14:textId="292757E0" w:rsidR="0042095A" w:rsidRDefault="0042095A" w:rsidP="00CC13B8">
      <w:pPr>
        <w:bidi/>
        <w:spacing w:line="360" w:lineRule="auto"/>
        <w:ind w:firstLine="630"/>
        <w:jc w:val="both"/>
        <w:rPr>
          <w:rFonts w:ascii="Sakkal Majalla" w:eastAsia="Noto Naskh Arabic" w:hAnsi="Sakkal Majalla" w:cs="Sakkal Majalla"/>
          <w:color w:val="000000" w:themeColor="text1"/>
          <w:sz w:val="36"/>
          <w:szCs w:val="36"/>
          <w:rtl/>
        </w:rPr>
      </w:pPr>
      <w:r w:rsidRPr="0042095A">
        <w:rPr>
          <w:rFonts w:ascii="Sakkal Majalla" w:eastAsia="Noto Naskh Arabic" w:hAnsi="Sakkal Majalla" w:cs="Sakkal Majalla"/>
          <w:color w:val="000000" w:themeColor="text1"/>
          <w:sz w:val="36"/>
          <w:szCs w:val="36"/>
          <w:rtl/>
        </w:rPr>
        <w:t>فالواقع أن البلاغة العربية قد مرَّت بتاريخ طويل من التطور حتى انتهت إلى ما انتهت إليه، وكانت مباحث علومها مختلطاً بعضها ببعض منذ نشأة الكلام عنها في كتب السابقين الأولين من علماء العربية، وكانوا</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يطلقون عليها «البيان».وقد تحدث الرماني فيه عن البلاغة وجعلها في عشرة أبواب يعنينا منها هنا اثنان من أبواب علم البيان، هما التشبيه والاستعارة. أما التشبيه فقد قسمه إلى حسي وعقلي، ثم فصل القول في العقلي منه تفصيلاً أفاد منه فيما بعد عبد القاهر الجرجاني في كتاب «أسرار البلاغة». وكذلك توسع في الكلام عن الاستعارة مبيناً قيمتها البيانية، وأنها أبلغ في الدلالة على المعنى من الحقيقة. وكل ما قاله الرماني عن الاستعارة كان رصيداً جديداً انتفع به أيضاً فيما بعد عبد القاهر وغيره من البلاغيين إلى حد كبير.</w:t>
      </w:r>
    </w:p>
    <w:p w14:paraId="00D12166" w14:textId="2E5651E7" w:rsidR="0042095A" w:rsidRDefault="0042095A" w:rsidP="00CC13B8">
      <w:pPr>
        <w:bidi/>
        <w:spacing w:line="360" w:lineRule="auto"/>
        <w:ind w:firstLine="63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lastRenderedPageBreak/>
        <w:t>ومن كتب الدراسات النقدية على أسس بلاغية كتاب «الوساطة بين المتنبي وخصومه لأبي الحسن علي بن عبد العزيز الشهير بالقاضي</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الجرجاني المتوفى سنة ٣٦٦ للهجرة .</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ومع أن الوساطة كتاب نقد أكثر منه كتاب بلاغة، 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 وقد كانت الشعراء تجري على</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نهج منها قريب من الاقتصاد، حتى استرسل فيها أبو تمام ومال إلى الرخصة فأخرجه إلى التعدي، وتبعه أكثر المحدثين بعده، فوقفوا عند مراتبهم من الإحسان والإساءة، والتقصير والإصابة. وأكثر هذا الصنف من الباب الذي قدمت لك القول فيه، وأقمت لك الشواهد عليه، وأعلمتك أنه مما يميز بقبول النفس ونفورها، وينتقد بسكون القلب ونبوه، وربما تمكنت الحجج من إظهار بعضه، واهتدت إلى الكشف عن</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صوابه أو غلطه</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11"/>
      </w:r>
    </w:p>
    <w:p w14:paraId="65F30BB9" w14:textId="5D0FBC3C" w:rsidR="0042095A" w:rsidRDefault="0042095A" w:rsidP="00CC13B8">
      <w:pPr>
        <w:bidi/>
        <w:spacing w:line="360" w:lineRule="auto"/>
        <w:ind w:firstLine="630"/>
        <w:rPr>
          <w:rFonts w:ascii="Sakkal Majalla" w:eastAsia="Noto Naskh Arabic" w:hAnsi="Sakkal Majalla" w:cs="Sakkal Majalla"/>
          <w:color w:val="000000" w:themeColor="text1"/>
          <w:sz w:val="36"/>
          <w:szCs w:val="36"/>
          <w:rtl/>
        </w:rPr>
      </w:pPr>
      <w:r w:rsidRPr="0042095A">
        <w:rPr>
          <w:rFonts w:ascii="Sakkal Majalla" w:eastAsia="Noto Naskh Arabic" w:hAnsi="Sakkal Majalla" w:cs="Sakkal Majalla"/>
          <w:color w:val="000000" w:themeColor="text1"/>
          <w:sz w:val="36"/>
          <w:szCs w:val="36"/>
          <w:rtl/>
        </w:rPr>
        <w:t>ولعلنا ندرك من هذا القول أن مرد الحكم على جودة الاستعارة أو قبحها عند الجرجاني هو قبول النفس أو نفورها وأن ذلك أكثر من الحجج الدالة على جودة الاستعارة 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 xml:space="preserve">حججاً يستدل بها على قبح الاستعارة، ومع ذلك تقبل عليها النفس . ولا ريب أنه في ذلك يلتقي مع الآمدي في أن </w:t>
      </w:r>
      <w:r w:rsidRPr="0042095A">
        <w:rPr>
          <w:rFonts w:ascii="Sakkal Majalla" w:eastAsia="Noto Naskh Arabic" w:hAnsi="Sakkal Majalla" w:cs="Sakkal Majalla"/>
          <w:color w:val="000000" w:themeColor="text1"/>
          <w:sz w:val="36"/>
          <w:szCs w:val="36"/>
          <w:rtl/>
        </w:rPr>
        <w:lastRenderedPageBreak/>
        <w:t>الحكم على جودة الاستعارة أو رداءتها يرجع أكثر ما يرجع إلى الذوق الذي هو وليد المران</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والدربة وإطالة النظر والتأمل في أقوال الشعراء المجيدين.</w:t>
      </w:r>
      <w:r w:rsidR="00FF15A2">
        <w:rPr>
          <w:rStyle w:val="FootnoteReference"/>
          <w:rFonts w:ascii="Sakkal Majalla" w:eastAsia="Noto Naskh Arabic" w:hAnsi="Sakkal Majalla" w:cs="Sakkal Majalla"/>
          <w:color w:val="000000" w:themeColor="text1"/>
          <w:sz w:val="36"/>
          <w:szCs w:val="36"/>
          <w:rtl/>
        </w:rPr>
        <w:footnoteReference w:id="12"/>
      </w:r>
    </w:p>
    <w:p w14:paraId="45C7B69F" w14:textId="1287BF50" w:rsidR="0042095A" w:rsidRPr="008A678D" w:rsidRDefault="008A678D" w:rsidP="008A678D">
      <w:pPr>
        <w:pStyle w:val="Heading3"/>
        <w:bidi/>
        <w:rPr>
          <w:rFonts w:ascii="Sakkal Majalla" w:hAnsi="Sakkal Majalla" w:cs="Sakkal Majalla" w:hint="cs"/>
          <w:b/>
          <w:bCs/>
          <w:sz w:val="36"/>
          <w:szCs w:val="36"/>
          <w:rtl/>
          <w:lang w:bidi="ar-EG"/>
        </w:rPr>
      </w:pPr>
      <w:r w:rsidRPr="008A678D">
        <w:rPr>
          <w:rFonts w:ascii="Sakkal Majalla" w:hAnsi="Sakkal Majalla" w:cs="Sakkal Majalla" w:hint="cs"/>
          <w:b/>
          <w:bCs/>
          <w:sz w:val="36"/>
          <w:szCs w:val="36"/>
          <w:rtl/>
        </w:rPr>
        <w:t>4. مفهوم علم المع</w:t>
      </w:r>
      <w:r w:rsidR="00583A6E">
        <w:rPr>
          <w:rFonts w:ascii="Sakkal Majalla" w:hAnsi="Sakkal Majalla" w:cs="Sakkal Majalla" w:hint="cs"/>
          <w:b/>
          <w:bCs/>
          <w:sz w:val="36"/>
          <w:szCs w:val="36"/>
          <w:rtl/>
        </w:rPr>
        <w:t>ا</w:t>
      </w:r>
      <w:r w:rsidRPr="008A678D">
        <w:rPr>
          <w:rFonts w:ascii="Sakkal Majalla" w:hAnsi="Sakkal Majalla" w:cs="Sakkal Majalla" w:hint="cs"/>
          <w:b/>
          <w:bCs/>
          <w:sz w:val="36"/>
          <w:szCs w:val="36"/>
          <w:rtl/>
        </w:rPr>
        <w:t>نى</w:t>
      </w:r>
    </w:p>
    <w:p w14:paraId="01DD1C9C" w14:textId="1BCA20CD" w:rsidR="00A029BE" w:rsidRDefault="00A2554B" w:rsidP="00A2554B">
      <w:pPr>
        <w:bidi/>
        <w:spacing w:line="360" w:lineRule="auto"/>
        <w:ind w:firstLine="630"/>
        <w:jc w:val="both"/>
        <w:rPr>
          <w:rFonts w:ascii="Sakkal Majalla" w:eastAsia="Noto Naskh Arabic" w:hAnsi="Sakkal Majalla" w:cs="Sakkal Majalla"/>
          <w:color w:val="27272A"/>
          <w:sz w:val="36"/>
          <w:szCs w:val="36"/>
          <w:rtl/>
          <w:lang w:val="en-US" w:bidi="ar-EG"/>
        </w:rPr>
      </w:pPr>
      <w:r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Pr>
          <w:rFonts w:ascii="Sakkal Majalla" w:eastAsia="Noto Naskh Arabic" w:hAnsi="Sakkal Majalla" w:cs="Sakkal Majalla"/>
          <w:color w:val="27272A"/>
          <w:sz w:val="36"/>
          <w:szCs w:val="36"/>
          <w:lang w:val="en-US" w:bidi="ar-EG"/>
        </w:rPr>
        <w:t xml:space="preserve"> </w:t>
      </w:r>
      <w:r w:rsidRPr="00A2554B">
        <w:rPr>
          <w:rFonts w:ascii="Sakkal Majalla" w:eastAsia="Noto Naskh Arabic" w:hAnsi="Sakkal Majalla" w:cs="Sakkal Majalla"/>
          <w:color w:val="27272A"/>
          <w:sz w:val="36"/>
          <w:szCs w:val="36"/>
          <w:rtl/>
          <w:lang w:val="en-US" w:bidi="ar-EG"/>
        </w:rPr>
        <w:t>والظروف مع الطرف الثاني (المتحاور). وعلم البيان هو فن التعبير عن المعاني بأسلوب جميل ومتنوع، في حين يتناول علم البديع جماليات التعبير اللغوي بعد أن يُعبّر بلغة جميلة ويكون متناسبًا مع سياق الخطاب</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13"/>
          </w:r>
        </w:sdtContent>
      </w:sdt>
      <w:r w:rsidRPr="00A2554B">
        <w:rPr>
          <w:rFonts w:ascii="Sakkal Majalla" w:eastAsia="Noto Naskh Arabic" w:hAnsi="Sakkal Majalla" w:cs="Sakkal Majalla"/>
          <w:color w:val="27272A"/>
          <w:sz w:val="36"/>
          <w:szCs w:val="36"/>
          <w:rtl/>
          <w:lang w:val="en-US" w:bidi="ar-EG"/>
        </w:rPr>
        <w:t>.</w:t>
      </w:r>
    </w:p>
    <w:p w14:paraId="63ED6337" w14:textId="362C3ED6" w:rsidR="00A520C9" w:rsidRPr="00A520C9" w:rsidRDefault="00A520C9" w:rsidP="00A520C9">
      <w:pPr>
        <w:bidi/>
        <w:spacing w:line="360" w:lineRule="auto"/>
        <w:ind w:firstLine="630"/>
        <w:jc w:val="both"/>
        <w:rPr>
          <w:rFonts w:ascii="Sakkal Majalla" w:eastAsia="Noto Naskh Arabic" w:hAnsi="Sakkal Majalla" w:cs="Sakkal Majalla"/>
          <w:b/>
          <w:bCs/>
          <w:color w:val="27272A"/>
          <w:sz w:val="36"/>
          <w:szCs w:val="36"/>
          <w:rtl/>
          <w:lang w:val="en-US" w:bidi="ar-EG"/>
        </w:rPr>
      </w:pPr>
      <w:r w:rsidRPr="00A520C9">
        <w:rPr>
          <w:rFonts w:ascii="Sakkal Majalla" w:eastAsia="Noto Naskh Arabic" w:hAnsi="Sakkal Majalla" w:cs="Sakkal Majalla" w:hint="cs"/>
          <w:b/>
          <w:bCs/>
          <w:color w:val="27272A"/>
          <w:sz w:val="36"/>
          <w:szCs w:val="36"/>
          <w:rtl/>
          <w:lang w:val="en-US" w:bidi="ar-EG"/>
        </w:rPr>
        <w:t xml:space="preserve">3) القران الكريم </w:t>
      </w:r>
    </w:p>
    <w:p w14:paraId="6421FDC9" w14:textId="3575C8D1" w:rsidR="00506E03" w:rsidRDefault="00506E03" w:rsidP="004E1050">
      <w:pPr>
        <w:bidi/>
        <w:spacing w:line="360" w:lineRule="auto"/>
        <w:ind w:firstLine="630"/>
        <w:jc w:val="both"/>
        <w:rPr>
          <w:rFonts w:ascii="Sakkal Majalla" w:eastAsia="Noto Naskh Arabic" w:hAnsi="Sakkal Majalla" w:cs="Sakkal Majalla"/>
          <w:color w:val="27272A"/>
          <w:sz w:val="36"/>
          <w:szCs w:val="36"/>
          <w:rtl/>
          <w:lang w:val="en-US" w:bidi="ar-EG"/>
        </w:rPr>
      </w:pPr>
      <w:bookmarkStart w:id="0" w:name="_Hlk155818346"/>
      <w:r w:rsidRPr="00506E03">
        <w:rPr>
          <w:rFonts w:ascii="Sakkal Majalla" w:eastAsia="Noto Naskh Arabic" w:hAnsi="Sakkal Majalla" w:cs="Sakkal Majalla"/>
          <w:color w:val="27272A"/>
          <w:sz w:val="36"/>
          <w:szCs w:val="36"/>
          <w:rtl/>
          <w:lang w:val="en-US" w:bidi="ar-EG"/>
        </w:rPr>
        <w:t>هذا الإسم «قرآن في اللغة : على أصح الآراء مصدر على وزن غفران ، بمعنى القراءة ، ومنه قوله تعالى : إن علينا جَمْعَه وَقُرْآنه ، فإذا قرأناه فاتبع قرآنه</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وأما تعريف القرآن اصطلاحاً : فقد تعددت تعاريف العلماء للقرآن ، بسبب تعدد الزوايا التي ينظر العلماء منها إلى القرآن - وإن كان التعبير بأنه الكلام المعجز كافياً - ونحن نختار هنا التعريف المناسب لغرض دراستنا ،أعني التمهيد بمعارف عامة وهامة موجزة عن القرآن الكريم فنقول :</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 xml:space="preserve">القرآن هو كلام الله المنزل على </w:t>
      </w:r>
      <w:r w:rsidR="000B49C5" w:rsidRPr="000B49C5">
        <w:rPr>
          <w:rFonts w:ascii="Sakkal Majalla" w:eastAsia="Noto Naskh Arabic" w:hAnsi="Sakkal Majalla" w:cs="Sakkal Majalla"/>
          <w:color w:val="27272A"/>
          <w:sz w:val="36"/>
          <w:szCs w:val="36"/>
          <w:rtl/>
          <w:lang w:val="en-US" w:bidi="ar-EG"/>
        </w:rPr>
        <w:lastRenderedPageBreak/>
        <w:t>النبي محمد صلى الله عليه وسلم المكتوب في المصاحف المنقول بالتواتر المتعبد بتلاوته، المعجز ولو</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بسورة منه .</w:t>
      </w:r>
      <w:r w:rsidR="000B49C5">
        <w:rPr>
          <w:rStyle w:val="FootnoteReference"/>
          <w:rFonts w:ascii="Sakkal Majalla" w:eastAsia="Noto Naskh Arabic" w:hAnsi="Sakkal Majalla" w:cs="Sakkal Majalla"/>
          <w:color w:val="27272A"/>
          <w:sz w:val="36"/>
          <w:szCs w:val="36"/>
          <w:rtl/>
          <w:lang w:val="en-US" w:bidi="ar-EG"/>
        </w:rPr>
        <w:footnoteReference w:id="14"/>
      </w:r>
    </w:p>
    <w:p w14:paraId="3C17F29B" w14:textId="7C6C5C68" w:rsidR="004E1050" w:rsidRDefault="00300415" w:rsidP="004E1050">
      <w:pPr>
        <w:bidi/>
        <w:spacing w:line="360" w:lineRule="auto"/>
        <w:ind w:firstLine="63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15"/>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0"/>
    <w:p w14:paraId="7DDEC6F0" w14:textId="49D3C023" w:rsidR="00300415" w:rsidRDefault="00490F1E" w:rsidP="00300415">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16"/>
      </w:r>
    </w:p>
    <w:p w14:paraId="7DCAF23F" w14:textId="579DBA4F" w:rsidR="00FC2C2B" w:rsidRDefault="00735DB0" w:rsidP="00490F1E">
      <w:pPr>
        <w:bidi/>
        <w:spacing w:line="360" w:lineRule="auto"/>
        <w:ind w:firstLine="63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 xml:space="preserve">فقد تحدى القرآن الكريم العرب أن يأتوا بمثله أو بمثل سورة منه وعجزوا عن ذلك رغم شهرتهم بالبلاغة والفصاحة والبيان بل هو </w:t>
      </w:r>
      <w:r w:rsidR="00FC2C2B" w:rsidRPr="00FC2C2B">
        <w:rPr>
          <w:rFonts w:ascii="Sakkal Majalla" w:eastAsia="Noto Naskh Arabic" w:hAnsi="Sakkal Majalla" w:cs="Sakkal Majalla"/>
          <w:color w:val="27272A"/>
          <w:sz w:val="36"/>
          <w:szCs w:val="36"/>
          <w:rtl/>
          <w:lang w:val="en-US" w:bidi="ar-EG"/>
        </w:rPr>
        <w:lastRenderedPageBreak/>
        <w:t>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17"/>
      </w:r>
    </w:p>
    <w:p w14:paraId="5B7ECB24" w14:textId="5AD378B7" w:rsidR="00490F1E" w:rsidRDefault="00490F1E" w:rsidP="00FC2C2B">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490F1E">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1A57AD1D" w14:textId="3E09872F" w:rsidR="00A520C9" w:rsidRDefault="004E1050" w:rsidP="004E1050">
      <w:pPr>
        <w:bidi/>
        <w:spacing w:line="360" w:lineRule="auto"/>
        <w:ind w:firstLine="63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 xml:space="preserve">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w:t>
      </w:r>
      <w:r w:rsidRPr="004E1050">
        <w:rPr>
          <w:rFonts w:ascii="Sakkal Majalla" w:eastAsia="Noto Naskh Arabic" w:hAnsi="Sakkal Majalla" w:cs="Sakkal Majalla"/>
          <w:color w:val="27272A"/>
          <w:sz w:val="36"/>
          <w:szCs w:val="36"/>
          <w:rtl/>
          <w:lang w:val="en-US" w:bidi="ar-EG"/>
        </w:rPr>
        <w:lastRenderedPageBreak/>
        <w:t>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18"/>
          </w:r>
        </w:sdtContent>
      </w:sdt>
      <w:r>
        <w:rPr>
          <w:rFonts w:ascii="Sakkal Majalla" w:eastAsia="Noto Naskh Arabic" w:hAnsi="Sakkal Majalla" w:cs="Sakkal Majalla" w:hint="cs"/>
          <w:color w:val="27272A"/>
          <w:sz w:val="36"/>
          <w:szCs w:val="36"/>
          <w:rtl/>
          <w:lang w:val="en-US" w:bidi="ar-EG"/>
        </w:rPr>
        <w:t>.</w:t>
      </w:r>
    </w:p>
    <w:p w14:paraId="067E3746" w14:textId="731D0786" w:rsidR="00A520C9" w:rsidRPr="00A520C9" w:rsidRDefault="00A520C9" w:rsidP="00A520C9">
      <w:pPr>
        <w:bidi/>
        <w:spacing w:line="360" w:lineRule="auto"/>
        <w:ind w:firstLine="360"/>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bCs/>
          <w:color w:val="27272A"/>
          <w:sz w:val="36"/>
          <w:szCs w:val="36"/>
          <w:highlight w:val="white"/>
        </w:rPr>
        <w:t xml:space="preserve"> </w:t>
      </w:r>
      <w:r>
        <w:rPr>
          <w:rFonts w:ascii="Sakkal Majalla" w:eastAsia="Noto Naskh Arabic" w:hAnsi="Sakkal Majalla" w:cs="Sakkal Majalla" w:hint="cs"/>
          <w:bCs/>
          <w:color w:val="27272A"/>
          <w:sz w:val="36"/>
          <w:szCs w:val="36"/>
          <w:highlight w:val="white"/>
          <w:rtl/>
        </w:rPr>
        <w:t xml:space="preserve">4) </w:t>
      </w:r>
      <w:r w:rsidRPr="00A520C9">
        <w:rPr>
          <w:rFonts w:ascii="Sakkal Majalla" w:eastAsia="Noto Naskh Arabic" w:hAnsi="Sakkal Majalla" w:cs="Sakkal Majalla"/>
          <w:bCs/>
          <w:color w:val="27272A"/>
          <w:sz w:val="36"/>
          <w:szCs w:val="36"/>
          <w:highlight w:val="white"/>
          <w:rtl/>
        </w:rPr>
        <w:t>سورة الرّوم في القرآن الكريم</w:t>
      </w:r>
    </w:p>
    <w:p w14:paraId="331B1C66" w14:textId="77777777" w:rsidR="00A520C9" w:rsidRPr="001474CC" w:rsidRDefault="00A520C9" w:rsidP="00A520C9">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سورة الرّوم هي السورة الثّلاثون في القرآن الكريم، وتتناول مواضيع متنوّعة مثل علامات قدرة الله، تاريخ الأمم السابقة، الإيمان، والعدالة. تسلِط سورة الرّوم أيضًا الضّوء على أهمية ابتغاء العلم وتأمّل علامات عظمة الله. وهي من السّور المكية، وتذكر في آية الثّانية هزيمة الرومان.</w:t>
      </w:r>
    </w:p>
    <w:p w14:paraId="61811EE8" w14:textId="77777777" w:rsidR="00E20DB1" w:rsidRPr="00A520C9" w:rsidRDefault="00E20DB1" w:rsidP="00E20DB1">
      <w:pPr>
        <w:bidi/>
        <w:spacing w:line="360" w:lineRule="auto"/>
        <w:ind w:firstLine="360"/>
        <w:rPr>
          <w:rFonts w:ascii="Sakkal Majalla" w:eastAsia="Noto Naskh Arabic" w:hAnsi="Sakkal Majalla" w:cs="Sakkal Majalla"/>
          <w:color w:val="27272A"/>
          <w:sz w:val="36"/>
          <w:szCs w:val="36"/>
          <w:highlight w:val="white"/>
          <w:rtl/>
          <w:lang w:bidi="ar-EG"/>
        </w:rPr>
      </w:pPr>
    </w:p>
    <w:p w14:paraId="1EDC2642" w14:textId="432721D5" w:rsidR="00F440B6" w:rsidRPr="001474CC" w:rsidRDefault="0071640D" w:rsidP="001474CC">
      <w:pPr>
        <w:bidi/>
        <w:spacing w:line="360" w:lineRule="auto"/>
        <w:ind w:firstLine="360"/>
        <w:rPr>
          <w:rFonts w:ascii="Sakkal Majalla" w:eastAsia="Noto Naskh Arabic" w:hAnsi="Sakkal Majalla" w:cs="Sakkal Majalla"/>
          <w:b/>
          <w:color w:val="27272A"/>
          <w:sz w:val="36"/>
          <w:szCs w:val="36"/>
          <w:highlight w:val="white"/>
        </w:rPr>
      </w:pPr>
      <w:r>
        <w:rPr>
          <w:rFonts w:ascii="Sakkal Majalla" w:eastAsia="Noto Naskh Arabic" w:hAnsi="Sakkal Majalla" w:cs="Sakkal Majalla"/>
          <w:b/>
          <w:color w:val="27272A"/>
          <w:sz w:val="36"/>
          <w:szCs w:val="36"/>
          <w:highlight w:val="white"/>
          <w:lang w:bidi="ar-EG"/>
        </w:rPr>
        <w:t>5</w:t>
      </w:r>
      <w:r w:rsidR="00564892">
        <w:rPr>
          <w:rFonts w:ascii="Sakkal Majalla" w:eastAsia="Noto Naskh Arabic" w:hAnsi="Sakkal Majalla" w:cs="Sakkal Majalla" w:hint="cs"/>
          <w:b/>
          <w:color w:val="27272A"/>
          <w:sz w:val="36"/>
          <w:szCs w:val="36"/>
          <w:highlight w:val="white"/>
          <w:rtl/>
          <w:lang w:bidi="ar-EG"/>
        </w:rPr>
        <w:t>)أسلب</w:t>
      </w:r>
      <w:r w:rsidRPr="001474CC">
        <w:rPr>
          <w:rFonts w:ascii="Sakkal Majalla" w:eastAsia="Noto Naskh Arabic" w:hAnsi="Sakkal Majalla" w:cs="Sakkal Majalla"/>
          <w:b/>
          <w:color w:val="27272A"/>
          <w:sz w:val="36"/>
          <w:szCs w:val="36"/>
          <w:highlight w:val="white"/>
          <w:rtl/>
        </w:rPr>
        <w:t xml:space="preserve"> الإِنشَاء </w:t>
      </w:r>
      <w:r w:rsidRPr="00A029BE">
        <w:rPr>
          <w:rFonts w:ascii="Sakkal Majalla" w:eastAsia="Noto Naskh Arabic" w:hAnsi="Sakkal Majalla" w:cs="Sakkal Majalla"/>
          <w:b/>
          <w:color w:val="27272A"/>
          <w:sz w:val="36"/>
          <w:szCs w:val="36"/>
          <w:highlight w:val="white"/>
          <w:rtl/>
        </w:rPr>
        <w:t xml:space="preserve">الطلبي </w:t>
      </w:r>
    </w:p>
    <w:p w14:paraId="05C242C5" w14:textId="78888ACF" w:rsidR="00564892" w:rsidRDefault="00A84C65" w:rsidP="001474CC">
      <w:pPr>
        <w:bidi/>
        <w:spacing w:line="360" w:lineRule="auto"/>
        <w:ind w:firstLine="360"/>
        <w:rPr>
          <w:rFonts w:ascii="Sakkal Majalla" w:eastAsia="Noto Naskh Arabic" w:hAnsi="Sakkal Majalla" w:cs="Sakkal Majalla"/>
          <w:color w:val="27272A"/>
          <w:sz w:val="36"/>
          <w:szCs w:val="36"/>
          <w:highlight w:val="white"/>
          <w:rtl/>
        </w:rPr>
      </w:pPr>
      <w:r w:rsidRPr="001474CC">
        <w:rPr>
          <w:rFonts w:ascii="Sakkal Majalla" w:eastAsia="Noto Naskh Arabic" w:hAnsi="Sakkal Majalla" w:cs="Sakkal Majalla"/>
          <w:color w:val="27272A"/>
          <w:sz w:val="36"/>
          <w:szCs w:val="36"/>
          <w:highlight w:val="white"/>
          <w:rtl/>
        </w:rPr>
        <w:t xml:space="preserve">كَلَامُ الإِنشَاء </w:t>
      </w:r>
      <w:r w:rsidRPr="00564892">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6"/>
          <w:szCs w:val="36"/>
          <w:highlight w:val="white"/>
          <w:rtl/>
        </w:rPr>
        <w:t>هُو مُصْطَلَحٌ فِي اللُّغَةِ العَرَبِيَّةِ يُشِيرُ إِلَى الْجُمَلِ الَّتِي تَدْعُو أَو تَسْتَوجِبُ شَيْئًا مِنَ السَّامِعِينَ أَو الْقَرَاءِ عِنْدَ نُطْقِهَا أَو كِتَابَتِهَا.</w:t>
      </w:r>
      <w:r w:rsidR="00564892">
        <w:rPr>
          <w:rFonts w:ascii="Sakkal Majalla" w:eastAsia="Noto Naskh Arabic" w:hAnsi="Sakkal Majalla" w:cs="Sakkal Majalla" w:hint="cs"/>
          <w:color w:val="27272A"/>
          <w:sz w:val="36"/>
          <w:szCs w:val="36"/>
          <w:highlight w:val="white"/>
          <w:rtl/>
        </w:rPr>
        <w:t xml:space="preserve"> </w:t>
      </w:r>
      <w:r w:rsidR="00564892">
        <w:rPr>
          <w:rFonts w:ascii="Sakkal Majalla" w:eastAsia="Noto Naskh Arabic" w:hAnsi="Sakkal Majalla" w:cs="Sakkal Majalla" w:hint="cs"/>
          <w:color w:val="27272A"/>
          <w:sz w:val="36"/>
          <w:szCs w:val="36"/>
          <w:rtl/>
        </w:rPr>
        <w:t>"</w:t>
      </w:r>
      <w:r w:rsidR="00564892" w:rsidRPr="00564892">
        <w:rPr>
          <w:rFonts w:ascii="Sakkal Majalla" w:eastAsia="Noto Naskh Arabic" w:hAnsi="Sakkal Majalla" w:cs="Sakkal Majalla"/>
          <w:color w:val="27272A"/>
          <w:sz w:val="36"/>
          <w:szCs w:val="36"/>
          <w:rtl/>
        </w:rPr>
        <w:t>ال</w:t>
      </w:r>
      <w:r w:rsidR="00564892" w:rsidRPr="001474CC">
        <w:rPr>
          <w:rFonts w:ascii="Sakkal Majalla" w:eastAsia="Noto Naskh Arabic" w:hAnsi="Sakkal Majalla" w:cs="Sakkal Majalla"/>
          <w:color w:val="27272A"/>
          <w:sz w:val="36"/>
          <w:szCs w:val="36"/>
          <w:highlight w:val="white"/>
          <w:rtl/>
        </w:rPr>
        <w:t>كَلَامُ</w:t>
      </w:r>
      <w:r w:rsidR="00564892" w:rsidRPr="00564892">
        <w:rPr>
          <w:rFonts w:ascii="Sakkal Majalla" w:eastAsia="Noto Naskh Arabic" w:hAnsi="Sakkal Majalla" w:cs="Sakkal Majalla"/>
          <w:color w:val="27272A"/>
          <w:sz w:val="36"/>
          <w:szCs w:val="36"/>
          <w:rtl/>
        </w:rPr>
        <w:t xml:space="preserve"> </w:t>
      </w:r>
      <w:r w:rsidR="00564892" w:rsidRPr="001474CC">
        <w:rPr>
          <w:rFonts w:ascii="Sakkal Majalla" w:eastAsia="Noto Naskh Arabic" w:hAnsi="Sakkal Majalla" w:cs="Sakkal Majalla"/>
          <w:color w:val="27272A"/>
          <w:sz w:val="36"/>
          <w:szCs w:val="36"/>
          <w:highlight w:val="white"/>
          <w:rtl/>
        </w:rPr>
        <w:t>الإِ</w:t>
      </w:r>
      <w:r w:rsidR="00564892">
        <w:rPr>
          <w:rFonts w:ascii="Sakkal Majalla" w:eastAsia="Noto Naskh Arabic" w:hAnsi="Sakkal Majalla" w:cs="Sakkal Majalla" w:hint="cs"/>
          <w:color w:val="27272A"/>
          <w:sz w:val="36"/>
          <w:szCs w:val="36"/>
          <w:rtl/>
        </w:rPr>
        <w:t>ن</w:t>
      </w:r>
      <w:r w:rsidR="00564892" w:rsidRPr="00564892">
        <w:rPr>
          <w:rFonts w:ascii="Sakkal Majalla" w:eastAsia="Noto Naskh Arabic" w:hAnsi="Sakkal Majalla" w:cs="Sakkal Majalla"/>
          <w:color w:val="27272A"/>
          <w:sz w:val="36"/>
          <w:szCs w:val="36"/>
          <w:rtl/>
        </w:rPr>
        <w:t>شا</w:t>
      </w:r>
      <w:r w:rsidR="00564892">
        <w:rPr>
          <w:rFonts w:ascii="Sakkal Majalla" w:eastAsia="Noto Naskh Arabic" w:hAnsi="Sakkal Majalla" w:cs="Sakkal Majalla" w:hint="cs"/>
          <w:color w:val="27272A"/>
          <w:sz w:val="36"/>
          <w:szCs w:val="36"/>
          <w:rtl/>
        </w:rPr>
        <w:t>ء</w:t>
      </w:r>
      <w:r w:rsidR="00564892" w:rsidRPr="00564892">
        <w:rPr>
          <w:rFonts w:ascii="Sakkal Majalla" w:eastAsia="Noto Naskh Arabic" w:hAnsi="Sakkal Majalla" w:cs="Sakkal Majalla"/>
          <w:color w:val="27272A"/>
          <w:sz w:val="36"/>
          <w:szCs w:val="36"/>
          <w:rtl/>
        </w:rPr>
        <w:t xml:space="preserve"> ه</w:t>
      </w:r>
      <w:r w:rsidR="00564892">
        <w:rPr>
          <w:rFonts w:ascii="Sakkal Majalla" w:eastAsia="Noto Naskh Arabic" w:hAnsi="Sakkal Majalla" w:cs="Sakkal Majalla" w:hint="cs"/>
          <w:color w:val="27272A"/>
          <w:sz w:val="36"/>
          <w:szCs w:val="36"/>
          <w:rtl/>
        </w:rPr>
        <w:t>و</w:t>
      </w:r>
      <w:r w:rsidR="00564892" w:rsidRPr="00564892">
        <w:rPr>
          <w:rFonts w:ascii="Sakkal Majalla" w:eastAsia="Noto Naskh Arabic" w:hAnsi="Sakkal Majalla" w:cs="Sakkal Majalla"/>
          <w:color w:val="27272A"/>
          <w:sz w:val="36"/>
          <w:szCs w:val="36"/>
          <w:rtl/>
        </w:rPr>
        <w:t xml:space="preserve"> </w:t>
      </w:r>
      <w:r w:rsidR="00564892">
        <w:rPr>
          <w:rFonts w:ascii="Sakkal Majalla" w:eastAsia="Noto Naskh Arabic" w:hAnsi="Sakkal Majalla" w:cs="Sakkal Majalla" w:hint="cs"/>
          <w:color w:val="27272A"/>
          <w:sz w:val="36"/>
          <w:szCs w:val="36"/>
          <w:rtl/>
        </w:rPr>
        <w:t>م</w:t>
      </w:r>
      <w:r w:rsidR="00564892" w:rsidRPr="00564892">
        <w:rPr>
          <w:rFonts w:ascii="Sakkal Majalla" w:eastAsia="Noto Naskh Arabic" w:hAnsi="Sakkal Majalla" w:cs="Sakkal Majalla"/>
          <w:color w:val="27272A"/>
          <w:sz w:val="36"/>
          <w:szCs w:val="36"/>
          <w:rtl/>
        </w:rPr>
        <w:t>ا</w:t>
      </w:r>
      <w:r w:rsidR="00564892">
        <w:rPr>
          <w:rFonts w:ascii="Sakkal Majalla" w:eastAsia="Noto Naskh Arabic" w:hAnsi="Sakkal Majalla" w:cs="Sakkal Majalla" w:hint="cs"/>
          <w:color w:val="27272A"/>
          <w:sz w:val="36"/>
          <w:szCs w:val="36"/>
          <w:rtl/>
        </w:rPr>
        <w:t>لا ي</w:t>
      </w:r>
      <w:r w:rsidR="00564892" w:rsidRPr="00564892">
        <w:rPr>
          <w:rFonts w:ascii="Sakkal Majalla" w:eastAsia="Noto Naskh Arabic" w:hAnsi="Sakkal Majalla" w:cs="Sakkal Majalla"/>
          <w:color w:val="27272A"/>
          <w:sz w:val="36"/>
          <w:szCs w:val="36"/>
          <w:rtl/>
        </w:rPr>
        <w:t>حت</w:t>
      </w:r>
      <w:r w:rsidR="00564892">
        <w:rPr>
          <w:rFonts w:ascii="Sakkal Majalla" w:eastAsia="Noto Naskh Arabic" w:hAnsi="Sakkal Majalla" w:cs="Sakkal Majalla" w:hint="cs"/>
          <w:color w:val="27272A"/>
          <w:sz w:val="36"/>
          <w:szCs w:val="36"/>
          <w:rtl/>
        </w:rPr>
        <w:t>م</w:t>
      </w:r>
      <w:r w:rsidR="00564892" w:rsidRPr="00564892">
        <w:rPr>
          <w:rFonts w:ascii="Sakkal Majalla" w:eastAsia="Noto Naskh Arabic" w:hAnsi="Sakkal Majalla" w:cs="Sakkal Majalla"/>
          <w:color w:val="27272A"/>
          <w:sz w:val="36"/>
          <w:szCs w:val="36"/>
          <w:rtl/>
        </w:rPr>
        <w:t>ل الصدق و الكذب</w:t>
      </w:r>
      <w:r w:rsidR="00564892">
        <w:rPr>
          <w:rFonts w:ascii="Sakkal Majalla" w:eastAsia="Noto Naskh Arabic" w:hAnsi="Sakkal Majalla" w:cs="Sakkal Majalla" w:hint="cs"/>
          <w:color w:val="27272A"/>
          <w:sz w:val="36"/>
          <w:szCs w:val="36"/>
          <w:rtl/>
        </w:rPr>
        <w:t xml:space="preserve">" بمعنى </w:t>
      </w:r>
    </w:p>
    <w:p w14:paraId="6A54D319" w14:textId="77777777" w:rsidR="00564892" w:rsidRDefault="00564892" w:rsidP="00564892">
      <w:pPr>
        <w:bidi/>
        <w:spacing w:line="360" w:lineRule="auto"/>
        <w:ind w:firstLine="360"/>
        <w:rPr>
          <w:rFonts w:ascii="Sakkal Majalla" w:eastAsia="Noto Naskh Arabic" w:hAnsi="Sakkal Majalla" w:cs="Sakkal Majalla"/>
          <w:color w:val="27272A"/>
          <w:sz w:val="36"/>
          <w:szCs w:val="36"/>
          <w:highlight w:val="white"/>
          <w:rtl/>
        </w:rPr>
      </w:pPr>
    </w:p>
    <w:p w14:paraId="7EB46A78" w14:textId="08882735" w:rsidR="00F440B6" w:rsidRPr="001474CC" w:rsidRDefault="00A84C65" w:rsidP="00564892">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 أنواع كَلَامِ الإِنشَاء </w:t>
      </w:r>
      <w:r w:rsidRPr="00564892">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6"/>
          <w:szCs w:val="36"/>
          <w:highlight w:val="white"/>
          <w:rtl/>
        </w:rPr>
        <w:t>تَشْمَلُ:</w:t>
      </w:r>
    </w:p>
    <w:p w14:paraId="6A657C25"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الأمر (أَمْر): وهي الجمل التي تدعو أو تأمر شَخْصًا بِفِعْلِ شَيْءٍ مَا.</w:t>
      </w:r>
    </w:p>
    <w:p w14:paraId="52588FB3"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النَّهْي (نَهْي): وهي الجمل التي تدعو أو تمنع شَخْصًا عَنْ فِعْلِ شَيْءٍ مَا.</w:t>
      </w:r>
    </w:p>
    <w:p w14:paraId="2A8DB453"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الاستفهام (اِسْتِفْهَام): وهي الجمل التي تطلب إِجَابَةً لِسُؤَالٍ.</w:t>
      </w:r>
    </w:p>
    <w:p w14:paraId="194B9604"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التَّمَنِّي (تَمَنِّي): وهي الجمل التي تطلب أَو تتمنى حَدُوثَ شَيْءٍ.</w:t>
      </w:r>
    </w:p>
    <w:p w14:paraId="03C6E455" w14:textId="57CC7712"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النِّدَاء (نِدَاء): وهي الجمل التي تدعو أَو تطلب مِنْ شَخْصٍ أَنْ يَأْتِي أَو يَفْعَلَ شَيْءً مَا</w:t>
      </w:r>
      <w:sdt>
        <w:sdtPr>
          <w:rPr>
            <w:rFonts w:ascii="Sakkal Majalla" w:eastAsia="Noto Naskh Arabic" w:hAnsi="Sakkal Majalla" w:cs="Sakkal Majalla"/>
            <w:color w:val="27272A"/>
            <w:sz w:val="36"/>
            <w:szCs w:val="36"/>
            <w:highlight w:val="white"/>
            <w:rtl/>
          </w:rPr>
          <w:tag w:val="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
          <w:id w:val="-1482463104"/>
          <w:lock w:val="contentLocked"/>
          <w:placeholder>
            <w:docPart w:val="DefaultPlaceholder_-1854013440"/>
          </w:placeholder>
        </w:sdtPr>
        <w:sdtEndPr/>
        <w:sdtContent>
          <w:r w:rsidR="0071640D">
            <w:rPr>
              <w:rStyle w:val="FootnoteReference"/>
              <w:rFonts w:ascii="Sakkal Majalla" w:eastAsia="Noto Naskh Arabic" w:hAnsi="Sakkal Majalla" w:cs="Sakkal Majalla"/>
              <w:color w:val="27272A"/>
              <w:sz w:val="36"/>
              <w:szCs w:val="36"/>
              <w:highlight w:val="white"/>
              <w:rtl/>
            </w:rPr>
            <w:footnoteReference w:id="19"/>
          </w:r>
        </w:sdtContent>
      </w:sdt>
      <w:r w:rsidRPr="001474CC">
        <w:rPr>
          <w:rFonts w:ascii="Sakkal Majalla" w:eastAsia="Noto Naskh Arabic" w:hAnsi="Sakkal Majalla" w:cs="Sakkal Majalla"/>
          <w:color w:val="27272A"/>
          <w:sz w:val="36"/>
          <w:szCs w:val="36"/>
          <w:highlight w:val="white"/>
          <w:rtl/>
        </w:rPr>
        <w:t>.</w:t>
      </w:r>
    </w:p>
    <w:p w14:paraId="0032524C"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D02FD7B" w14:textId="77777777" w:rsidR="00F440B6" w:rsidRPr="001474CC" w:rsidRDefault="00F440B6" w:rsidP="001474CC">
      <w:pPr>
        <w:bidi/>
        <w:spacing w:line="360" w:lineRule="auto"/>
        <w:rPr>
          <w:rFonts w:ascii="Sakkal Majalla" w:eastAsia="Noto Naskh Arabic" w:hAnsi="Sakkal Majalla" w:cs="Sakkal Majalla"/>
          <w:color w:val="27272A"/>
          <w:sz w:val="36"/>
          <w:szCs w:val="36"/>
          <w:highlight w:val="white"/>
        </w:rPr>
      </w:pPr>
    </w:p>
    <w:p w14:paraId="16C31BF2" w14:textId="77777777" w:rsidR="00F440B6" w:rsidRPr="0071640D" w:rsidRDefault="00A84C65" w:rsidP="001474CC">
      <w:pPr>
        <w:bidi/>
        <w:spacing w:line="360" w:lineRule="auto"/>
        <w:rPr>
          <w:rFonts w:ascii="Sakkal Majalla" w:eastAsia="Noto Naskh Arabic" w:hAnsi="Sakkal Majalla" w:cs="Sakkal Majalla"/>
          <w:bCs/>
          <w:color w:val="27272A"/>
          <w:sz w:val="36"/>
          <w:szCs w:val="36"/>
          <w:highlight w:val="white"/>
        </w:rPr>
      </w:pPr>
      <w:r w:rsidRPr="0071640D">
        <w:rPr>
          <w:rFonts w:ascii="Sakkal Majalla" w:eastAsia="Noto Naskh Arabic" w:hAnsi="Sakkal Majalla" w:cs="Sakkal Majalla"/>
          <w:bCs/>
          <w:color w:val="27272A"/>
          <w:sz w:val="36"/>
          <w:szCs w:val="36"/>
          <w:highlight w:val="white"/>
          <w:rtl/>
        </w:rPr>
        <w:t>ب. الدراسات السابقة</w:t>
      </w:r>
    </w:p>
    <w:p w14:paraId="5613D899" w14:textId="77777777" w:rsidR="00F440B6" w:rsidRPr="0071640D"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71640D">
        <w:rPr>
          <w:rFonts w:ascii="Sakkal Majalla" w:eastAsia="Noto Naskh Arabic" w:hAnsi="Sakkal Majalla" w:cs="Sakkal Majalla"/>
          <w:b/>
          <w:color w:val="27272A"/>
          <w:sz w:val="36"/>
          <w:szCs w:val="36"/>
          <w:highlight w:val="white"/>
          <w:rtl/>
        </w:rPr>
        <w:t>كلام الإنشاء ذو الطلب في سورة يونس في القرآن الكريم</w:t>
      </w:r>
    </w:p>
    <w:p w14:paraId="52693C93"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(دراسة تحليل البلاغة) - دالياني ريتنو إنداه بوروانتي</w:t>
      </w:r>
    </w:p>
    <w:p w14:paraId="2A45A8D2"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شكل الكلام الانشائي الطلابي في سورة يونس يشمل الأمر (الأوامر): وهو يأتي في اثنين من الأشكال، الفعل الأمر والفعل المضارع الذي يسبقه "لم" الأمر. ولهذين الشكلين خصائص مختلفة. النهي (التحريم): وهو يأتي في شكل واحد فقط، وهو الفعل المضارع الذي يسبقه "لا" التحريم. الاستفهام (الأسئلة): وتحتوي على حروف الاستفهام مثل "أ", "من", "ما", "إلى", و"متى". وأكثرها استخداماً هو حرف "أ". التمني (الأماني): وهو يأتي في شكل واحد فقط وهو "لو". النداء (الدعوة): وهو يأتي في شكل حرف واحد فقط وهو "يا". هذه أشكال الكلام الانشائي الطلابي في سورة يونس</w:t>
      </w:r>
    </w:p>
    <w:p w14:paraId="4D6A5CD3" w14:textId="77777777" w:rsidR="00F440B6" w:rsidRPr="001474CC" w:rsidRDefault="00F440B6" w:rsidP="001474CC">
      <w:pPr>
        <w:spacing w:line="360" w:lineRule="auto"/>
        <w:ind w:firstLine="360"/>
        <w:rPr>
          <w:rFonts w:ascii="Sakkal Majalla" w:eastAsia="Noto Naskh Arabic" w:hAnsi="Sakkal Majalla" w:cs="Sakkal Majalla"/>
          <w:color w:val="27272A"/>
          <w:sz w:val="36"/>
          <w:szCs w:val="36"/>
          <w:highlight w:val="white"/>
        </w:rPr>
      </w:pPr>
    </w:p>
    <w:p w14:paraId="0477F102"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سُورَتِيْ الْمُزَّمِّلِ وَالْمُدَّثِّرِ</w:t>
      </w:r>
    </w:p>
    <w:p w14:paraId="086591DA"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خَلِيفَاتُوسُ سَعْدِيَّة</w:t>
      </w:r>
      <w:r w:rsidRPr="001474CC">
        <w:rPr>
          <w:rFonts w:ascii="Sakkal Majalla" w:eastAsia="Noto Naskh Arabic" w:hAnsi="Sakkal Majalla" w:cs="Sakkal Majalla"/>
          <w:color w:val="27272A"/>
          <w:sz w:val="36"/>
          <w:szCs w:val="36"/>
          <w:highlight w:val="white"/>
          <w:rtl/>
        </w:rPr>
        <w:t xml:space="preserve"> بِعُنْوَانِ "الْكَلَامُ الْإِنْشَائِي الطَّلَبِي فِي سُورَتِيْ الْمُزَّمِّلِ وَالْمُدَّثِّرِ" إِلَى أَنَّ كَانَ الْكَلَامُ الْإِنْشَائِي الطَّلَبِي فِي سُورَةِ الْمُزَّمِّلِ يَتَكَوَّنُ مِنْ سِتَّ عَشْرَةَ كَلِمَةً لِلْأَمْرِ، وَكَلِمَةٌ لِلِاسْتِفْهَامِ، وَكَلِمَةٌ لِلنِّدَاءِ. وَفِي سُورَةِ الْمُدَاثِرِ يَتَكَوَّنُ مِنْ سَبْعِ كَلِمَاتٍ لِلْأَمْرِ، وَأَرْبَعِ كَلِمَاتٍ لِلِاسْتِفْهَامِ، وَكَلِمَةٌ لِلنَّهَيِ وَكَلِمَةً لِلنِّدَاءِ. وَكَثِيرًا مَا يَتَكَوَّنُ الْكَلَامُ الْإِنْشَائِيُّ الطَّلَبِيُّ فِي سُورَةِ الْمُزَّمِّلِ وَالْمُدَّثِّرِ مِنَ الْكَلَامِ الْحَقِيقِيِّ وَ قَلِيلًا مَا مِنْ غَيْرِ الْحَقِيقِيِّ.</w:t>
      </w:r>
    </w:p>
    <w:p w14:paraId="3B990D8B" w14:textId="77777777" w:rsidR="00F440B6" w:rsidRPr="001474CC" w:rsidRDefault="00A84C65" w:rsidP="001474CC">
      <w:pPr>
        <w:spacing w:line="360" w:lineRule="auto"/>
        <w:ind w:firstLine="360"/>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Pr>
        <w:br/>
      </w:r>
      <w:r w:rsidRPr="001474CC">
        <w:rPr>
          <w:rFonts w:ascii="Sakkal Majalla" w:eastAsia="Noto Naskh Arabic" w:hAnsi="Sakkal Majalla" w:cs="Sakkal Majalla"/>
          <w:b/>
          <w:color w:val="27272A"/>
          <w:sz w:val="36"/>
          <w:szCs w:val="36"/>
          <w:highlight w:val="white"/>
          <w:rtl/>
        </w:rPr>
        <w:t>تحليل كلام الإنشاء الطلبي في سورة لقمان وخطة تعلمه - أَنْوَار، سَيْفُ ال</w:t>
      </w:r>
      <w:r w:rsidRPr="001474CC">
        <w:rPr>
          <w:rFonts w:ascii="Sakkal Majalla" w:eastAsia="Noto Naskh Arabic" w:hAnsi="Sakkal Majalla" w:cs="Sakkal Majalla"/>
          <w:b/>
          <w:color w:val="27272A"/>
          <w:sz w:val="36"/>
          <w:szCs w:val="36"/>
          <w:highlight w:val="white"/>
        </w:rPr>
        <w:t xml:space="preserve"> </w:t>
      </w:r>
    </w:p>
    <w:p w14:paraId="79A973EB"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صيغة من كلام الإنشاء الطلبي في سورة لقمان يعنى الأمر في الآيات الآتية: 7، 11، 12، 14، 15، 17، 19، 21، 25، 33. ومعنى الإضافي من الأمر هو التهديد في الآية السابعة والتعجيز في الآية الهادى عشر والإرشاد في الآية الثانى عشر، الخامسة عشر والسابعة عشر. والنهي في سورة لقمان وجدنا في الآيات الآتية: 13، 15، 18، 33. ومعنى الإضافي من النهي هو الإرشاد في الآية الخامسة عشر والسابعة عشر. والإستفهام في سورة لقمان وجدنا في الآيات الآتية: 20، 21، 25، 29، 31. ومعنى الإضافي من الإستفهام هو الإنكار والتوبيخ في الآية إحدى وعشرين، ومعنى التقرير في الآية التاسعة وعشرين، ومعنى النفى في الآية إحدى وثلاثون. والتمني في الآية 27، ولا </w:t>
      </w:r>
      <w:r w:rsidRPr="001474CC">
        <w:rPr>
          <w:rFonts w:ascii="Sakkal Majalla" w:eastAsia="Noto Naskh Arabic" w:hAnsi="Sakkal Majalla" w:cs="Sakkal Majalla"/>
          <w:color w:val="27272A"/>
          <w:sz w:val="36"/>
          <w:szCs w:val="36"/>
          <w:highlight w:val="white"/>
          <w:rtl/>
        </w:rPr>
        <w:lastRenderedPageBreak/>
        <w:t>يستحق المعنى الإضافي. والنداء في سورة لقمان وجدنا في الآيات الآتية: 13، 16، 17، 33. و ما وجد فيها معنى الإضافي.</w:t>
      </w:r>
    </w:p>
    <w:p w14:paraId="74D10A2F"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280AB2E"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مَضْمُونُ الْكَلَامِ الْإِنْشَائِيِّ فِي الْقُرْآنِ سُورَةُ مَرْيَمَ</w:t>
      </w:r>
    </w:p>
    <w:p w14:paraId="6D33D229"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مُحَمَّدُ إِقْبَالٌ ثَانْتُوِي</w:t>
      </w:r>
      <w:r w:rsidRPr="001474CC">
        <w:rPr>
          <w:rFonts w:ascii="Sakkal Majalla" w:eastAsia="Noto Naskh Arabic" w:hAnsi="Sakkal Majalla" w:cs="Sakkal Majalla"/>
          <w:color w:val="27272A"/>
          <w:sz w:val="36"/>
          <w:szCs w:val="36"/>
          <w:highlight w:val="white"/>
          <w:rtl/>
        </w:rPr>
        <w:t xml:space="preserve"> بِعُنْوَانِ "مَضْمُونُ الْكَلَامِ الْإِنْشَائِيِّ فِي الْقُرْآنِ سُورَةُ مَرْيَمَ" اسْتَنْتَجَ أَنَّ هُنَاكَ ٢٣ لَفْظًا فِي كَلِمَةِ الْأَمْرِ، وَ ٣ لَفْظًا فِي كَلِمَةِ النَّهْيِ، وَ ١٢ لَفْظًا فِي كَلِمَةِ الِاسْتِفْهَامِ، وَ ١٣ لَفْظًا فِي كَلِمَةِ النِّدَاءِ، وَ ١ لَفْظًا فِي كَلِمَةِ التَّمَنِّي.</w:t>
      </w:r>
    </w:p>
    <w:p w14:paraId="78124F8D"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7182BA59"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ذو الطابع الطلبي في حديث الأربعين النووية - افتتاح الباب</w:t>
      </w:r>
    </w:p>
    <w:p w14:paraId="3F33D85A"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 نتائج هذه الدراسة تظهر أن في حديث الأربعين النووية توجد 56 كلمة تحتوي على كلام إنشائي ذو الطابع الطلبي بأربعة أنواع، الأمر أولاً، والنهي ثانياً، والاستفهام ثالثاً، والنداء رابعاً. في حديث الأربعين النووية توجد 27 كلمة بشكل الأمر مع تنوع في أنواع المعاني التي تحملها، مثل الإرشاد، وإعطاء الدروس، والنعمة، والتهديد، والمعنى الأصلي. بعد ذلك، هناك 13 كلمة بشكل النهي مع تنوع في أنواع المعاني التي تحملها، مثل الإرشاد والمعنى الأصلي. ثم هناك 7 كلمات بشكل النداء تحمل معاني مثل التحفيز والاستجابة للنداء، والمعنى الأصلي. وأخيرًا، هناك 9 كلمات بشكل الاستفهام تحمل معاني مثل المعنى الأصلي والتأكيد والتنبيه.</w:t>
      </w:r>
    </w:p>
    <w:p w14:paraId="42FFBD73" w14:textId="77777777" w:rsidR="00F440B6" w:rsidRPr="001474CC" w:rsidRDefault="00F440B6" w:rsidP="001474CC">
      <w:pPr>
        <w:spacing w:line="360" w:lineRule="auto"/>
        <w:rPr>
          <w:rFonts w:ascii="Sakkal Majalla" w:eastAsia="Noto Naskh Arabic" w:hAnsi="Sakkal Majalla" w:cs="Sakkal Majalla"/>
          <w:b/>
          <w:color w:val="27272A"/>
          <w:sz w:val="36"/>
          <w:szCs w:val="36"/>
          <w:highlight w:val="white"/>
        </w:rPr>
      </w:pPr>
    </w:p>
    <w:p w14:paraId="6813CCED" w14:textId="77777777" w:rsidR="00F440B6" w:rsidRPr="001474CC" w:rsidRDefault="00A84C65" w:rsidP="001474CC">
      <w:pPr>
        <w:bidi/>
        <w:spacing w:line="360" w:lineRule="auto"/>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lastRenderedPageBreak/>
        <w:t>كلام الإنشاء الطلبي سورة ص (دراسة بالغية) - محمد زين الحمدي، وابا</w:t>
      </w:r>
    </w:p>
    <w:p w14:paraId="5AA98C5E" w14:textId="77777777" w:rsidR="00F440B6" w:rsidRPr="001474CC" w:rsidRDefault="00A84C65" w:rsidP="001474CC">
      <w:pPr>
        <w:bidi/>
        <w:spacing w:line="360" w:lineRule="auto"/>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rtl/>
        </w:rPr>
        <w:t>و أما نتائج البحث الذي حصلها الباحث من هذا البحث فيمكن أن يلخص الباحث أن عدد</w:t>
      </w:r>
    </w:p>
    <w:p w14:paraId="357ADE0C"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الآيات سورة ص التي </w:t>
      </w:r>
      <w:r w:rsidRPr="001474CC">
        <w:rPr>
          <w:rFonts w:ascii="Sakkal Majalla" w:eastAsia="Noto Naskh Arabic" w:hAnsi="Sakkal Majalla" w:cs="Sakkal Majalla"/>
          <w:color w:val="27272A"/>
          <w:sz w:val="36"/>
          <w:szCs w:val="36"/>
          <w:rtl/>
        </w:rPr>
        <w:t xml:space="preserve">أتت </w:t>
      </w:r>
      <w:r w:rsidRPr="001474CC">
        <w:rPr>
          <w:rFonts w:ascii="Sakkal Majalla" w:eastAsia="Noto Naskh Arabic" w:hAnsi="Sakkal Majalla" w:cs="Sakkal Majalla"/>
          <w:color w:val="27272A"/>
          <w:sz w:val="36"/>
          <w:szCs w:val="36"/>
          <w:highlight w:val="white"/>
          <w:rtl/>
        </w:rPr>
        <w:t>بكلام الإنشاء الطلبي تتكون من كلام الأمر احدى و عشر ين آية،</w:t>
      </w:r>
    </w:p>
    <w:p w14:paraId="45A53B6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و كلام النهي ثالثة</w:t>
      </w:r>
      <w:r w:rsidRPr="001474CC">
        <w:rPr>
          <w:rFonts w:ascii="Sakkal Majalla" w:eastAsia="Noto Naskh Arabic" w:hAnsi="Sakkal Majalla" w:cs="Sakkal Majalla"/>
          <w:color w:val="27272A"/>
          <w:sz w:val="36"/>
          <w:szCs w:val="36"/>
          <w:rtl/>
        </w:rPr>
        <w:t xml:space="preserve"> آيات،</w:t>
      </w:r>
      <w:r w:rsidRPr="001474CC">
        <w:rPr>
          <w:rFonts w:ascii="Sakkal Majalla" w:eastAsia="Noto Naskh Arabic" w:hAnsi="Sakkal Majalla" w:cs="Sakkal Majalla"/>
          <w:color w:val="27272A"/>
          <w:sz w:val="36"/>
          <w:szCs w:val="36"/>
        </w:rPr>
        <w:t xml:space="preserve"> </w:t>
      </w:r>
      <w:r w:rsidRPr="001474CC">
        <w:rPr>
          <w:rFonts w:ascii="Sakkal Majalla" w:eastAsia="Noto Naskh Arabic" w:hAnsi="Sakkal Majalla" w:cs="Sakkal Majalla"/>
          <w:color w:val="27272A"/>
          <w:sz w:val="36"/>
          <w:szCs w:val="36"/>
          <w:highlight w:val="white"/>
          <w:rtl/>
        </w:rPr>
        <w:t xml:space="preserve">و كلام الإستفهام تسعة </w:t>
      </w:r>
      <w:r w:rsidRPr="001474CC">
        <w:rPr>
          <w:rFonts w:ascii="Sakkal Majalla" w:eastAsia="Noto Naskh Arabic" w:hAnsi="Sakkal Majalla" w:cs="Sakkal Majalla"/>
          <w:color w:val="27272A"/>
          <w:sz w:val="36"/>
          <w:szCs w:val="36"/>
          <w:rtl/>
        </w:rPr>
        <w:t xml:space="preserve">آيات، </w:t>
      </w:r>
      <w:r w:rsidRPr="001474CC">
        <w:rPr>
          <w:rFonts w:ascii="Sakkal Majalla" w:eastAsia="Noto Naskh Arabic" w:hAnsi="Sakkal Majalla" w:cs="Sakkal Majalla"/>
          <w:color w:val="27272A"/>
          <w:sz w:val="36"/>
          <w:szCs w:val="36"/>
          <w:highlight w:val="white"/>
          <w:rtl/>
        </w:rPr>
        <w:t xml:space="preserve">و كلام النداء </w:t>
      </w:r>
      <w:r w:rsidRPr="001474CC">
        <w:rPr>
          <w:rFonts w:ascii="Sakkal Majalla" w:eastAsia="Noto Naskh Arabic" w:hAnsi="Sakkal Majalla" w:cs="Sakkal Majalla"/>
          <w:color w:val="27272A"/>
          <w:sz w:val="36"/>
          <w:szCs w:val="36"/>
          <w:rtl/>
        </w:rPr>
        <w:t xml:space="preserve">آياتنا </w:t>
      </w:r>
      <w:r w:rsidRPr="001474CC">
        <w:rPr>
          <w:rFonts w:ascii="Sakkal Majalla" w:eastAsia="Noto Naskh Arabic" w:hAnsi="Sakkal Majalla" w:cs="Sakkal Majalla"/>
          <w:color w:val="27272A"/>
          <w:sz w:val="36"/>
          <w:szCs w:val="36"/>
          <w:highlight w:val="white"/>
          <w:rtl/>
        </w:rPr>
        <w:t>وأما معانيها متنوعة</w:t>
      </w:r>
    </w:p>
    <w:p w14:paraId="6EE52F2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منها معان الحقيقي وبعضها غير الحقيقي</w:t>
      </w:r>
    </w:p>
    <w:p w14:paraId="694F6068"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p w14:paraId="25326341" w14:textId="77777777" w:rsidR="00F440B6" w:rsidRPr="001474CC" w:rsidRDefault="00A84C65" w:rsidP="001474CC">
      <w:pPr>
        <w:spacing w:line="360" w:lineRule="auto"/>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سورة الأحزاب: دراسة بلاغية - ليلة المفيدة؛ نور مفيد</w:t>
      </w:r>
    </w:p>
    <w:p w14:paraId="1916768E" w14:textId="77777777" w:rsidR="00F440B6" w:rsidRPr="001474CC" w:rsidRDefault="00A84C65" w:rsidP="001474CC">
      <w:pPr>
        <w:spacing w:line="360" w:lineRule="auto"/>
        <w:jc w:val="right"/>
        <w:rPr>
          <w:rFonts w:ascii="Sakkal Majalla" w:eastAsia="Noto Naskh Arabic" w:hAnsi="Sakkal Majalla" w:cs="Sakkal Majalla"/>
          <w:color w:val="27272A"/>
          <w:sz w:val="32"/>
          <w:szCs w:val="32"/>
          <w:highlight w:val="white"/>
        </w:rPr>
      </w:pPr>
      <w:r w:rsidRPr="001474CC">
        <w:rPr>
          <w:rFonts w:ascii="Sakkal Majalla" w:eastAsia="Noto Naskh Arabic" w:hAnsi="Sakkal Majalla" w:cs="Sakkal Majalla"/>
          <w:color w:val="27272A"/>
          <w:sz w:val="32"/>
          <w:szCs w:val="32"/>
          <w:highlight w:val="white"/>
          <w:rtl/>
        </w:rPr>
        <w:t xml:space="preserve">استنادًا إلى النتائج التي تم الحصول عليها، يمكن القول إن سورة الأحزاب تحتوي على خمسة أشكال مختلفة من الكلام الإنشائي </w:t>
      </w:r>
      <w:r w:rsidRPr="001474CC">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2"/>
          <w:szCs w:val="32"/>
          <w:highlight w:val="white"/>
          <w:rtl/>
        </w:rPr>
        <w:t>وهي على النحو التالي: أمر (أمر)، نهي (منع)، استفهام (سؤال)، تمني (أمنية)، ونداء. يوجد في سورة الأحزاب 35 شكلًا من الأوامر في الآيات 1، 2، 3، 5، 9، 13، 16، 17، 28 (2)، 32، 33 (3)، 34، 37 (2)، 41، 42، 47، 48، 49 (2)، 53 (3)، 55، 56 (2)، 59، 63، 68 (2)، 70 (2) مع اختلاف المعنى الذي يحتويه، أي أمر حقيقي، وهناك 7 أشكال في الآيات 1، 32، 33، 48 (2)، 53، 69 مع معنى مختلف، أي معنى منع حقيقي وإرشاد. وفيما يتعلق بالاستفهام، هناك شكل واحد فقط في الآية 17 بمعنى مختلف. والشكل الأخير هو التمني الذي يوجد فيها فقط شكلان في الآيات 63 و 66 بمعنى التمني</w:t>
      </w:r>
      <w:r w:rsidRPr="001474CC">
        <w:rPr>
          <w:rFonts w:ascii="Sakkal Majalla" w:eastAsia="Noto Naskh Arabic" w:hAnsi="Sakkal Majalla" w:cs="Sakkal Majalla"/>
          <w:color w:val="27272A"/>
          <w:sz w:val="32"/>
          <w:szCs w:val="32"/>
          <w:highlight w:val="white"/>
        </w:rPr>
        <w:t>.</w:t>
      </w:r>
    </w:p>
    <w:p w14:paraId="0DCED312"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sectPr w:rsidR="00F440B6" w:rsidRPr="001474C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540B0" w14:textId="77777777" w:rsidR="000E49D8" w:rsidRDefault="000E49D8">
      <w:pPr>
        <w:spacing w:line="240" w:lineRule="auto"/>
      </w:pPr>
      <w:r>
        <w:separator/>
      </w:r>
    </w:p>
  </w:endnote>
  <w:endnote w:type="continuationSeparator" w:id="0">
    <w:p w14:paraId="14466659" w14:textId="77777777" w:rsidR="000E49D8" w:rsidRDefault="000E49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C1A58" w14:textId="77777777" w:rsidR="000E49D8" w:rsidRDefault="000E49D8">
      <w:pPr>
        <w:spacing w:line="240" w:lineRule="auto"/>
      </w:pPr>
      <w:r>
        <w:separator/>
      </w:r>
    </w:p>
  </w:footnote>
  <w:footnote w:type="continuationSeparator" w:id="0">
    <w:p w14:paraId="00F95A5D" w14:textId="77777777" w:rsidR="000E49D8" w:rsidRDefault="000E49D8">
      <w:pPr>
        <w:spacing w:line="240" w:lineRule="auto"/>
      </w:pPr>
      <w:r>
        <w:continuationSeparator/>
      </w:r>
    </w:p>
  </w:footnote>
  <w:footnote w:id="1">
    <w:p w14:paraId="43B3B9EC" w14:textId="2C021778" w:rsidR="003B0C26" w:rsidRPr="003B0C26" w:rsidRDefault="003B0C26">
      <w:pPr>
        <w:pStyle w:val="FootnoteText"/>
        <w:rPr>
          <w:lang w:val="en-US"/>
        </w:rPr>
      </w:pPr>
      <w:r>
        <w:rPr>
          <w:rStyle w:val="FootnoteReference"/>
        </w:rPr>
        <w:footnoteRef/>
      </w:r>
      <w:r>
        <w:t xml:space="preserve"> </w:t>
      </w:r>
      <w:r>
        <w:fldChar w:fldCharType="begin"/>
      </w:r>
      <w:r>
        <w:instrText xml:space="preserve"> ADDIN ZOTERO_ITEM CSL_CITATION {"citationID":"ReQuYYyY","properties":{"formattedCitation":"Sagala Rumadani, \\uc0\\u8220{}Buku: Balaghah\\uc0\\u8221{} (n.d.).","plainCitation":"Sagala Rumadani, “Buku: Balaghah” (n.d.).","noteIndex":1},"citationItems":[{"id":1,"uris":["http://zotero.org/users/local/PxK9EVr5/items/6UZ4G2H5"],"itemData":{"id":1,"type":"article-journal","note":"publisher: -","title":"Buku: Balaghah","author":[{"family":"Rumadani","given":"Sagala"}]}}],"schema":"https://github.com/citation-style-language/schema/raw/master/csl-citation.json"} </w:instrText>
      </w:r>
      <w:r>
        <w:fldChar w:fldCharType="separate"/>
      </w:r>
      <w:r w:rsidRPr="003B0C26">
        <w:rPr>
          <w:szCs w:val="24"/>
        </w:rPr>
        <w:t xml:space="preserve">Sagala </w:t>
      </w:r>
      <w:proofErr w:type="spellStart"/>
      <w:r w:rsidRPr="003B0C26">
        <w:rPr>
          <w:szCs w:val="24"/>
        </w:rPr>
        <w:t>Rumadani</w:t>
      </w:r>
      <w:proofErr w:type="spellEnd"/>
      <w:r w:rsidRPr="003B0C26">
        <w:rPr>
          <w:szCs w:val="24"/>
        </w:rPr>
        <w:t>, “</w:t>
      </w:r>
      <w:proofErr w:type="spellStart"/>
      <w:r w:rsidRPr="003B0C26">
        <w:rPr>
          <w:szCs w:val="24"/>
        </w:rPr>
        <w:t>Buku</w:t>
      </w:r>
      <w:proofErr w:type="spellEnd"/>
      <w:r w:rsidRPr="003B0C26">
        <w:rPr>
          <w:szCs w:val="24"/>
        </w:rPr>
        <w:t>: Balaghah” (n.d.).</w:t>
      </w:r>
      <w:r>
        <w:fldChar w:fldCharType="end"/>
      </w:r>
    </w:p>
  </w:footnote>
  <w:footnote w:id="2">
    <w:p w14:paraId="5810D5C4" w14:textId="67C6A3DE" w:rsidR="00392157" w:rsidRDefault="00392157">
      <w:pPr>
        <w:pStyle w:val="FootnoteText"/>
        <w:rPr>
          <w:rtl/>
          <w:lang w:bidi="ar-EG"/>
        </w:rPr>
      </w:pPr>
      <w:r>
        <w:rPr>
          <w:rStyle w:val="FootnoteReference"/>
        </w:rPr>
        <w:footnoteRef/>
      </w:r>
      <w:r>
        <w:t xml:space="preserve"> </w:t>
      </w:r>
      <w:r>
        <w:fldChar w:fldCharType="begin"/>
      </w:r>
      <w:r>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392157">
        <w:rPr>
          <w:szCs w:val="24"/>
        </w:rPr>
        <w:t xml:space="preserve">Muhammad Addien Nastiar, “Unsur Balaghah Dalam Surah Al-Qari’ah (Telaah Kitab Safwah al-Tafassir),” </w:t>
      </w:r>
      <w:r w:rsidRPr="00392157">
        <w:rPr>
          <w:i/>
          <w:iCs/>
          <w:szCs w:val="24"/>
        </w:rPr>
        <w:t>Jurnal Ilmu Agama: Mengkaji Doktrin, Pemikiran, dan Fenomena Agama</w:t>
      </w:r>
      <w:r w:rsidRPr="00392157">
        <w:rPr>
          <w:szCs w:val="24"/>
        </w:rPr>
        <w:t xml:space="preserve"> 24, no. 1 (2023): 1–19.</w:t>
      </w:r>
      <w:r>
        <w:fldChar w:fldCharType="end"/>
      </w:r>
    </w:p>
  </w:footnote>
  <w:footnote w:id="3">
    <w:p w14:paraId="7247C89B" w14:textId="75EF681F"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{"citationID":"Cz7GSJu3","properties":{"formattedCitation":"Ali Al-Jarim and Musthafa Amin, \\uc0\\u8220{}Al-Balaghah al-Wadhihah,\\uc0\\u8221{} {\\i{}Jakarta: Raudhah Faris} (2007).","plainCitation":"Ali Al-Jarim and Musthafa Amin, “Al-Balaghah al-Wadhihah,” Jakarta: Raudhah Faris (2007).","noteIndex":3},"citationItems":[{"id":6,"uris":["http://zotero.org/users/local/PxK9EVr5/items/9FIIPEWH"],"itemData":{"id":6,"type":"article-journal","container-title":"Jakarta: Raudhah Faris","title":"al-Balaghah al-Wadhihah","author":[{"family":"Al-Jarim","given":"Ali"},{"family":"Amin","given":"Musthafa"}],"issued":{"date-parts":[["2007"]]}}}],"schema":"https://github.com/citation-style-language/schema/raw/master/csl-citation.json"} </w:instrText>
      </w:r>
      <w:r>
        <w:fldChar w:fldCharType="separate"/>
      </w:r>
      <w:r w:rsidRPr="00392157">
        <w:rPr>
          <w:szCs w:val="24"/>
        </w:rPr>
        <w:t xml:space="preserve">Ali Al-Jarim and Musthafa Amin, “Al-Balaghah al-Wadhihah,” </w:t>
      </w:r>
      <w:r w:rsidRPr="00392157">
        <w:rPr>
          <w:i/>
          <w:iCs/>
          <w:szCs w:val="24"/>
        </w:rPr>
        <w:t>Jakarta: Raudhah Faris</w:t>
      </w:r>
      <w:r w:rsidRPr="00392157">
        <w:rPr>
          <w:szCs w:val="24"/>
        </w:rPr>
        <w:t xml:space="preserve"> (2007).</w:t>
      </w:r>
      <w:r>
        <w:fldChar w:fldCharType="end"/>
      </w:r>
    </w:p>
  </w:footnote>
  <w:footnote w:id="4">
    <w:p w14:paraId="7B2B8846" w14:textId="1D74F92C"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ATHLA: Journal of Arabic Teaching, Linguistic and Literature 2, no. 2 (2021): 165–179.","noteIndex":4},"citationItems":[{"id":31,"uris":["http://zotero.org/users/local/PxK9EVr5/items/YVNTDG89"],"itemData":{"id":31,"type":"article-journal","container-title":"ATHLA: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Pr>
          <w:rtl/>
        </w:rPr>
        <w:instrText>منهجيّة و الدّراسات البلاغيّة في مرحلة الازدهار (لمحة تاريخيّة في</w:instrText>
      </w:r>
      <w:r>
        <w:instrText xml:space="preserve"> </w:instrText>
      </w:r>
      <w:r>
        <w:rPr>
          <w:rtl/>
        </w:rPr>
        <w:instrText>نظرية الأدب العربيّ</w:instrText>
      </w:r>
      <w:r>
        <w:instrText xml:space="preserve">)","volume":"2","author":[{"family":"Farohidy","given":"Atiq"}],"issued":{"date-parts":[["2021"]]}}}],"schema":"https://github.com/citation-style-language/schema/raw/master/csl-citation.json"} </w:instrText>
      </w:r>
      <w:r>
        <w:fldChar w:fldCharType="separate"/>
      </w:r>
      <w:r w:rsidRPr="00392157">
        <w:rPr>
          <w:szCs w:val="24"/>
        </w:rPr>
        <w:t>Atiq Farohidy, “The Development of Balaghah Studies During The Dynamic of Studies (A Historical Glimpse into The Theory of Arabic Literature)/</w:t>
      </w:r>
      <w:r w:rsidRPr="00392157">
        <w:rPr>
          <w:szCs w:val="24"/>
          <w:rtl/>
        </w:rPr>
        <w:t>منهجيّة و الدّراسات البلاغيّة في مرحلة الازدهار (لمحة تاريخيّة في نظرية الأدب العربيّ)</w:t>
      </w:r>
      <w:r w:rsidRPr="00392157">
        <w:rPr>
          <w:szCs w:val="24"/>
        </w:rPr>
        <w:t xml:space="preserve">,” </w:t>
      </w:r>
      <w:r w:rsidRPr="00392157">
        <w:rPr>
          <w:i/>
          <w:iCs/>
          <w:szCs w:val="24"/>
        </w:rPr>
        <w:t>ATHLA: Journal of Arabic Teaching, Linguistic and Literature</w:t>
      </w:r>
      <w:r w:rsidRPr="00392157">
        <w:rPr>
          <w:szCs w:val="24"/>
        </w:rPr>
        <w:t xml:space="preserve"> 2, no. 2 (2021): 165–179.</w:t>
      </w:r>
      <w:r>
        <w:fldChar w:fldCharType="end"/>
      </w:r>
    </w:p>
  </w:footnote>
  <w:footnote w:id="5">
    <w:p w14:paraId="0266D0FE" w14:textId="1593A062"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Pr>
          <w:rtl/>
        </w:rPr>
        <w:instrText>لسـانـنـا</w:instrText>
      </w:r>
      <w:r>
        <w:instrText xml:space="preserve"> (LISANUNA): Jurnal Ilmu Bahasa Arab dan Pembelajarannya 10, no. 1 (2020): 55–69.","noteIndex":5},"citationItems":[{"id":15,"uris":["http://zotero.org/users/local/PxK9EVr5/items/CU2S3XM8"],"itemData":{"id":15,"type":"article-journal","container-title":"</w:instrText>
      </w:r>
      <w:r>
        <w:rPr>
          <w:rtl/>
        </w:rPr>
        <w:instrText>لسـانـنـا</w:instrText>
      </w:r>
      <w: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392157">
        <w:rPr>
          <w:szCs w:val="24"/>
        </w:rPr>
        <w:t xml:space="preserve">Inggo Nugraha, “PEMAKAIAN USLUB AL-HAKIM DALAM ALQURAN,” </w:t>
      </w:r>
      <w:r w:rsidRPr="00392157">
        <w:rPr>
          <w:i/>
          <w:iCs/>
          <w:szCs w:val="24"/>
          <w:rtl/>
        </w:rPr>
        <w:t>لسـانـنـا</w:t>
      </w:r>
      <w:r w:rsidRPr="00392157">
        <w:rPr>
          <w:i/>
          <w:iCs/>
          <w:szCs w:val="24"/>
        </w:rPr>
        <w:t xml:space="preserve"> (LISANUNA): Jurnal Ilmu Bahasa Arab dan Pembelajarannya</w:t>
      </w:r>
      <w:r w:rsidRPr="00392157">
        <w:rPr>
          <w:szCs w:val="24"/>
        </w:rPr>
        <w:t xml:space="preserve"> 10, no. 1 (2020): 55–69.</w:t>
      </w:r>
      <w:r>
        <w:fldChar w:fldCharType="end"/>
      </w:r>
    </w:p>
  </w:footnote>
  <w:footnote w:id="6">
    <w:p w14:paraId="52292A26" w14:textId="34302364" w:rsidR="008E2A0C" w:rsidRPr="008E2A0C" w:rsidRDefault="008E2A0C">
      <w:pPr>
        <w:pStyle w:val="FootnoteText"/>
        <w:rPr>
          <w:lang w:val="en-US"/>
        </w:rPr>
      </w:pPr>
      <w:r>
        <w:rPr>
          <w:rStyle w:val="FootnoteReference"/>
        </w:rPr>
        <w:footnoteRef/>
      </w:r>
      <w:r>
        <w:t xml:space="preserve"> </w:t>
      </w:r>
      <w:r>
        <w:fldChar w:fldCharType="begin"/>
      </w:r>
      <w:r>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169–186.","noteIndex":6},"citationItems":[{"id":32,"uris":["http://zotero.org/users/local/PxK9EVr5/items/6XFUEIUI"],"itemData":{"id":32,"type":"article-journal","container-title":"Asālīb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8E2A0C">
        <w:rPr>
          <w:szCs w:val="24"/>
        </w:rPr>
        <w:t xml:space="preserve">Muhammad Wahyudi, “Asālīb Al-Balāghiyyah Wa Ma’ānīhā Fī Surati-l-Fath (Dirāsah Tahlīliyyah Balāghiyyah),” </w:t>
      </w:r>
      <w:r w:rsidRPr="008E2A0C">
        <w:rPr>
          <w:i/>
          <w:iCs/>
          <w:szCs w:val="24"/>
        </w:rPr>
        <w:t>Asālīb Al-Balāghiyyah Wa Ma’ānīhā Fī Surati-l-Fath (Dirāsah Tahlīliyyah Balāghiyyah)</w:t>
      </w:r>
      <w:r w:rsidRPr="008E2A0C">
        <w:rPr>
          <w:szCs w:val="24"/>
        </w:rPr>
        <w:t xml:space="preserve"> 9, no. 1 (2022): 169–186.</w:t>
      </w:r>
      <w:r>
        <w:fldChar w:fldCharType="end"/>
      </w:r>
    </w:p>
  </w:footnote>
  <w:footnote w:id="7">
    <w:p w14:paraId="6B2BF267" w14:textId="61406EAD" w:rsidR="00E20DB1" w:rsidRDefault="00E20DB1">
      <w:pPr>
        <w:pStyle w:val="FootnoteText"/>
        <w:rPr>
          <w:rtl/>
          <w:lang w:bidi="ar-EG"/>
        </w:rPr>
      </w:pPr>
      <w:r>
        <w:rPr>
          <w:rStyle w:val="FootnoteReference"/>
        </w:rPr>
        <w:footnoteRef/>
      </w:r>
      <w:r>
        <w:t xml:space="preserve"> </w:t>
      </w:r>
      <w:proofErr w:type="spellStart"/>
      <w:r w:rsidR="00564892">
        <w:rPr>
          <w:rFonts w:eastAsia="Times New Roman"/>
        </w:rPr>
        <w:t>Marhaban</w:t>
      </w:r>
      <w:proofErr w:type="spellEnd"/>
      <w:r w:rsidR="00564892">
        <w:rPr>
          <w:rFonts w:eastAsia="Times New Roman"/>
        </w:rPr>
        <w:t xml:space="preserve"> </w:t>
      </w:r>
      <w:proofErr w:type="spellStart"/>
      <w:r w:rsidR="00564892">
        <w:rPr>
          <w:rFonts w:eastAsia="Times New Roman"/>
        </w:rPr>
        <w:t>Marhaban</w:t>
      </w:r>
      <w:proofErr w:type="spellEnd"/>
      <w:r w:rsidR="00564892">
        <w:rPr>
          <w:rFonts w:eastAsia="Times New Roman"/>
        </w:rPr>
        <w:t xml:space="preserve">, </w:t>
      </w:r>
      <w:proofErr w:type="spellStart"/>
      <w:r w:rsidR="00564892">
        <w:rPr>
          <w:rFonts w:eastAsia="Times New Roman"/>
        </w:rPr>
        <w:t>Rusydi</w:t>
      </w:r>
      <w:proofErr w:type="spellEnd"/>
      <w:r w:rsidR="00564892">
        <w:rPr>
          <w:rFonts w:eastAsia="Times New Roman"/>
        </w:rPr>
        <w:t xml:space="preserve"> Khalid, </w:t>
      </w:r>
      <w:r w:rsidR="00564892">
        <w:rPr>
          <w:rFonts w:eastAsia="Times New Roman"/>
          <w:rtl/>
        </w:rPr>
        <w:t xml:space="preserve">و </w:t>
      </w:r>
      <w:r w:rsidR="00564892">
        <w:rPr>
          <w:rFonts w:eastAsia="Times New Roman"/>
        </w:rPr>
        <w:t xml:space="preserve">Amrah Kasim, "USLUB AL-INSYA DALAM QS. AL-MAIDAH (KAJIAN ANALISIS BALAGAH)", </w:t>
      </w:r>
      <w:proofErr w:type="spellStart"/>
      <w:r w:rsidR="00564892">
        <w:rPr>
          <w:rFonts w:eastAsia="Times New Roman"/>
          <w:i/>
          <w:iCs/>
        </w:rPr>
        <w:t>Jurnal</w:t>
      </w:r>
      <w:proofErr w:type="spellEnd"/>
      <w:r w:rsidR="00564892">
        <w:rPr>
          <w:rFonts w:eastAsia="Times New Roman"/>
          <w:i/>
          <w:iCs/>
        </w:rPr>
        <w:t xml:space="preserve"> </w:t>
      </w:r>
      <w:proofErr w:type="spellStart"/>
      <w:r w:rsidR="00564892">
        <w:rPr>
          <w:rFonts w:eastAsia="Times New Roman"/>
          <w:i/>
          <w:iCs/>
        </w:rPr>
        <w:t>Diskursus</w:t>
      </w:r>
      <w:proofErr w:type="spellEnd"/>
      <w:r w:rsidR="00564892">
        <w:rPr>
          <w:rFonts w:eastAsia="Times New Roman"/>
          <w:i/>
          <w:iCs/>
        </w:rPr>
        <w:t xml:space="preserve"> Islam</w:t>
      </w:r>
      <w:r w:rsidR="00564892">
        <w:rPr>
          <w:rFonts w:eastAsia="Times New Roman"/>
        </w:rPr>
        <w:t xml:space="preserve"> 6, </w:t>
      </w:r>
      <w:r w:rsidR="00564892">
        <w:rPr>
          <w:rFonts w:eastAsia="Times New Roman"/>
          <w:rtl/>
        </w:rPr>
        <w:t xml:space="preserve">عدد </w:t>
      </w:r>
      <w:r w:rsidR="00564892">
        <w:rPr>
          <w:rFonts w:eastAsia="Times New Roman"/>
        </w:rPr>
        <w:t>3 (2018): 562–78.</w:t>
      </w:r>
    </w:p>
  </w:footnote>
  <w:footnote w:id="8">
    <w:p w14:paraId="420BF4E3" w14:textId="161F23AF" w:rsidR="00781C76" w:rsidRDefault="00781C76">
      <w:pPr>
        <w:pStyle w:val="FootnoteText"/>
        <w:rPr>
          <w:rFonts w:hint="cs"/>
          <w:rtl/>
          <w:lang w:bidi="ar-EG"/>
        </w:rPr>
      </w:pPr>
      <w:r>
        <w:rPr>
          <w:rStyle w:val="FootnoteReference"/>
        </w:rPr>
        <w:footnoteRef/>
      </w:r>
      <w:r>
        <w:t xml:space="preserve"> </w:t>
      </w:r>
      <w:r>
        <w:fldChar w:fldCharType="begin"/>
      </w:r>
      <w:r>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(1957).","noteIndex":8},"citationItems":[{"id":33,"uris":["http://zotero.org/users/local/PxK9EVr5/items/228NWXCX"],"itemData":{"id":33,"type":"article-journal","note":"publisher: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781C76">
        <w:rPr>
          <w:szCs w:val="24"/>
        </w:rPr>
        <w:t>Badr al-Din Muhammad ibn Abdullah, “Ibn Bahadir Al-</w:t>
      </w:r>
      <w:proofErr w:type="spellStart"/>
      <w:r w:rsidRPr="00781C76">
        <w:rPr>
          <w:szCs w:val="24"/>
        </w:rPr>
        <w:t>Zarkasyi</w:t>
      </w:r>
      <w:proofErr w:type="spellEnd"/>
      <w:r w:rsidRPr="00781C76">
        <w:rPr>
          <w:szCs w:val="24"/>
        </w:rPr>
        <w:t xml:space="preserve">, al-Burhan </w:t>
      </w:r>
      <w:proofErr w:type="spellStart"/>
      <w:r w:rsidRPr="00781C76">
        <w:rPr>
          <w:szCs w:val="24"/>
        </w:rPr>
        <w:t>Fî’Ulum</w:t>
      </w:r>
      <w:proofErr w:type="spellEnd"/>
      <w:r w:rsidRPr="00781C76">
        <w:rPr>
          <w:szCs w:val="24"/>
        </w:rPr>
        <w:t xml:space="preserve"> al-Quran” (1957).</w:t>
      </w:r>
      <w:r>
        <w:fldChar w:fldCharType="end"/>
      </w:r>
    </w:p>
  </w:footnote>
  <w:footnote w:id="9">
    <w:p w14:paraId="4C22B999" w14:textId="1480372E" w:rsidR="00781C76" w:rsidRDefault="00781C76">
      <w:pPr>
        <w:pStyle w:val="FootnoteText"/>
        <w:rPr>
          <w:rFonts w:hint="cs"/>
          <w:rtl/>
          <w:lang w:bidi="ar-EG"/>
        </w:rPr>
      </w:pPr>
      <w:r>
        <w:rPr>
          <w:rStyle w:val="FootnoteReference"/>
        </w:rPr>
        <w:footnoteRef/>
      </w:r>
      <w:r>
        <w:t xml:space="preserve"> </w:t>
      </w:r>
      <w:r>
        <w:fldChar w:fldCharType="begin"/>
      </w:r>
      <w: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Pr>
          <w:rtl/>
        </w:rPr>
        <w:instrText>عبدالرحمن بن محمد بن خلدون, مقدمة ابن خلدون (دار الارقم بن ابي الارقم-بيروت/لبنان, 2016</w:instrText>
      </w:r>
      <w:r>
        <w:instrText>).","noteIndex":9},"citationItems":[{"id":44,"uris":["http://zotero.org/users/local/PxK9EVr5/items/VRA7G4I3"],"itemData":{"id":44,"type":"book","ISBN":"9953-442-99-1","publisher":"</w:instrText>
      </w:r>
      <w:r>
        <w:rPr>
          <w:rtl/>
        </w:rPr>
        <w:instrText>دار الارقم بن ابي الارقم-بيروت/لبنان</w:instrText>
      </w:r>
      <w:r>
        <w:instrText>","title":"</w:instrText>
      </w:r>
      <w:r>
        <w:rPr>
          <w:rtl/>
        </w:rPr>
        <w:instrText>مقدمة ابن خلدون</w:instrText>
      </w:r>
      <w:r>
        <w:instrText>","author":[{"literal":"</w:instrText>
      </w:r>
      <w:r>
        <w:rPr>
          <w:rtl/>
        </w:rPr>
        <w:instrText>عبدالرحمن بن محمد بن خلدون</w:instrText>
      </w:r>
      <w:r>
        <w:instrText xml:space="preserve">"}],"issued":{"date-parts":[["2016"]]}}}],"schema":"https://github.com/citation-style-language/schema/raw/master/csl-citation.json"} </w:instrText>
      </w:r>
      <w:r>
        <w:fldChar w:fldCharType="separate"/>
      </w:r>
      <w:r w:rsidRPr="00781C76">
        <w:rPr>
          <w:szCs w:val="24"/>
          <w:rtl/>
        </w:rPr>
        <w:t xml:space="preserve">عبدالرحمن بن محمد بن خلدون, </w:t>
      </w:r>
      <w:r w:rsidRPr="00781C76">
        <w:rPr>
          <w:i/>
          <w:iCs/>
          <w:szCs w:val="24"/>
          <w:rtl/>
        </w:rPr>
        <w:t>مقدمة ابن خلدون</w:t>
      </w:r>
      <w:r w:rsidRPr="00781C76">
        <w:rPr>
          <w:szCs w:val="24"/>
          <w:rtl/>
        </w:rPr>
        <w:t xml:space="preserve"> (دار الارقم بن ابي الارقم-بيروت/لبنان, 2016)</w:t>
      </w:r>
      <w:r w:rsidRPr="00781C76">
        <w:rPr>
          <w:szCs w:val="24"/>
        </w:rPr>
        <w:t>.</w:t>
      </w:r>
      <w:r>
        <w:fldChar w:fldCharType="end"/>
      </w:r>
    </w:p>
  </w:footnote>
  <w:footnote w:id="10">
    <w:p w14:paraId="16E76A3C" w14:textId="70982297" w:rsidR="00F179F0" w:rsidRDefault="00F179F0">
      <w:pPr>
        <w:pStyle w:val="FootnoteText"/>
        <w:rPr>
          <w:rFonts w:hint="cs"/>
          <w:rtl/>
          <w:lang w:bidi="ar-EG"/>
        </w:rPr>
      </w:pPr>
      <w:r>
        <w:rPr>
          <w:rStyle w:val="FootnoteReference"/>
        </w:rPr>
        <w:footnoteRef/>
      </w:r>
      <w:r>
        <w:t xml:space="preserve"> </w:t>
      </w:r>
      <w:r>
        <w:fldChar w:fldCharType="begin"/>
      </w:r>
      <w: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Pr>
          <w:rtl/>
        </w:rPr>
        <w:instrText>الدكتور عبد العزيز عتيق, علم البديع, 1718 (بيروت - لبنان: دار النهضة العربية</w:instrText>
      </w:r>
      <w:r>
        <w:instrText>, n.d.).","noteIndex":10},"citationItems":[{"id":45,"uris":["http://zotero.org/users/local/PxK9EVr5/items/49G8C6AB"],"itemData":{"id":45,"type":"book","collection-title":"1718","event-place":"</w:instrText>
      </w:r>
      <w:r>
        <w:rPr>
          <w:rtl/>
        </w:rPr>
        <w:instrText>بيروت - لبنان</w:instrText>
      </w:r>
      <w:r>
        <w:instrText>","language":"</w:instrText>
      </w:r>
      <w:r>
        <w:rPr>
          <w:rtl/>
        </w:rPr>
        <w:instrText>العربية</w:instrText>
      </w:r>
      <w:r>
        <w:instrText>","number-of-pages":"248","publisher":"</w:instrText>
      </w:r>
      <w:r>
        <w:rPr>
          <w:rtl/>
        </w:rPr>
        <w:instrText>دار النهضة العربية</w:instrText>
      </w:r>
      <w:r>
        <w:instrText>","publisher-place":"</w:instrText>
      </w:r>
      <w:r>
        <w:rPr>
          <w:rtl/>
        </w:rPr>
        <w:instrText>بيروت - لبنان</w:instrText>
      </w:r>
      <w:r>
        <w:instrText>","title":"</w:instrText>
      </w:r>
      <w:r>
        <w:rPr>
          <w:rtl/>
        </w:rPr>
        <w:instrText>علم البديع</w:instrText>
      </w:r>
      <w:r>
        <w:instrText>","author":[{"family":"</w:instrText>
      </w:r>
      <w:r>
        <w:rPr>
          <w:rtl/>
        </w:rPr>
        <w:instrText>عتيق</w:instrText>
      </w:r>
      <w:r>
        <w:instrText>","given":"</w:instrText>
      </w:r>
      <w:r>
        <w:rPr>
          <w:rtl/>
        </w:rPr>
        <w:instrText>الدكتور عبد العزيز</w:instrText>
      </w:r>
      <w:r>
        <w:instrText xml:space="preserve">"}]}}],"schema":"https://github.com/citation-style-language/schema/raw/master/csl-citation.json"} </w:instrText>
      </w:r>
      <w:r>
        <w:fldChar w:fldCharType="separate"/>
      </w:r>
      <w:r w:rsidRPr="00F179F0">
        <w:rPr>
          <w:szCs w:val="24"/>
          <w:rtl/>
        </w:rPr>
        <w:t xml:space="preserve">الدكتور عبد العزيز عتيق, </w:t>
      </w:r>
      <w:r w:rsidRPr="00F179F0">
        <w:rPr>
          <w:i/>
          <w:iCs/>
          <w:szCs w:val="24"/>
          <w:rtl/>
        </w:rPr>
        <w:t>علم البديع</w:t>
      </w:r>
      <w:r w:rsidRPr="00F179F0">
        <w:rPr>
          <w:szCs w:val="24"/>
          <w:rtl/>
        </w:rPr>
        <w:t>, 1718</w:t>
      </w:r>
      <w:r w:rsidRPr="00F179F0">
        <w:rPr>
          <w:szCs w:val="24"/>
        </w:rPr>
        <w:t xml:space="preserve"> (</w:t>
      </w:r>
      <w:r w:rsidRPr="00F179F0">
        <w:rPr>
          <w:szCs w:val="24"/>
          <w:rtl/>
        </w:rPr>
        <w:t>بيروت - لبنان: دار النهضة العربية</w:t>
      </w:r>
      <w:r w:rsidRPr="00F179F0">
        <w:rPr>
          <w:szCs w:val="24"/>
        </w:rPr>
        <w:t>, n.d.).</w:t>
      </w:r>
      <w:r>
        <w:fldChar w:fldCharType="end"/>
      </w:r>
    </w:p>
  </w:footnote>
  <w:footnote w:id="11">
    <w:p w14:paraId="4090CD61" w14:textId="6B4BF3AA" w:rsidR="0042095A" w:rsidRDefault="0042095A">
      <w:pPr>
        <w:pStyle w:val="FootnoteText"/>
        <w:rPr>
          <w:rFonts w:hint="cs"/>
          <w:rtl/>
          <w:lang w:bidi="ar-EG"/>
        </w:rPr>
      </w:pPr>
      <w:r>
        <w:rPr>
          <w:rStyle w:val="FootnoteReference"/>
        </w:rPr>
        <w:footnoteRef/>
      </w:r>
      <w:r>
        <w:t xml:space="preserve"> </w:t>
      </w:r>
      <w:r>
        <w:fldChar w:fldCharType="begin"/>
      </w:r>
      <w:r>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Pr>
          <w:rtl/>
        </w:rPr>
        <w:instrText>أبو الحسن الجرجاني, الوساطة بين المتنبي وخصومه</w:instrText>
      </w:r>
      <w:r>
        <w:instrText xml:space="preserve"> (Rufoof, 2008).","noteIndex":11},"citationItems":[{"id":46,"uris":["http://zotero.org/users/local/PxK9EVr5/items/WY4KY2ZV"],"itemData":{"id":46,"type":"book","ISBN":"6949136684","publisher":"Rufoof","title":"</w:instrText>
      </w:r>
      <w:r>
        <w:rPr>
          <w:rtl/>
        </w:rPr>
        <w:instrText>الوساطة بين المتنبي وخصومه</w:instrText>
      </w:r>
      <w:r>
        <w:instrText>","author":[{"literal":"</w:instrText>
      </w:r>
      <w:r>
        <w:rPr>
          <w:rtl/>
        </w:rPr>
        <w:instrText>أبو الحسن الجرجاني</w:instrText>
      </w:r>
      <w:r>
        <w:instrText xml:space="preserve">"}],"issued":{"date-parts":[["2008"]]}}}],"schema":"https://github.com/citation-style-language/schema/raw/master/csl-citation.json"} </w:instrText>
      </w:r>
      <w:r>
        <w:fldChar w:fldCharType="separate"/>
      </w:r>
      <w:r w:rsidRPr="0042095A">
        <w:rPr>
          <w:szCs w:val="24"/>
          <w:rtl/>
        </w:rPr>
        <w:t xml:space="preserve">أبو الحسن الجرجاني, </w:t>
      </w:r>
      <w:r w:rsidRPr="0042095A">
        <w:rPr>
          <w:i/>
          <w:iCs/>
          <w:szCs w:val="24"/>
          <w:rtl/>
        </w:rPr>
        <w:t>الوساطة بين المتنبي وخصومه</w:t>
      </w:r>
      <w:r w:rsidR="00FF15A2">
        <w:rPr>
          <w:rFonts w:hint="cs"/>
          <w:i/>
          <w:iCs/>
          <w:szCs w:val="24"/>
          <w:rtl/>
        </w:rPr>
        <w:t xml:space="preserve">,  </w:t>
      </w:r>
      <w:r w:rsidR="00FF15A2">
        <w:rPr>
          <w:rFonts w:hint="cs"/>
          <w:rtl/>
        </w:rPr>
        <w:t xml:space="preserve">ص </w:t>
      </w:r>
      <w:r w:rsidR="00FF15A2" w:rsidRPr="0042095A">
        <w:rPr>
          <w:rtl/>
          <w:lang w:bidi="fa-IR"/>
        </w:rPr>
        <w:t>۳۱۹ - ۳۲۰</w:t>
      </w:r>
      <w:r w:rsidRPr="0042095A">
        <w:rPr>
          <w:szCs w:val="24"/>
        </w:rPr>
        <w:t xml:space="preserve"> (</w:t>
      </w:r>
      <w:proofErr w:type="spellStart"/>
      <w:r w:rsidRPr="0042095A">
        <w:rPr>
          <w:szCs w:val="24"/>
        </w:rPr>
        <w:t>Rufoof</w:t>
      </w:r>
      <w:proofErr w:type="spellEnd"/>
      <w:r w:rsidRPr="0042095A">
        <w:rPr>
          <w:szCs w:val="24"/>
        </w:rPr>
        <w:t xml:space="preserve">, </w:t>
      </w:r>
      <w:r w:rsidRPr="0042095A">
        <w:rPr>
          <w:szCs w:val="24"/>
          <w:rtl/>
        </w:rPr>
        <w:t>2008</w:t>
      </w:r>
      <w:r w:rsidRPr="0042095A">
        <w:rPr>
          <w:szCs w:val="24"/>
        </w:rPr>
        <w:t>)</w:t>
      </w:r>
      <w:r w:rsidR="00FF15A2">
        <w:rPr>
          <w:rFonts w:hint="cs"/>
          <w:szCs w:val="24"/>
          <w:rtl/>
        </w:rPr>
        <w:t xml:space="preserve"> </w:t>
      </w:r>
      <w:r w:rsidRPr="0042095A">
        <w:rPr>
          <w:szCs w:val="24"/>
        </w:rPr>
        <w:t>.</w:t>
      </w:r>
      <w:r>
        <w:fldChar w:fldCharType="end"/>
      </w:r>
      <w:r>
        <w:rPr>
          <w:rFonts w:hint="cs"/>
          <w:rtl/>
        </w:rPr>
        <w:t xml:space="preserve"> </w:t>
      </w:r>
    </w:p>
  </w:footnote>
  <w:footnote w:id="12">
    <w:p w14:paraId="3FB52429" w14:textId="64CEF63F" w:rsidR="00FF15A2" w:rsidRDefault="00FF15A2">
      <w:pPr>
        <w:pStyle w:val="FootnoteText"/>
        <w:rPr>
          <w:rFonts w:hint="cs"/>
          <w:rtl/>
          <w:lang w:bidi="ar-EG"/>
        </w:rPr>
      </w:pPr>
      <w:r>
        <w:rPr>
          <w:rStyle w:val="FootnoteReference"/>
        </w:rPr>
        <w:footnoteRef/>
      </w:r>
      <w:r>
        <w:t xml:space="preserve"> </w:t>
      </w:r>
      <w:r>
        <w:fldChar w:fldCharType="begin"/>
      </w:r>
      <w: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Pr>
          <w:rtl/>
        </w:rPr>
        <w:instrText>عبد العزيز عتيق, “علم البيان</w:instrText>
      </w:r>
      <w:r>
        <w:instrText xml:space="preserve">” (n.d.).","noteIndex":12},"citationItems":[{"id":47,"uris":["http://zotero.org/users/local/PxK9EVr5/items/Q7G22DEN"],"itemData":{"id":47,"type":"article-journal","note":"publisher: </w:instrText>
      </w:r>
      <w:r>
        <w:rPr>
          <w:rtl/>
        </w:rPr>
        <w:instrText>دار النهضة العربية، بيروت</w:instrText>
      </w:r>
      <w:r>
        <w:instrText>","title":"</w:instrText>
      </w:r>
      <w:r>
        <w:rPr>
          <w:rtl/>
        </w:rPr>
        <w:instrText>علم البيان</w:instrText>
      </w:r>
      <w:r>
        <w:instrText>","author":[{"literal":"</w:instrText>
      </w:r>
      <w:r>
        <w:rPr>
          <w:rtl/>
        </w:rPr>
        <w:instrText>عبد العزيز عتيق</w:instrText>
      </w:r>
      <w:r>
        <w:instrText xml:space="preserve">"}]}}],"schema":"https://github.com/citation-style-language/schema/raw/master/csl-citation.json"} </w:instrText>
      </w:r>
      <w:r>
        <w:fldChar w:fldCharType="separate"/>
      </w:r>
      <w:r w:rsidRPr="00FF15A2">
        <w:rPr>
          <w:szCs w:val="24"/>
          <w:rtl/>
        </w:rPr>
        <w:t>عبد العزيز عتيق, “علم البيان</w:t>
      </w:r>
      <w:r w:rsidRPr="00FF15A2">
        <w:rPr>
          <w:szCs w:val="24"/>
        </w:rPr>
        <w:t>” (n.d.).</w:t>
      </w:r>
      <w:r>
        <w:fldChar w:fldCharType="end"/>
      </w:r>
    </w:p>
  </w:footnote>
  <w:footnote w:id="13">
    <w:p w14:paraId="345918D7" w14:textId="4CCBFB13" w:rsidR="00A2554B" w:rsidRDefault="00A2554B">
      <w:pPr>
        <w:pStyle w:val="FootnoteText"/>
        <w:rPr>
          <w:rtl/>
          <w:lang w:bidi="ar-EG"/>
        </w:rPr>
      </w:pPr>
      <w:r>
        <w:rPr>
          <w:rStyle w:val="FootnoteReference"/>
        </w:rPr>
        <w:footnoteRef/>
      </w:r>
      <w:r>
        <w:t xml:space="preserve"> </w:t>
      </w:r>
      <w:r w:rsidR="00564892">
        <w:rPr>
          <w:rFonts w:eastAsia="Times New Roman"/>
        </w:rPr>
        <w:t xml:space="preserve">Edi </w:t>
      </w:r>
      <w:proofErr w:type="spellStart"/>
      <w:r w:rsidR="00564892">
        <w:rPr>
          <w:rFonts w:eastAsia="Times New Roman"/>
        </w:rPr>
        <w:t>Komarudin</w:t>
      </w:r>
      <w:proofErr w:type="spellEnd"/>
      <w:r w:rsidR="00564892">
        <w:rPr>
          <w:rFonts w:eastAsia="Times New Roman"/>
        </w:rPr>
        <w:t>, "</w:t>
      </w:r>
      <w:proofErr w:type="spellStart"/>
      <w:r w:rsidR="00564892">
        <w:rPr>
          <w:rFonts w:eastAsia="Times New Roman"/>
        </w:rPr>
        <w:t>Isti’arah</w:t>
      </w:r>
      <w:proofErr w:type="spellEnd"/>
      <w:r w:rsidR="00564892">
        <w:rPr>
          <w:rFonts w:eastAsia="Times New Roman"/>
        </w:rPr>
        <w:t xml:space="preserve"> Dan </w:t>
      </w:r>
      <w:proofErr w:type="spellStart"/>
      <w:r w:rsidR="00564892">
        <w:rPr>
          <w:rFonts w:eastAsia="Times New Roman"/>
        </w:rPr>
        <w:t>Efek</w:t>
      </w:r>
      <w:proofErr w:type="spellEnd"/>
      <w:r w:rsidR="00564892">
        <w:rPr>
          <w:rFonts w:eastAsia="Times New Roman"/>
        </w:rPr>
        <w:t xml:space="preserve"> Yang </w:t>
      </w:r>
      <w:proofErr w:type="spellStart"/>
      <w:r w:rsidR="00564892">
        <w:rPr>
          <w:rFonts w:eastAsia="Times New Roman"/>
        </w:rPr>
        <w:t>Ditimbulkannya</w:t>
      </w:r>
      <w:proofErr w:type="spellEnd"/>
      <w:r w:rsidR="00564892">
        <w:rPr>
          <w:rFonts w:eastAsia="Times New Roman"/>
        </w:rPr>
        <w:t xml:space="preserve"> Dalam Bahasa Al-Qur’ān Surah Al-Baqarah Dan </w:t>
      </w:r>
      <w:proofErr w:type="spellStart"/>
      <w:r w:rsidR="00564892">
        <w:rPr>
          <w:rFonts w:eastAsia="Times New Roman"/>
        </w:rPr>
        <w:t>Âli</w:t>
      </w:r>
      <w:proofErr w:type="spellEnd"/>
      <w:r w:rsidR="00564892">
        <w:rPr>
          <w:rFonts w:eastAsia="Times New Roman"/>
        </w:rPr>
        <w:t xml:space="preserve"> </w:t>
      </w:r>
      <w:proofErr w:type="spellStart"/>
      <w:r w:rsidR="00564892">
        <w:rPr>
          <w:rFonts w:eastAsia="Times New Roman"/>
        </w:rPr>
        <w:t>Mrân</w:t>
      </w:r>
      <w:proofErr w:type="spellEnd"/>
      <w:r w:rsidR="00564892">
        <w:rPr>
          <w:rFonts w:eastAsia="Times New Roman"/>
        </w:rPr>
        <w:t xml:space="preserve">", </w:t>
      </w:r>
      <w:r w:rsidR="00564892">
        <w:rPr>
          <w:rFonts w:eastAsia="Times New Roman"/>
          <w:i/>
          <w:iCs/>
        </w:rPr>
        <w:t>Al-</w:t>
      </w:r>
      <w:proofErr w:type="spellStart"/>
      <w:r w:rsidR="00564892">
        <w:rPr>
          <w:rFonts w:eastAsia="Times New Roman"/>
          <w:i/>
          <w:iCs/>
        </w:rPr>
        <w:t>Tsaqafa</w:t>
      </w:r>
      <w:proofErr w:type="spellEnd"/>
      <w:r w:rsidR="00564892">
        <w:rPr>
          <w:rFonts w:eastAsia="Times New Roman"/>
          <w:i/>
          <w:iCs/>
        </w:rPr>
        <w:t xml:space="preserve">: </w:t>
      </w:r>
      <w:proofErr w:type="spellStart"/>
      <w:r w:rsidR="00564892">
        <w:rPr>
          <w:rFonts w:eastAsia="Times New Roman"/>
          <w:i/>
          <w:iCs/>
        </w:rPr>
        <w:t>Jurnal</w:t>
      </w:r>
      <w:proofErr w:type="spellEnd"/>
      <w:r w:rsidR="00564892">
        <w:rPr>
          <w:rFonts w:eastAsia="Times New Roman"/>
          <w:i/>
          <w:iCs/>
        </w:rPr>
        <w:t xml:space="preserve"> </w:t>
      </w:r>
      <w:proofErr w:type="spellStart"/>
      <w:r w:rsidR="00564892">
        <w:rPr>
          <w:rFonts w:eastAsia="Times New Roman"/>
          <w:i/>
          <w:iCs/>
        </w:rPr>
        <w:t>Ilmiah</w:t>
      </w:r>
      <w:proofErr w:type="spellEnd"/>
      <w:r w:rsidR="00564892">
        <w:rPr>
          <w:rFonts w:eastAsia="Times New Roman"/>
          <w:i/>
          <w:iCs/>
        </w:rPr>
        <w:t xml:space="preserve"> </w:t>
      </w:r>
      <w:proofErr w:type="spellStart"/>
      <w:r w:rsidR="00564892">
        <w:rPr>
          <w:rFonts w:eastAsia="Times New Roman"/>
          <w:i/>
          <w:iCs/>
        </w:rPr>
        <w:t>Peradaban</w:t>
      </w:r>
      <w:proofErr w:type="spellEnd"/>
      <w:r w:rsidR="00564892">
        <w:rPr>
          <w:rFonts w:eastAsia="Times New Roman"/>
          <w:i/>
          <w:iCs/>
        </w:rPr>
        <w:t xml:space="preserve"> Islam</w:t>
      </w:r>
      <w:r w:rsidR="00564892">
        <w:rPr>
          <w:rFonts w:eastAsia="Times New Roman"/>
        </w:rPr>
        <w:t xml:space="preserve"> 14, </w:t>
      </w:r>
      <w:r w:rsidR="00564892">
        <w:rPr>
          <w:rFonts w:eastAsia="Times New Roman"/>
          <w:rtl/>
        </w:rPr>
        <w:t xml:space="preserve">عدد </w:t>
      </w:r>
      <w:r w:rsidR="00564892">
        <w:rPr>
          <w:rFonts w:eastAsia="Times New Roman"/>
        </w:rPr>
        <w:t>1 (2017): 207–27.</w:t>
      </w:r>
    </w:p>
  </w:footnote>
  <w:footnote w:id="14">
    <w:p w14:paraId="02A5C47C" w14:textId="27EB0077" w:rsidR="000B49C5" w:rsidRDefault="000B49C5">
      <w:pPr>
        <w:pStyle w:val="FootnoteText"/>
        <w:rPr>
          <w:rtl/>
          <w:lang w:bidi="ar-EG"/>
        </w:rPr>
      </w:pPr>
      <w:r>
        <w:rPr>
          <w:rStyle w:val="FootnoteReference"/>
        </w:rPr>
        <w:footnoteRef/>
      </w:r>
      <w:r>
        <w:t xml:space="preserve"> </w:t>
      </w:r>
      <w:r>
        <w:fldChar w:fldCharType="begin"/>
      </w:r>
      <w:r>
        <w:instrText xml:space="preserve"> ADDIN ZOTERO_ITEM CSL_CITATION {"citationID":"8EUKU7pf","properties":{"formattedCitation":"\\uc0\\u1606{}\\uc0\\u1608{}\\uc0\\u1585{} \\uc0\\u1575{}\\uc0\\u1604{}\\uc0\\u1583{}\\uc0\\u1610{}\\uc0\\u1606{} \\uc0\\u1605{}\\uc0\\u1581{}\\uc0\\u1605{}\\uc0\\u1583{} \\uc0\\u1575{}\\uc0\\u1604{}\\uc0\\u1581{}\\uc0\\u1587{}\\uc0\\u1606{}\\uc0\\u1610{} \\uc0\\u1593{}\\uc0\\u1578{}\\uc0\\u1585{}, {\\i{}\\uc0\\u1593{}\\uc0\\u1604{}\\uc0\\u1608{}\\uc0\\u1605{} \\uc0\\u1575{}\\uc0\\u1604{}\\uc0\\u1602{}\\uc0\\u1585{}\\uc0\\u1570{}\\uc0\\u1606{} \\uc0\\u1575{}\\uc0\\u1604{}\\uc0\\u1603{}\\uc0\\u1585{}\\uc0\\u1610{}\\uc0\\u1605{}}, vol. 5, 1 1 (\\uc0\\u1583{}\\uc0\\u1605{}\\uc0\\u1588{}\\uc0\\u1602{}: \\uc0\\u1605{}\\uc0\\u1591{}\\uc0\\u1576{}\\uc0\\u1593{}\\uc0\\u1577{} \\uc0\\u1575{}\\uc0\\u1604{}\\uc0\\u1589{}\\uc0\\u1576{}\\uc0\\u1575{}\\uc0\\u1581{}, 2012), https://archive.org/details/waq55649.","plainCitation":"</w:instrText>
      </w:r>
      <w:r>
        <w:rPr>
          <w:rtl/>
        </w:rPr>
        <w:instrText>نور الدين محمد الحسني عتر, علوم القرآن الكريم</w:instrText>
      </w:r>
      <w:r>
        <w:instrText>, vol. 5, 1 1 (</w:instrText>
      </w:r>
      <w:r>
        <w:rPr>
          <w:rtl/>
        </w:rPr>
        <w:instrText>دمشق: مطبعة الصباح, 2012</w:instrText>
      </w:r>
      <w:r>
        <w:instrText>), https://archive.org/details/waq55649.","noteIndex":9},"citationItems":[{"id":41,"uris":["http://zotero.org/users/local/PxK9EVr5/items/9X35M4VG"],"itemData":{"id":41,"type":"book","archive":"https://archive.org/details/waq55649","collection-number":"1","collection-title":"1","event-place":"</w:instrText>
      </w:r>
      <w:r>
        <w:rPr>
          <w:rtl/>
        </w:rPr>
        <w:instrText>دمشق</w:instrText>
      </w:r>
      <w:r>
        <w:instrText>","language":"</w:instrText>
      </w:r>
      <w:r>
        <w:rPr>
          <w:rtl/>
        </w:rPr>
        <w:instrText>العربية</w:instrText>
      </w:r>
      <w:r>
        <w:instrText>","number-of-pages":"271","publisher":"</w:instrText>
      </w:r>
      <w:r>
        <w:rPr>
          <w:rtl/>
        </w:rPr>
        <w:instrText>مطبعة الصباح</w:instrText>
      </w:r>
      <w:r>
        <w:instrText>","publisher-place":"</w:instrText>
      </w:r>
      <w:r>
        <w:rPr>
          <w:rtl/>
        </w:rPr>
        <w:instrText>دمشق</w:instrText>
      </w:r>
      <w:r>
        <w:instrText>","title":"</w:instrText>
      </w:r>
      <w:r>
        <w:rPr>
          <w:rtl/>
        </w:rPr>
        <w:instrText>علوم القرآن الكريم</w:instrText>
      </w:r>
      <w:r>
        <w:instrText>","URL":"https://archive.org/details/waq55649","volume":"5","author":[{"family":"</w:instrText>
      </w:r>
      <w:r>
        <w:rPr>
          <w:rtl/>
        </w:rPr>
        <w:instrText>عتر</w:instrText>
      </w:r>
      <w:r>
        <w:instrText>","given":"</w:instrText>
      </w:r>
      <w:r>
        <w:rPr>
          <w:rtl/>
        </w:rPr>
        <w:instrText>نور الدين</w:instrText>
      </w:r>
      <w:r>
        <w:instrText xml:space="preserve"> </w:instrText>
      </w:r>
      <w:r>
        <w:rPr>
          <w:rtl/>
        </w:rPr>
        <w:instrText>محمد الحسني</w:instrText>
      </w:r>
      <w:r>
        <w:instrText xml:space="preserve">"}],"issued":{"date-parts":[["2012"]],"season":"04"}}}],"schema":"https://github.com/citation-style-language/schema/raw/master/csl-citation.json"} </w:instrText>
      </w:r>
      <w:r>
        <w:fldChar w:fldCharType="separate"/>
      </w:r>
      <w:r w:rsidRPr="000B49C5">
        <w:rPr>
          <w:szCs w:val="24"/>
          <w:rtl/>
        </w:rPr>
        <w:t xml:space="preserve">نور الدين محمد الحسني عتر, </w:t>
      </w:r>
      <w:r w:rsidRPr="000B49C5">
        <w:rPr>
          <w:i/>
          <w:iCs/>
          <w:szCs w:val="24"/>
          <w:rtl/>
        </w:rPr>
        <w:t>علوم القرآن الكريم</w:t>
      </w:r>
      <w:r w:rsidRPr="000B49C5">
        <w:rPr>
          <w:szCs w:val="24"/>
        </w:rPr>
        <w:t xml:space="preserve">, vol. </w:t>
      </w:r>
      <w:r w:rsidRPr="000B49C5">
        <w:rPr>
          <w:szCs w:val="24"/>
          <w:rtl/>
        </w:rPr>
        <w:t>5</w:t>
      </w:r>
      <w:r w:rsidRPr="000B49C5">
        <w:rPr>
          <w:szCs w:val="24"/>
        </w:rPr>
        <w:t xml:space="preserve">, </w:t>
      </w:r>
      <w:r w:rsidRPr="000B49C5">
        <w:rPr>
          <w:szCs w:val="24"/>
          <w:rtl/>
        </w:rPr>
        <w:t>1</w:t>
      </w:r>
      <w:r w:rsidRPr="000B49C5">
        <w:rPr>
          <w:szCs w:val="24"/>
        </w:rPr>
        <w:t xml:space="preserve"> </w:t>
      </w:r>
      <w:r w:rsidRPr="000B49C5">
        <w:rPr>
          <w:szCs w:val="24"/>
          <w:rtl/>
        </w:rPr>
        <w:t>1</w:t>
      </w:r>
      <w:r w:rsidRPr="000B49C5">
        <w:rPr>
          <w:szCs w:val="24"/>
        </w:rPr>
        <w:t xml:space="preserve"> (</w:t>
      </w:r>
      <w:r w:rsidRPr="000B49C5">
        <w:rPr>
          <w:szCs w:val="24"/>
          <w:rtl/>
        </w:rPr>
        <w:t>دمشق: مطبعة الصباح, 2012</w:t>
      </w:r>
      <w:r w:rsidRPr="000B49C5">
        <w:rPr>
          <w:szCs w:val="24"/>
        </w:rPr>
        <w:t>), https://archive.org/details/waq</w:t>
      </w:r>
      <w:r w:rsidRPr="000B49C5">
        <w:rPr>
          <w:szCs w:val="24"/>
          <w:rtl/>
        </w:rPr>
        <w:t>55649</w:t>
      </w:r>
      <w:r w:rsidRPr="000B49C5">
        <w:rPr>
          <w:szCs w:val="24"/>
        </w:rPr>
        <w:t>.</w:t>
      </w:r>
      <w:r>
        <w:fldChar w:fldCharType="end"/>
      </w:r>
    </w:p>
  </w:footnote>
  <w:footnote w:id="15">
    <w:p w14:paraId="3DC3B21B" w14:textId="014FB78E" w:rsidR="00FB53C7" w:rsidRPr="00FB53C7" w:rsidRDefault="00FB53C7">
      <w:pPr>
        <w:pStyle w:val="FootnoteText"/>
        <w:rPr>
          <w:rFonts w:ascii="Sakkal Majalla" w:hAnsi="Sakkal Majalla" w:cs="Sakkal Majalla"/>
          <w:sz w:val="28"/>
          <w:szCs w:val="28"/>
          <w:lang w:val="en-US"/>
        </w:rPr>
      </w:pPr>
      <w:r w:rsidRPr="00FB53C7">
        <w:rPr>
          <w:rStyle w:val="FootnoteReference"/>
          <w:rFonts w:ascii="Sakkal Majalla" w:hAnsi="Sakkal Majalla" w:cs="Sakkal Majalla"/>
          <w:sz w:val="28"/>
          <w:szCs w:val="28"/>
        </w:rPr>
        <w:footnoteRef/>
      </w:r>
      <w:r w:rsidRPr="00FB53C7">
        <w:rPr>
          <w:rFonts w:ascii="Sakkal Majalla" w:hAnsi="Sakkal Majalla" w:cs="Sakkal Majalla"/>
          <w:sz w:val="28"/>
          <w:szCs w:val="28"/>
        </w:rPr>
        <w:t xml:space="preserve"> </w:t>
      </w:r>
      <w:r w:rsidR="00564892">
        <w:rPr>
          <w:rFonts w:eastAsia="Times New Roman"/>
          <w:rtl/>
        </w:rPr>
        <w:t>مناع القطان</w:t>
      </w:r>
      <w:r w:rsidR="00564892">
        <w:rPr>
          <w:rFonts w:eastAsia="Times New Roman"/>
        </w:rPr>
        <w:t xml:space="preserve">, </w:t>
      </w:r>
      <w:r w:rsidR="00564892">
        <w:rPr>
          <w:rFonts w:eastAsia="Times New Roman"/>
          <w:i/>
          <w:iCs/>
          <w:rtl/>
        </w:rPr>
        <w:t>مباحث في علوم القرآن</w:t>
      </w:r>
      <w:r w:rsidR="00564892">
        <w:rPr>
          <w:rFonts w:eastAsia="Times New Roman"/>
          <w:rtl/>
        </w:rPr>
        <w:t xml:space="preserve"> </w:t>
      </w:r>
      <w:r w:rsidR="00564892">
        <w:rPr>
          <w:rFonts w:eastAsia="Times New Roman"/>
        </w:rPr>
        <w:t>(Islamic Books, 2000).</w:t>
      </w:r>
    </w:p>
  </w:footnote>
  <w:footnote w:id="16">
    <w:p w14:paraId="5510DB5E" w14:textId="41418D07" w:rsidR="00490F1E" w:rsidRDefault="00490F1E">
      <w:pPr>
        <w:pStyle w:val="FootnoteText"/>
        <w:rPr>
          <w:rtl/>
          <w:lang w:bidi="ar-EG"/>
        </w:rPr>
      </w:pPr>
      <w:r>
        <w:rPr>
          <w:rStyle w:val="FootnoteReference"/>
        </w:rPr>
        <w:footnoteRef/>
      </w:r>
      <w:r>
        <w:t xml:space="preserve"> </w:t>
      </w:r>
      <w:r>
        <w:fldChar w:fldCharType="begin"/>
      </w:r>
      <w:r w:rsidR="000B49C5">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177–80.","noteIndex":11},"citationItems":[{"id":37,"uris":["http://zotero.org/users/local/PxK9EVr5/items/LID98YZJ"],"itemData":{"id":37,"type":"article-journal","container-title":"Al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490F1E">
        <w:rPr>
          <w:szCs w:val="24"/>
        </w:rPr>
        <w:t xml:space="preserve">Siti Fahimah, “Kaidah-Kaidah Memahami Amr Dan Nahy: Urgensitasnya Dalam Memahami Al Qur’an,” </w:t>
      </w:r>
      <w:r w:rsidRPr="00490F1E">
        <w:rPr>
          <w:i/>
          <w:iCs/>
          <w:szCs w:val="24"/>
        </w:rPr>
        <w:t>Al Furqon</w:t>
      </w:r>
      <w:r w:rsidRPr="00490F1E">
        <w:rPr>
          <w:szCs w:val="24"/>
        </w:rPr>
        <w:t xml:space="preserve"> 1 (2018): 177–80.</w:t>
      </w:r>
      <w:r>
        <w:fldChar w:fldCharType="end"/>
      </w:r>
    </w:p>
  </w:footnote>
  <w:footnote w:id="17">
    <w:p w14:paraId="59015139" w14:textId="04FEA215" w:rsidR="00735DB0" w:rsidRDefault="00735DB0">
      <w:pPr>
        <w:pStyle w:val="FootnoteText"/>
        <w:rPr>
          <w:rtl/>
          <w:lang w:bidi="ar-EG"/>
        </w:rPr>
      </w:pPr>
      <w:r>
        <w:rPr>
          <w:rStyle w:val="FootnoteReference"/>
        </w:rPr>
        <w:footnoteRef/>
      </w:r>
      <w:r>
        <w:t xml:space="preserve"> </w:t>
      </w:r>
      <w:r>
        <w:fldChar w:fldCharType="begin"/>
      </w:r>
      <w: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Pr>
          <w:rtl/>
        </w:rPr>
        <w:instrText>عبد القادر منصور, موسوعة علوم القرآن, 5</w:instrText>
      </w:r>
      <w:r>
        <w:instrText>th ed., vol. 1, 1 (</w:instrText>
      </w:r>
      <w:r>
        <w:rPr>
          <w:rtl/>
        </w:rPr>
        <w:instrText>دار القلم العربي, 2008</w:instrText>
      </w:r>
      <w:r>
        <w:instrText>), https://archive.org/details/mdqsoimdqsoi.","noteIndex":12},"citationItems":[{"id":42,"uris":["http://zotero.org/users/local/PxK9EVr5/items/TDGXNZKD"],"itemData":{"id":42,"type":"book","archive":"https://archive.org/details/mdqsoimdqsoi","collection-title":"1","edition":"5","publisher":"</w:instrText>
      </w:r>
      <w:r>
        <w:rPr>
          <w:rtl/>
        </w:rPr>
        <w:instrText>دار القلم العربي</w:instrText>
      </w:r>
      <w:r>
        <w:instrText>","title":"</w:instrText>
      </w:r>
      <w:r>
        <w:rPr>
          <w:rtl/>
        </w:rPr>
        <w:instrText>موسوعة علوم القرآن</w:instrText>
      </w:r>
      <w:r>
        <w:instrText>","URL":"https://archive.org/details/mdqsoimdqsoi","volume":"1","author":[{"family":"","given":"</w:instrText>
      </w:r>
      <w:r>
        <w:rPr>
          <w:rtl/>
        </w:rPr>
        <w:instrText>عبد القادر منصور</w:instrText>
      </w:r>
      <w:r>
        <w:instrText xml:space="preserve">"}],"issued":{"date-parts":[["2008"]],"season":"11"}}}],"schema":"https://github.com/citation-style-language/schema/raw/master/csl-citation.json"} </w:instrText>
      </w:r>
      <w:r>
        <w:fldChar w:fldCharType="separate"/>
      </w:r>
      <w:r w:rsidRPr="00735DB0">
        <w:rPr>
          <w:szCs w:val="24"/>
          <w:rtl/>
        </w:rPr>
        <w:t xml:space="preserve">عبد القادر منصور, </w:t>
      </w:r>
      <w:r w:rsidRPr="00735DB0">
        <w:rPr>
          <w:i/>
          <w:iCs/>
          <w:szCs w:val="24"/>
          <w:rtl/>
        </w:rPr>
        <w:t>موسوعة علوم القرآن</w:t>
      </w:r>
      <w:r w:rsidRPr="00735DB0">
        <w:rPr>
          <w:szCs w:val="24"/>
          <w:rtl/>
        </w:rPr>
        <w:t>, 5</w:t>
      </w:r>
      <w:r w:rsidRPr="00735DB0">
        <w:rPr>
          <w:szCs w:val="24"/>
        </w:rPr>
        <w:t xml:space="preserve">th ed., vol. </w:t>
      </w:r>
      <w:r w:rsidRPr="00735DB0">
        <w:rPr>
          <w:szCs w:val="24"/>
          <w:rtl/>
        </w:rPr>
        <w:t>1</w:t>
      </w:r>
      <w:r w:rsidRPr="00735DB0">
        <w:rPr>
          <w:szCs w:val="24"/>
        </w:rPr>
        <w:t xml:space="preserve">, </w:t>
      </w:r>
      <w:r w:rsidRPr="00735DB0">
        <w:rPr>
          <w:szCs w:val="24"/>
          <w:rtl/>
        </w:rPr>
        <w:t>1</w:t>
      </w:r>
      <w:r w:rsidRPr="00735DB0">
        <w:rPr>
          <w:szCs w:val="24"/>
        </w:rPr>
        <w:t xml:space="preserve"> (</w:t>
      </w:r>
      <w:r w:rsidRPr="00735DB0">
        <w:rPr>
          <w:szCs w:val="24"/>
          <w:rtl/>
        </w:rPr>
        <w:t>دار القلم العربي, 2008</w:t>
      </w:r>
      <w:r w:rsidRPr="00735DB0">
        <w:rPr>
          <w:szCs w:val="24"/>
        </w:rPr>
        <w:t>), https://archive.org/details/mdqsoimdqsoi.</w:t>
      </w:r>
      <w:r>
        <w:fldChar w:fldCharType="end"/>
      </w:r>
    </w:p>
  </w:footnote>
  <w:footnote w:id="18">
    <w:p w14:paraId="0E93EF3E" w14:textId="4B9F7679" w:rsidR="004E1050" w:rsidRDefault="004E1050">
      <w:pPr>
        <w:pStyle w:val="FootnoteText"/>
        <w:rPr>
          <w:rtl/>
          <w:lang w:bidi="ar-EG"/>
        </w:rPr>
      </w:pPr>
      <w:r>
        <w:rPr>
          <w:rStyle w:val="FootnoteReference"/>
        </w:rPr>
        <w:footnoteRef/>
      </w:r>
      <w:r>
        <w:t xml:space="preserve"> </w:t>
      </w:r>
      <w:r w:rsidR="00564892">
        <w:rPr>
          <w:rFonts w:eastAsia="Times New Roman"/>
        </w:rPr>
        <w:t>DAHLIANI RETNO INDAH PURWANTI, "KALAM INSYA’THALABI DALAM AL-QUR’AN SURAT YUNUS (STUDI ANALISIS BALAGHAH)", Universitas Jambi</w:t>
      </w:r>
      <w:proofErr w:type="gramStart"/>
      <w:r w:rsidR="00564892">
        <w:rPr>
          <w:rFonts w:eastAsia="Times New Roman"/>
        </w:rPr>
        <w:t>, ,</w:t>
      </w:r>
      <w:proofErr w:type="gramEnd"/>
      <w:r w:rsidR="00564892">
        <w:rPr>
          <w:rFonts w:eastAsia="Times New Roman"/>
        </w:rPr>
        <w:t xml:space="preserve"> </w:t>
      </w:r>
      <w:r w:rsidR="00564892">
        <w:rPr>
          <w:rFonts w:eastAsia="Times New Roman"/>
          <w:rtl/>
        </w:rPr>
        <w:t>د.ت</w:t>
      </w:r>
      <w:r w:rsidR="00564892">
        <w:rPr>
          <w:rFonts w:eastAsia="Times New Roman"/>
        </w:rPr>
        <w:t>.</w:t>
      </w:r>
    </w:p>
  </w:footnote>
  <w:footnote w:id="19">
    <w:p w14:paraId="5A00C9C6" w14:textId="34A1602D" w:rsidR="0071640D" w:rsidRPr="0071640D" w:rsidRDefault="0071640D">
      <w:pPr>
        <w:pStyle w:val="FootnoteText"/>
        <w:rPr>
          <w:rFonts w:ascii="Sakkal Majalla" w:hAnsi="Sakkal Majalla" w:cs="Sakkal Majalla"/>
          <w:sz w:val="28"/>
          <w:szCs w:val="28"/>
          <w:lang w:val="en-US"/>
        </w:rPr>
      </w:pPr>
      <w:r w:rsidRPr="0071640D">
        <w:rPr>
          <w:rStyle w:val="FootnoteReference"/>
          <w:rFonts w:ascii="Sakkal Majalla" w:hAnsi="Sakkal Majalla" w:cs="Sakkal Majalla"/>
          <w:sz w:val="28"/>
          <w:szCs w:val="28"/>
        </w:rPr>
        <w:footnoteRef/>
      </w:r>
      <w:r w:rsidRPr="0071640D">
        <w:rPr>
          <w:rFonts w:ascii="Sakkal Majalla" w:hAnsi="Sakkal Majalla" w:cs="Sakkal Majalla"/>
          <w:sz w:val="28"/>
          <w:szCs w:val="28"/>
        </w:rPr>
        <w:t xml:space="preserve"> </w:t>
      </w:r>
      <w:r w:rsidR="00564892">
        <w:rPr>
          <w:rFonts w:ascii="Sakkal Majalla" w:eastAsia="Times New Roman" w:hAnsi="Sakkal Majalla" w:cs="Sakkal Majalla"/>
          <w:sz w:val="28"/>
          <w:szCs w:val="28"/>
          <w:rtl/>
        </w:rPr>
        <w:t>أحمد الهاشمي, جواهر البلاغة في المعاني والبيان والبديع</w:t>
      </w:r>
      <w:r w:rsidR="00564892">
        <w:rPr>
          <w:rFonts w:ascii="Sakkal Majalla" w:eastAsia="Times New Roman" w:hAnsi="Sakkal Majalla" w:cs="Sakkal Majalla"/>
          <w:sz w:val="28"/>
          <w:szCs w:val="28"/>
          <w:cs/>
        </w:rPr>
        <w:t>‎</w:t>
      </w:r>
      <w:r w:rsidR="00564892">
        <w:rPr>
          <w:rFonts w:ascii="Sakkal Majalla" w:eastAsia="Times New Roman" w:hAnsi="Sakkal Majalla" w:cs="Sakkal Majalla"/>
          <w:sz w:val="28"/>
          <w:szCs w:val="28"/>
        </w:rPr>
        <w:t xml:space="preserve">, </w:t>
      </w:r>
      <w:r w:rsidR="00564892">
        <w:rPr>
          <w:rFonts w:ascii="Sakkal Majalla" w:eastAsia="Times New Roman" w:hAnsi="Sakkal Majalla" w:cs="Sakkal Majalla"/>
          <w:sz w:val="28"/>
          <w:szCs w:val="28"/>
          <w:rtl/>
        </w:rPr>
        <w:t>1999</w:t>
      </w:r>
      <w:r w:rsidR="00564892">
        <w:rPr>
          <w:rFonts w:ascii="Sakkal Majalla" w:eastAsia="Times New Roman" w:hAnsi="Sakkal Majalla" w:cs="Sakkal Majalla"/>
          <w:sz w:val="28"/>
          <w:szCs w:val="28"/>
          <w:cs/>
        </w:rPr>
        <w:t>‎</w:t>
      </w:r>
      <w:r w:rsidR="00564892">
        <w:rPr>
          <w:rFonts w:ascii="Sakkal Majalla" w:eastAsia="Times New Roman" w:hAnsi="Sakkal Majalla" w:cs="Sakkal Majalla"/>
          <w:sz w:val="28"/>
          <w:szCs w:val="28"/>
          <w:rtl/>
        </w:rPr>
        <w:t xml:space="preserve"> (</w:t>
      </w:r>
      <w:r w:rsidR="00564892">
        <w:rPr>
          <w:rFonts w:ascii="Sakkal Majalla" w:eastAsia="Times New Roman" w:hAnsi="Sakkal Majalla" w:cs="Sakkal Majalla"/>
          <w:sz w:val="28"/>
          <w:szCs w:val="28"/>
        </w:rPr>
        <w:t>books.google.com</w:t>
      </w:r>
      <w:r w:rsidR="00564892">
        <w:rPr>
          <w:rFonts w:ascii="Sakkal Majalla" w:eastAsia="Times New Roman" w:hAnsi="Sakkal Majalla" w:cs="Sakkal Majalla"/>
          <w:sz w:val="28"/>
          <w:szCs w:val="28"/>
          <w:rtl/>
        </w:rPr>
        <w:t>, د.ت),.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B51E2" w14:textId="77777777" w:rsidR="00F440B6" w:rsidRDefault="00F44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DF2BDC"/>
    <w:multiLevelType w:val="hybridMultilevel"/>
    <w:tmpl w:val="E96EC534"/>
    <w:lvl w:ilvl="0" w:tplc="FD72A3A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B49C5"/>
    <w:rsid w:val="000E49D8"/>
    <w:rsid w:val="001474CC"/>
    <w:rsid w:val="0020388F"/>
    <w:rsid w:val="00240488"/>
    <w:rsid w:val="002A2953"/>
    <w:rsid w:val="00300415"/>
    <w:rsid w:val="00350C69"/>
    <w:rsid w:val="00364CA2"/>
    <w:rsid w:val="00392157"/>
    <w:rsid w:val="003B026E"/>
    <w:rsid w:val="003B0C26"/>
    <w:rsid w:val="0042095A"/>
    <w:rsid w:val="00453B4B"/>
    <w:rsid w:val="00490F1E"/>
    <w:rsid w:val="004E1050"/>
    <w:rsid w:val="00506E03"/>
    <w:rsid w:val="0051790B"/>
    <w:rsid w:val="0055036F"/>
    <w:rsid w:val="00564892"/>
    <w:rsid w:val="00583A6E"/>
    <w:rsid w:val="005C24CB"/>
    <w:rsid w:val="006828BC"/>
    <w:rsid w:val="006869A2"/>
    <w:rsid w:val="006C5C2F"/>
    <w:rsid w:val="0071640D"/>
    <w:rsid w:val="00735DB0"/>
    <w:rsid w:val="0077677E"/>
    <w:rsid w:val="00781C76"/>
    <w:rsid w:val="00784217"/>
    <w:rsid w:val="00795439"/>
    <w:rsid w:val="007A2E9E"/>
    <w:rsid w:val="00843C52"/>
    <w:rsid w:val="00855242"/>
    <w:rsid w:val="00866FD1"/>
    <w:rsid w:val="008A678D"/>
    <w:rsid w:val="008B203A"/>
    <w:rsid w:val="008B53C2"/>
    <w:rsid w:val="008B5FAC"/>
    <w:rsid w:val="008E2A0C"/>
    <w:rsid w:val="0099774D"/>
    <w:rsid w:val="009A3A2D"/>
    <w:rsid w:val="009D3BD8"/>
    <w:rsid w:val="00A00060"/>
    <w:rsid w:val="00A029BE"/>
    <w:rsid w:val="00A14F25"/>
    <w:rsid w:val="00A2554B"/>
    <w:rsid w:val="00A520C9"/>
    <w:rsid w:val="00A84C65"/>
    <w:rsid w:val="00A96665"/>
    <w:rsid w:val="00B11348"/>
    <w:rsid w:val="00B45339"/>
    <w:rsid w:val="00B546F9"/>
    <w:rsid w:val="00C22725"/>
    <w:rsid w:val="00C77C6C"/>
    <w:rsid w:val="00CC13B8"/>
    <w:rsid w:val="00D2545A"/>
    <w:rsid w:val="00E20DB1"/>
    <w:rsid w:val="00E7704A"/>
    <w:rsid w:val="00E80379"/>
    <w:rsid w:val="00E905E6"/>
    <w:rsid w:val="00ED0B53"/>
    <w:rsid w:val="00F15A66"/>
    <w:rsid w:val="00F179F0"/>
    <w:rsid w:val="00F440B6"/>
    <w:rsid w:val="00F50054"/>
    <w:rsid w:val="00F519B8"/>
    <w:rsid w:val="00F849FE"/>
    <w:rsid w:val="00FB53C7"/>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24739A"/>
    <w:rsid w:val="003A3E9F"/>
    <w:rsid w:val="00625265"/>
    <w:rsid w:val="00862ADD"/>
    <w:rsid w:val="00E3048B"/>
    <w:rsid w:val="00F03779"/>
    <w:rsid w:val="00FC5229"/>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1</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14</cp:revision>
  <dcterms:created xsi:type="dcterms:W3CDTF">2023-12-02T03:38:00Z</dcterms:created>
  <dcterms:modified xsi:type="dcterms:W3CDTF">2024-01-13T15:44:00Z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id="X0YIsz1W"/&gt;&lt;style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