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DF37" w14:textId="77777777" w:rsidR="00F440B6" w:rsidRPr="00C22725" w:rsidRDefault="00A84C65" w:rsidP="00C22725">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الباب الثاني: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7777777" w:rsidR="00F440B6" w:rsidRPr="00C22725" w:rsidRDefault="00A84C65" w:rsidP="00C22725">
      <w:pPr>
        <w:pStyle w:val="Heading2"/>
        <w:bidi/>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أ. الوصف المفاهمي</w:t>
      </w:r>
    </w:p>
    <w:p w14:paraId="2853853F" w14:textId="54F63C10" w:rsidR="00F440B6" w:rsidRPr="00C22725" w:rsidRDefault="00E905E6" w:rsidP="00C22725">
      <w:pPr>
        <w:pStyle w:val="Heading3"/>
        <w:bidi/>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1</w:t>
      </w:r>
      <w:r w:rsidR="00C22725" w:rsidRPr="00C22725">
        <w:rPr>
          <w:rFonts w:ascii="Sakkal Majalla" w:hAnsi="Sakkal Majalla" w:cs="Sakkal Majalla" w:hint="cs"/>
          <w:b/>
          <w:bCs/>
          <w:sz w:val="36"/>
          <w:szCs w:val="36"/>
          <w:highlight w:val="white"/>
          <w:rtl/>
        </w:rPr>
        <w:t xml:space="preserve">. </w:t>
      </w:r>
      <w:r w:rsidR="00C22725">
        <w:rPr>
          <w:rFonts w:ascii="Sakkal Majalla" w:hAnsi="Sakkal Majalla" w:cs="Sakkal Majalla" w:hint="cs"/>
          <w:b/>
          <w:bCs/>
          <w:sz w:val="36"/>
          <w:szCs w:val="36"/>
          <w:highlight w:val="white"/>
          <w:rtl/>
        </w:rPr>
        <w:t xml:space="preserve">مفهوم </w:t>
      </w:r>
      <w:r w:rsidR="00564892" w:rsidRPr="00C22725">
        <w:rPr>
          <w:rFonts w:ascii="Sakkal Majalla" w:hAnsi="Sakkal Majalla" w:cs="Sakkal Majalla" w:hint="cs"/>
          <w:b/>
          <w:bCs/>
          <w:sz w:val="36"/>
          <w:szCs w:val="36"/>
          <w:highlight w:val="white"/>
          <w:rtl/>
          <w:lang w:bidi="ar-EG"/>
        </w:rPr>
        <w:t xml:space="preserve">علم </w:t>
      </w:r>
      <w:r w:rsidRPr="00C22725">
        <w:rPr>
          <w:rFonts w:ascii="Sakkal Majalla" w:hAnsi="Sakkal Majalla" w:cs="Sakkal Majalla" w:hint="cs"/>
          <w:b/>
          <w:bCs/>
          <w:sz w:val="36"/>
          <w:szCs w:val="36"/>
          <w:highlight w:val="white"/>
          <w:rtl/>
        </w:rPr>
        <w:t xml:space="preserve">البَلَاغَة </w:t>
      </w:r>
    </w:p>
    <w:p w14:paraId="631C8E15" w14:textId="47CF139E" w:rsidR="003B0C26" w:rsidRDefault="00A84C65" w:rsidP="003B0C26">
      <w:pPr>
        <w:bidi/>
        <w:spacing w:line="360" w:lineRule="auto"/>
        <w:ind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8B203A">
      <w:pPr>
        <w:bidi/>
        <w:spacing w:line="360" w:lineRule="auto"/>
        <w:ind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 xml:space="preserve">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w:t>
      </w:r>
      <w:r w:rsidRPr="003B0C26">
        <w:rPr>
          <w:rFonts w:ascii="Sakkal Majalla" w:eastAsia="Noto Naskh Arabic" w:hAnsi="Sakkal Majalla" w:cs="Sakkal Majalla"/>
          <w:color w:val="27272A"/>
          <w:sz w:val="36"/>
          <w:szCs w:val="36"/>
          <w:rtl/>
        </w:rPr>
        <w:lastRenderedPageBreak/>
        <w:t>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68AD20E9" w14:textId="7C7A7447" w:rsidR="003B0C26" w:rsidRDefault="00392157" w:rsidP="003B0C26">
      <w:pPr>
        <w:bidi/>
        <w:spacing w:line="360" w:lineRule="auto"/>
        <w:ind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أهل البلاغة كمشاهير الرسامين، الفارق يكمن في أن الرسام يخلق الجمال من خلال عناصر الخطوط والأشكال والألوان التي يختارها بعناية لتظهر وتؤثر في الناظرين. أما أهل البلاغة، فيخلقون جمالًا من تناغم الجمل والمعاني الرفيعة، ودور العواطف وفقًا للمكان والزمان والموضوع وظروف السامعين، بحيث يكون لهم تأثير قوي على نفوس السامعين.</w:t>
      </w:r>
      <w:r>
        <w:rPr>
          <w:rStyle w:val="FootnoteReference"/>
          <w:rFonts w:ascii="Sakkal Majalla" w:eastAsia="Noto Naskh Arabic" w:hAnsi="Sakkal Majalla" w:cs="Sakkal Majalla"/>
          <w:color w:val="27272A"/>
          <w:sz w:val="36"/>
          <w:szCs w:val="36"/>
          <w:rtl/>
        </w:rPr>
        <w:footnoteReference w:id="3"/>
      </w:r>
    </w:p>
    <w:p w14:paraId="00CBD44A" w14:textId="5B7C9C1A" w:rsidR="00392157" w:rsidRDefault="00392157" w:rsidP="00392157">
      <w:pPr>
        <w:bidi/>
        <w:spacing w:line="360" w:lineRule="auto"/>
        <w:ind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4"/>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5"/>
      </w:r>
    </w:p>
    <w:p w14:paraId="567D7CBE" w14:textId="77777777" w:rsidR="00392157" w:rsidRDefault="00392157" w:rsidP="00392157">
      <w:pPr>
        <w:bidi/>
        <w:spacing w:line="360" w:lineRule="auto"/>
        <w:ind w:firstLine="630"/>
        <w:jc w:val="both"/>
        <w:rPr>
          <w:rFonts w:ascii="Sakkal Majalla" w:eastAsia="Noto Naskh Arabic" w:hAnsi="Sakkal Majalla" w:cs="Sakkal Majalla"/>
          <w:color w:val="27272A"/>
          <w:sz w:val="36"/>
          <w:szCs w:val="36"/>
          <w:rtl/>
        </w:rPr>
      </w:pPr>
    </w:p>
    <w:p w14:paraId="0971308D" w14:textId="77777777" w:rsidR="008E2A0C" w:rsidRDefault="008E2A0C" w:rsidP="008B203A">
      <w:pPr>
        <w:bidi/>
        <w:spacing w:line="360" w:lineRule="auto"/>
        <w:ind w:firstLine="630"/>
        <w:jc w:val="both"/>
        <w:rPr>
          <w:rFonts w:ascii="Sakkal Majalla" w:eastAsia="Noto Naskh Arabic" w:hAnsi="Sakkal Majalla" w:cs="Sakkal Majalla"/>
          <w:color w:val="27272A"/>
          <w:sz w:val="36"/>
          <w:szCs w:val="36"/>
        </w:rPr>
      </w:pPr>
      <w:r w:rsidRPr="008E2A0C">
        <w:rPr>
          <w:rFonts w:ascii="Sakkal Majalla" w:eastAsia="Noto Naskh Arabic" w:hAnsi="Sakkal Majalla" w:cs="Sakkal Majalla"/>
          <w:color w:val="27272A"/>
          <w:sz w:val="36"/>
          <w:szCs w:val="36"/>
          <w:rtl/>
        </w:rPr>
        <w:lastRenderedPageBreak/>
        <w:t>إنه معروف بشكل عام أن علم البلاغة هو أحد فروع أساسيات اللغة العربية الذي يتناول أساليب اللغة العربية ذاتها، سواء كان ذلك شفويًا أو كتابيًا.</w:t>
      </w:r>
    </w:p>
    <w:p w14:paraId="46DF1133" w14:textId="4E0FE0A0" w:rsidR="008E2A0C" w:rsidRDefault="008E2A0C" w:rsidP="008B203A">
      <w:pPr>
        <w:bidi/>
        <w:spacing w:line="360" w:lineRule="auto"/>
        <w:ind w:firstLine="630"/>
        <w:jc w:val="both"/>
        <w:rPr>
          <w:rFonts w:ascii="Sakkal Majalla" w:eastAsia="Noto Naskh Arabic" w:hAnsi="Sakkal Majalla" w:cs="Sakkal Majalla"/>
          <w:color w:val="27272A"/>
          <w:sz w:val="36"/>
          <w:szCs w:val="36"/>
        </w:rPr>
      </w:pPr>
      <w:r w:rsidRPr="008E2A0C">
        <w:rPr>
          <w:rFonts w:ascii="Sakkal Majalla" w:eastAsia="Noto Naskh Arabic" w:hAnsi="Sakkal Majalla" w:cs="Sakkal Majalla"/>
          <w:color w:val="27272A"/>
          <w:sz w:val="36"/>
          <w:szCs w:val="36"/>
          <w:rtl/>
        </w:rPr>
        <w:t>في 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6"/>
      </w:r>
    </w:p>
    <w:p w14:paraId="2CF51961" w14:textId="77777777" w:rsidR="008E2A0C" w:rsidRDefault="008B203A" w:rsidP="008E2A0C">
      <w:pPr>
        <w:bidi/>
        <w:spacing w:line="360" w:lineRule="auto"/>
        <w:ind w:firstLine="630"/>
        <w:jc w:val="both"/>
        <w:rPr>
          <w:rFonts w:ascii="Sakkal Majalla" w:eastAsia="Noto Naskh Arabic" w:hAnsi="Sakkal Majalla" w:cs="Sakkal Majalla"/>
          <w:color w:val="27272A"/>
          <w:sz w:val="36"/>
          <w:szCs w:val="36"/>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7"/>
          </w:r>
        </w:sdtContent>
      </w:sdt>
      <w:r w:rsidRPr="008B203A">
        <w:rPr>
          <w:rFonts w:ascii="Sakkal Majalla" w:eastAsia="Noto Naskh Arabic" w:hAnsi="Sakkal Majalla" w:cs="Sakkal Majalla"/>
          <w:color w:val="27272A"/>
          <w:sz w:val="36"/>
          <w:szCs w:val="36"/>
          <w:rtl/>
        </w:rPr>
        <w:t>.</w:t>
      </w:r>
    </w:p>
    <w:p w14:paraId="3EA9447D" w14:textId="34409732" w:rsidR="00A029BE" w:rsidRPr="00A029BE" w:rsidRDefault="00A029BE" w:rsidP="008E2A0C">
      <w:pPr>
        <w:bidi/>
        <w:spacing w:line="360" w:lineRule="auto"/>
        <w:ind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lastRenderedPageBreak/>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p>
    <w:p w14:paraId="4ECE8D8D" w14:textId="056B03F0" w:rsidR="00A029BE" w:rsidRDefault="00A029BE" w:rsidP="00A029BE">
      <w:pPr>
        <w:bidi/>
        <w:spacing w:line="360" w:lineRule="auto"/>
        <w:ind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582C4A8" w14:textId="7433AF7F" w:rsidR="00C22725" w:rsidRPr="00C22725" w:rsidRDefault="00C22725" w:rsidP="00C77C6C">
      <w:pPr>
        <w:pStyle w:val="Heading4"/>
        <w:numPr>
          <w:ilvl w:val="0"/>
          <w:numId w:val="8"/>
        </w:numPr>
        <w:bidi/>
        <w:spacing w:line="360" w:lineRule="auto"/>
        <w:rPr>
          <w:rFonts w:ascii="Sakkal Majalla" w:hAnsi="Sakkal Majalla" w:cs="Sakkal Majalla"/>
          <w:b/>
          <w:bCs/>
          <w:color w:val="000000" w:themeColor="text1"/>
          <w:sz w:val="36"/>
          <w:szCs w:val="36"/>
        </w:rPr>
      </w:pPr>
      <w:r w:rsidRPr="00C22725">
        <w:rPr>
          <w:rFonts w:ascii="Sakkal Majalla" w:hAnsi="Sakkal Majalla" w:cs="Sakkal Majalla" w:hint="cs"/>
          <w:b/>
          <w:bCs/>
          <w:color w:val="000000" w:themeColor="text1"/>
          <w:sz w:val="36"/>
          <w:szCs w:val="36"/>
          <w:rtl/>
        </w:rPr>
        <w:t>دور علم البلاغة في تفسير القرآن الكريم</w:t>
      </w:r>
    </w:p>
    <w:p w14:paraId="12234973" w14:textId="0118E934"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lastRenderedPageBreak/>
        <w:t>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8"/>
      </w:r>
    </w:p>
    <w:p w14:paraId="05CC0773" w14:textId="43A89C8F" w:rsidR="00781C76" w:rsidRDefault="00781C76" w:rsidP="00781C76">
      <w:pPr>
        <w:bidi/>
        <w:spacing w:line="360" w:lineRule="auto"/>
        <w:ind w:firstLine="360"/>
        <w:rPr>
          <w:rFonts w:ascii="Sakkal Majalla" w:eastAsia="Noto Naskh Arabic" w:hAnsi="Sakkal Majalla" w:cs="Sakkal Majalla"/>
          <w:color w:val="000000" w:themeColor="text1"/>
          <w:sz w:val="36"/>
          <w:szCs w:val="36"/>
          <w:rtl/>
          <w:lang w:bidi="ar-EG"/>
        </w:rPr>
      </w:pPr>
    </w:p>
    <w:p w14:paraId="368AE554" w14:textId="56610CA9" w:rsidR="00781C76" w:rsidRPr="00781C76" w:rsidRDefault="00781C76" w:rsidP="00781C76">
      <w:pPr>
        <w:pStyle w:val="Heading3"/>
        <w:bidi/>
        <w:rPr>
          <w:rFonts w:ascii="Sakkal Majalla" w:hAnsi="Sakkal Majalla" w:cs="Sakkal Majalla"/>
          <w:b/>
          <w:bCs/>
          <w:color w:val="000000" w:themeColor="text1"/>
          <w:sz w:val="36"/>
          <w:szCs w:val="36"/>
          <w:rtl/>
          <w:lang w:bidi="ar-EG"/>
        </w:rPr>
      </w:pPr>
      <w:r>
        <w:rPr>
          <w:rFonts w:ascii="Sakkal Majalla" w:hAnsi="Sakkal Majalla" w:cs="Sakkal Majalla" w:hint="cs"/>
          <w:b/>
          <w:bCs/>
          <w:color w:val="000000" w:themeColor="text1"/>
          <w:sz w:val="36"/>
          <w:szCs w:val="36"/>
          <w:rtl/>
          <w:lang w:bidi="ar-EG"/>
        </w:rPr>
        <w:t xml:space="preserve">2. مفهوم </w:t>
      </w:r>
      <w:r w:rsidRPr="00781C76">
        <w:rPr>
          <w:rFonts w:ascii="Sakkal Majalla" w:hAnsi="Sakkal Majalla" w:cs="Sakkal Majalla" w:hint="cs"/>
          <w:b/>
          <w:bCs/>
          <w:color w:val="000000" w:themeColor="text1"/>
          <w:sz w:val="36"/>
          <w:szCs w:val="36"/>
          <w:rtl/>
          <w:lang w:bidi="ar-EG"/>
        </w:rPr>
        <w:t>علم البديع</w:t>
      </w:r>
    </w:p>
    <w:p w14:paraId="2B624CBF" w14:textId="42A0F58C" w:rsidR="00C77C6C" w:rsidRDefault="00781C76" w:rsidP="00CC13B8">
      <w:pPr>
        <w:bidi/>
        <w:spacing w:line="360" w:lineRule="auto"/>
        <w:ind w:firstLine="63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9"/>
      </w:r>
    </w:p>
    <w:p w14:paraId="5D9DC12B" w14:textId="07F2379E" w:rsidR="00781C76" w:rsidRDefault="00781C76" w:rsidP="00CC13B8">
      <w:pPr>
        <w:bidi/>
        <w:spacing w:line="360" w:lineRule="auto"/>
        <w:ind w:firstLine="630"/>
        <w:rPr>
          <w:rFonts w:ascii="Sakkal Majalla" w:eastAsia="Noto Naskh Arabic" w:hAnsi="Sakkal Majalla" w:cs="Sakkal Majalla"/>
          <w:color w:val="000000" w:themeColor="text1"/>
          <w:sz w:val="36"/>
          <w:szCs w:val="36"/>
          <w:rtl/>
          <w:lang w:bidi="ar-EG"/>
        </w:rPr>
      </w:pPr>
      <w:r w:rsidRPr="00781C76">
        <w:rPr>
          <w:rFonts w:ascii="Sakkal Majalla" w:eastAsia="Noto Naskh Arabic" w:hAnsi="Sakkal Majalla" w:cs="Sakkal Majalla"/>
          <w:color w:val="000000" w:themeColor="text1"/>
          <w:sz w:val="36"/>
          <w:szCs w:val="36"/>
          <w:rtl/>
        </w:rPr>
        <w:t>وقد علمنا 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 xml:space="preserve">عنها، وتحيرت </w:t>
      </w:r>
      <w:r w:rsidRPr="00781C76">
        <w:rPr>
          <w:rFonts w:ascii="Sakkal Majalla" w:eastAsia="Noto Naskh Arabic" w:hAnsi="Sakkal Majalla" w:cs="Sakkal Majalla"/>
          <w:color w:val="000000" w:themeColor="text1"/>
          <w:sz w:val="36"/>
          <w:szCs w:val="36"/>
          <w:rtl/>
        </w:rPr>
        <w:lastRenderedPageBreak/>
        <w:t>عقولهم فيها.</w:t>
      </w:r>
      <w:r w:rsidR="00CC13B8">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lang w:bidi="ar-EG"/>
        </w:rPr>
        <w:t>.</w:t>
      </w:r>
    </w:p>
    <w:p w14:paraId="33323990" w14:textId="3D26DC8A" w:rsidR="00781C76" w:rsidRDefault="00781C76" w:rsidP="00CC13B8">
      <w:pPr>
        <w:bidi/>
        <w:spacing w:line="360" w:lineRule="auto"/>
        <w:ind w:firstLine="63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ولهذا العلم بعد ذلك فضائل مشهورة، ومناقب معروفة، منها أن صاحب العربية إذا أخل بطلبه، وفرط في التماسه، ففاتته فضيلته، و عاقمت به رذيلة فوقه، عفى على جميع محاسنه، ..... لأنه إذا لم يفرق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بين كلام جيد وآخر رديء، ولفظ حسن وآخر قبيح، وشعر نادر وآخر</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بارد بان جهله، وظهر نقصه</w:t>
      </w:r>
      <w:r>
        <w:rPr>
          <w:rFonts w:ascii="Sakkal Majalla" w:eastAsia="Noto Naskh Arabic" w:hAnsi="Sakkal Majalla" w:cs="Sakkal Majalla" w:hint="cs"/>
          <w:color w:val="000000" w:themeColor="text1"/>
          <w:sz w:val="36"/>
          <w:szCs w:val="36"/>
          <w:rtl/>
        </w:rPr>
        <w:t>.</w:t>
      </w:r>
      <w:r w:rsidR="00F179F0">
        <w:rPr>
          <w:rStyle w:val="FootnoteReference"/>
          <w:rFonts w:ascii="Sakkal Majalla" w:eastAsia="Noto Naskh Arabic" w:hAnsi="Sakkal Majalla" w:cs="Sakkal Majalla"/>
          <w:color w:val="000000" w:themeColor="text1"/>
          <w:sz w:val="36"/>
          <w:szCs w:val="36"/>
          <w:rtl/>
        </w:rPr>
        <w:footnoteReference w:id="10"/>
      </w:r>
    </w:p>
    <w:p w14:paraId="1DE69D6E" w14:textId="01A550F6" w:rsidR="00781C76" w:rsidRPr="0042095A" w:rsidRDefault="00843C52" w:rsidP="00843C52">
      <w:pPr>
        <w:pStyle w:val="Heading3"/>
        <w:bidi/>
        <w:rPr>
          <w:rFonts w:ascii="Sakkal Majalla" w:hAnsi="Sakkal Majalla" w:cs="Sakkal Majalla"/>
          <w:b/>
          <w:bCs/>
          <w:color w:val="000000" w:themeColor="text1"/>
          <w:sz w:val="36"/>
          <w:szCs w:val="36"/>
          <w:lang w:val="en-US" w:bidi="ar-EG"/>
        </w:rPr>
      </w:pPr>
      <w:r w:rsidRPr="0042095A">
        <w:rPr>
          <w:rFonts w:ascii="Sakkal Majalla" w:hAnsi="Sakkal Majalla" w:cs="Sakkal Majalla" w:hint="cs"/>
          <w:b/>
          <w:bCs/>
          <w:color w:val="000000" w:themeColor="text1"/>
          <w:sz w:val="36"/>
          <w:szCs w:val="36"/>
          <w:rtl/>
          <w:lang w:val="en-US" w:bidi="ar-EG"/>
        </w:rPr>
        <w:t xml:space="preserve">3. </w:t>
      </w:r>
      <w:r w:rsidR="0042095A" w:rsidRPr="0042095A">
        <w:rPr>
          <w:rFonts w:ascii="Sakkal Majalla" w:hAnsi="Sakkal Majalla" w:cs="Sakkal Majalla" w:hint="cs"/>
          <w:b/>
          <w:bCs/>
          <w:color w:val="000000" w:themeColor="text1"/>
          <w:sz w:val="36"/>
          <w:szCs w:val="36"/>
          <w:rtl/>
          <w:lang w:val="en-US" w:bidi="ar-EG"/>
        </w:rPr>
        <w:t xml:space="preserve">مفهوم علم البيان </w:t>
      </w:r>
    </w:p>
    <w:p w14:paraId="413BACB5" w14:textId="292757E0" w:rsidR="0042095A" w:rsidRDefault="0042095A" w:rsidP="00CC13B8">
      <w:pPr>
        <w:bidi/>
        <w:spacing w:line="360" w:lineRule="auto"/>
        <w:ind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فالواقع أن البلاغة العربية قد مرَّت بتاريخ طويل من التطور حتى انتهت إلى ما انتهت إليه، وكانت مباحث علومها مختلطاً بعضها ببعض منذ نشأة الكلام عنها في كتب السابقين الأولين من علماء العربية، وكانوا</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يطلقون عليها «البيان».وقد تحدث الرماني فيه عن البلاغة وجعلها في عشرة أبواب يعنينا منها هنا اثنان من أبواب علم البيان، هما التشبيه والاستعارة. أما التشبيه فقد قسمه إلى حسي وعقلي، ثم فصل القول في العقلي منه تفصيلاً أفاد منه فيما بعد عبد القاهر الجرجاني في كتاب «أسرار البلاغة». وكذلك توسع في الكلام عن الاستعارة مبيناً قيمتها البيانية، وأنها أبلغ في الدلالة على المعنى من الحقيقة. وكل ما قاله الرماني عن الاستعارة كان رصيداً جديداً انتفع به أيضاً فيما بعد عبد القاهر وغيره من البلاغيين إلى حد كبير.</w:t>
      </w:r>
    </w:p>
    <w:p w14:paraId="00D12166" w14:textId="2E5651E7" w:rsidR="0042095A" w:rsidRDefault="0042095A" w:rsidP="00CC13B8">
      <w:pPr>
        <w:bidi/>
        <w:spacing w:line="360" w:lineRule="auto"/>
        <w:ind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lastRenderedPageBreak/>
        <w:t>ومن كتب الدراسات النقدية على أسس بلاغية كتاب «الوساطة بين المتنبي وخصومه لأبي الحسن علي بن عبد العزيز الشهير بالقاضي</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الجرجاني المتوفى سنة ٣٦٦ للهجرة .</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ومع أن الوساطة كتاب نقد أكثر منه كتاب بلاغة، 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 وقد كانت الشعراء تجري على</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نهج منها قريب من الاقتصاد، حتى استرسل فيها أبو تمام ومال إلى الرخصة فأخرجه إلى التعدي، وتبعه أكثر المحدثين بعده، فوقفوا عند مراتبهم من الإحسان والإساءة، والتقصير والإصابة. وأكثر هذا الصنف من الباب الذي قدمت لك القول فيه، وأقمت لك الشواهد عليه، وأعلمتك أنه مما يميز بقبول النفس ونفورها، وينتقد بسكون القلب ونبوه، وربما تمكنت الحجج من إظهار بعضه، واهتدت إلى الكشف عن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صوابه أو غلطه</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11"/>
      </w:r>
    </w:p>
    <w:p w14:paraId="65F30BB9" w14:textId="5D0FBC3C" w:rsidR="0042095A" w:rsidRDefault="0042095A" w:rsidP="00CC13B8">
      <w:pPr>
        <w:bidi/>
        <w:spacing w:line="360" w:lineRule="auto"/>
        <w:ind w:firstLine="630"/>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ولعلنا ندرك من هذا القول أن مرد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 xml:space="preserve">حججاً يستدل بها على قبح الاستعارة، ومع ذلك تقبل عليها النفس . ولا ريب أنه في ذلك يلتقي مع الآمدي في أن </w:t>
      </w:r>
      <w:r w:rsidRPr="0042095A">
        <w:rPr>
          <w:rFonts w:ascii="Sakkal Majalla" w:eastAsia="Noto Naskh Arabic" w:hAnsi="Sakkal Majalla" w:cs="Sakkal Majalla"/>
          <w:color w:val="000000" w:themeColor="text1"/>
          <w:sz w:val="36"/>
          <w:szCs w:val="36"/>
          <w:rtl/>
        </w:rPr>
        <w:lastRenderedPageBreak/>
        <w:t>الحكم على جودة الاستعارة أو رداءتها يرجع أكثر ما يرجع إلى الذوق الذي هو وليد المران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والدربة وإطالة النظر والتأمل في أقوال الشعراء المجيدين.</w:t>
      </w:r>
      <w:r w:rsidR="00FF15A2">
        <w:rPr>
          <w:rStyle w:val="FootnoteReference"/>
          <w:rFonts w:ascii="Sakkal Majalla" w:eastAsia="Noto Naskh Arabic" w:hAnsi="Sakkal Majalla" w:cs="Sakkal Majalla"/>
          <w:color w:val="000000" w:themeColor="text1"/>
          <w:sz w:val="36"/>
          <w:szCs w:val="36"/>
          <w:rtl/>
        </w:rPr>
        <w:footnoteReference w:id="12"/>
      </w:r>
    </w:p>
    <w:p w14:paraId="45C7B69F" w14:textId="644BA942" w:rsidR="0042095A" w:rsidRPr="00863C74" w:rsidRDefault="008A678D" w:rsidP="008A678D">
      <w:pPr>
        <w:pStyle w:val="Heading3"/>
        <w:bidi/>
        <w:rPr>
          <w:rFonts w:ascii="Sakkal Majalla" w:hAnsi="Sakkal Majalla" w:cs="Sakkal Majalla"/>
          <w:b/>
          <w:bCs/>
          <w:color w:val="auto"/>
          <w:sz w:val="36"/>
          <w:szCs w:val="36"/>
        </w:rPr>
      </w:pPr>
      <w:r w:rsidRPr="00863C74">
        <w:rPr>
          <w:rFonts w:ascii="Sakkal Majalla" w:hAnsi="Sakkal Majalla" w:cs="Sakkal Majalla" w:hint="cs"/>
          <w:b/>
          <w:bCs/>
          <w:color w:val="auto"/>
          <w:sz w:val="36"/>
          <w:szCs w:val="36"/>
          <w:rtl/>
        </w:rPr>
        <w:t>4. مفهوم علم المع</w:t>
      </w:r>
      <w:r w:rsidR="00583A6E" w:rsidRPr="00863C74">
        <w:rPr>
          <w:rFonts w:ascii="Sakkal Majalla" w:hAnsi="Sakkal Majalla" w:cs="Sakkal Majalla" w:hint="cs"/>
          <w:b/>
          <w:bCs/>
          <w:color w:val="auto"/>
          <w:sz w:val="36"/>
          <w:szCs w:val="36"/>
          <w:rtl/>
        </w:rPr>
        <w:t>ا</w:t>
      </w:r>
      <w:r w:rsidRPr="00863C74">
        <w:rPr>
          <w:rFonts w:ascii="Sakkal Majalla" w:hAnsi="Sakkal Majalla" w:cs="Sakkal Majalla" w:hint="cs"/>
          <w:b/>
          <w:bCs/>
          <w:color w:val="auto"/>
          <w:sz w:val="36"/>
          <w:szCs w:val="36"/>
          <w:rtl/>
        </w:rPr>
        <w:t>نى</w:t>
      </w:r>
    </w:p>
    <w:p w14:paraId="45A94848" w14:textId="3AB68C4C" w:rsidR="002176FC" w:rsidRPr="00A44A3C" w:rsidRDefault="002176FC" w:rsidP="00A44A3C">
      <w:pPr>
        <w:pStyle w:val="Heading4"/>
        <w:bidi/>
        <w:rPr>
          <w:rFonts w:ascii="Sakkal Majalla" w:hAnsi="Sakkal Majalla" w:cs="Sakkal Majalla" w:hint="cs"/>
          <w:b/>
          <w:bCs/>
          <w:color w:val="auto"/>
          <w:sz w:val="36"/>
          <w:szCs w:val="36"/>
          <w:rtl/>
          <w:lang w:bidi="ar-EG"/>
        </w:rPr>
      </w:pPr>
      <w:r w:rsidRPr="00A44A3C">
        <w:rPr>
          <w:rFonts w:ascii="Sakkal Majalla" w:hAnsi="Sakkal Majalla" w:cs="Sakkal Majalla" w:hint="cs"/>
          <w:b/>
          <w:bCs/>
          <w:color w:val="auto"/>
          <w:sz w:val="36"/>
          <w:szCs w:val="36"/>
          <w:rtl/>
          <w:lang w:bidi="ar-EG"/>
        </w:rPr>
        <w:t>أ) علم المعانى وأثرة بلاغة الكلام</w:t>
      </w:r>
    </w:p>
    <w:p w14:paraId="6E25B4BD" w14:textId="032ED134" w:rsidR="00413BFA" w:rsidRDefault="00EB5F04" w:rsidP="00A44A3C">
      <w:pPr>
        <w:bidi/>
        <w:spacing w:line="360" w:lineRule="auto"/>
        <w:ind w:firstLine="630"/>
        <w:jc w:val="both"/>
        <w:rPr>
          <w:rFonts w:ascii="Sakkal Majalla" w:eastAsia="Noto Naskh Arabic" w:hAnsi="Sakkal Majalla" w:cs="Sakkal Majalla"/>
          <w:color w:val="27272A"/>
          <w:sz w:val="36"/>
          <w:szCs w:val="36"/>
          <w:rtl/>
          <w:lang w:val="en-US"/>
        </w:rPr>
      </w:pPr>
      <w:r w:rsidRPr="00EB5F04">
        <w:rPr>
          <w:rFonts w:ascii="Sakkal Majalla" w:eastAsia="Noto Naskh Arabic" w:hAnsi="Sakkal Majalla" w:cs="Sakkal Majalla"/>
          <w:color w:val="27272A"/>
          <w:sz w:val="36"/>
          <w:szCs w:val="36"/>
          <w:rtl/>
          <w:lang w:val="en-US"/>
        </w:rPr>
        <w:t>علم المعاني هو أحد علوم البلاغة الثلاثة المعروفة : المعاني والبيان والبديع . وقد كانت البلاغة العربية في أول الأمر وحدة شاملة لمباحث هذه العلوم بلا تحديد أو تتميز . وكتب المتقدمين من علماء العربية خير شاهد على ذلك ، ففيها تتجاور مسائل علوم البلاغة ويختلط بعضها ببعض من غير</w:t>
      </w:r>
      <w:r>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فصل بينها</w:t>
      </w:r>
      <w:r>
        <w:rPr>
          <w:rFonts w:ascii="Sakkal Majalla" w:eastAsia="Noto Naskh Arabic" w:hAnsi="Sakkal Majalla" w:cs="Sakkal Majalla" w:hint="cs"/>
          <w:color w:val="27272A"/>
          <w:sz w:val="36"/>
          <w:szCs w:val="36"/>
          <w:rtl/>
          <w:lang w:val="en-US"/>
        </w:rPr>
        <w:t>.</w:t>
      </w:r>
      <w:r w:rsidR="00A44A3C">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وقد عرف السكاكي علم المعاني بقوله : ( إنه تتبع خواص تراكيب الكلام في الإفادة وما يتصل بها من الاستحسان وغيره ، ليحترز بالوقوف عليهاعن الخطأ في تطبيق الكلام على ما يقتضي الحال ذكره »</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وهذا التعريف وحده نموذج لتأليف السكاكي الذي أفرغه في أسلوب علمي منطقي بعيد كل البعد</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عن جلاء العبارة ووضوح التأليف عند من تقدموه</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من البلاغيين</w:t>
      </w:r>
      <w:r w:rsidR="00413BFA">
        <w:rPr>
          <w:rFonts w:ascii="Sakkal Majalla" w:eastAsia="Noto Naskh Arabic" w:hAnsi="Sakkal Majalla" w:cs="Sakkal Majalla" w:hint="cs"/>
          <w:color w:val="27272A"/>
          <w:sz w:val="36"/>
          <w:szCs w:val="36"/>
          <w:rtl/>
          <w:lang w:val="en-US"/>
        </w:rPr>
        <w:t>.</w:t>
      </w:r>
    </w:p>
    <w:p w14:paraId="1DAABB41" w14:textId="1FB42E4B" w:rsidR="00413BFA" w:rsidRDefault="00413BFA" w:rsidP="00413BFA">
      <w:pPr>
        <w:bidi/>
        <w:spacing w:line="360" w:lineRule="auto"/>
        <w:ind w:firstLine="630"/>
        <w:jc w:val="both"/>
        <w:rPr>
          <w:rFonts w:ascii="Sakkal Majalla" w:eastAsia="Noto Naskh Arabic" w:hAnsi="Sakkal Majalla" w:cs="Sakkal Majalla"/>
          <w:color w:val="27272A"/>
          <w:sz w:val="36"/>
          <w:szCs w:val="36"/>
          <w:rtl/>
          <w:lang w:val="en-US" w:bidi="ar-EG"/>
        </w:rPr>
      </w:pPr>
      <w:r w:rsidRPr="00413BFA">
        <w:rPr>
          <w:rFonts w:ascii="Sakkal Majalla" w:eastAsia="Noto Naskh Arabic" w:hAnsi="Sakkal Majalla" w:cs="Sakkal Majalla"/>
          <w:color w:val="27272A"/>
          <w:sz w:val="36"/>
          <w:szCs w:val="36"/>
          <w:rtl/>
          <w:lang w:val="en-US" w:bidi="ar-EG"/>
        </w:rPr>
        <w:t>فالكلام يفيد أصل وضعه معنى نطلق عليه المعنى الحقيقي أو الأصلي ، ولكنه قد يخرج أحياناً عن المعنى الذي وضع له أصلاً ليؤدي إلينا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معنى جديداً يفهم من السياق وترشد إليه الحال التي قيل فيها . فالغرض مثلاً من إلقاء الخبر إلى المخاطب في أصل الوضع هو ، إما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xml:space="preserve">إفادته الحكم الذي تضمنه الخبر ، وإما إفادته أن المتكلم عالم بالحكم كقولك : « كان عبد العزيز لا </w:t>
      </w:r>
      <w:r w:rsidRPr="00413BFA">
        <w:rPr>
          <w:rFonts w:ascii="Sakkal Majalla" w:eastAsia="Noto Naskh Arabic" w:hAnsi="Sakkal Majalla" w:cs="Sakkal Majalla"/>
          <w:color w:val="27272A"/>
          <w:sz w:val="36"/>
          <w:szCs w:val="36"/>
          <w:rtl/>
          <w:lang w:val="en-US" w:bidi="ar-EG"/>
        </w:rPr>
        <w:lastRenderedPageBreak/>
        <w:t>يأخذ من بيت المال شيئاً يناً ) ) ، ، وكقولك : عمر بن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لقد كنت في مطار بيروت أمس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ففي المثال الأول تريد إفادة السامع بما لم يكن يعرفه عن عمر بن عبد العزيز من العفة والزهد في مال المسلين ، وفي المثال الثاني لا تريد إفادة السامع مضمون الكلام لأن ذلك معلوم له قبل أن تعمله أنت ، فالسامع في هذه الحال لم يستفد علماً بالخبر نفسه ، وإنما استفاد أنك عالم به .</w:t>
      </w:r>
    </w:p>
    <w:p w14:paraId="01DD1C9C" w14:textId="7D8E9EA0" w:rsidR="00A029BE" w:rsidRDefault="00097D45" w:rsidP="00097D45">
      <w:pPr>
        <w:bidi/>
        <w:spacing w:line="360" w:lineRule="auto"/>
        <w:ind w:firstLine="630"/>
        <w:jc w:val="both"/>
        <w:rPr>
          <w:rFonts w:ascii="Sakkal Majalla" w:eastAsia="Noto Naskh Arabic" w:hAnsi="Sakkal Majalla" w:cs="Sakkal Majalla"/>
          <w:color w:val="27272A"/>
          <w:sz w:val="36"/>
          <w:szCs w:val="36"/>
          <w:rtl/>
          <w:lang w:val="en-US" w:bidi="ar-EG"/>
        </w:rPr>
      </w:pPr>
      <w:r w:rsidRPr="00097D45">
        <w:rPr>
          <w:rFonts w:ascii="Sakkal Majalla" w:eastAsia="Noto Naskh Arabic" w:hAnsi="Sakkal Majalla" w:cs="Sakkal Majalla"/>
          <w:color w:val="27272A"/>
          <w:sz w:val="36"/>
          <w:szCs w:val="36"/>
          <w:rtl/>
          <w:lang w:val="en-US" w:bidi="ar-EG"/>
        </w:rPr>
        <w:t>وكذلك الشأن بالنسبة لأساليب الأمر والنهي والإستفهام والتمني والنداء ، فقد يخرج كل منها عن معناه الأصلي لغرض بلاغي بديع ، أراده المتكلم من الخروج عما يقتضيه ظاهر الكلام ، كالخروج بالأمر عن أصل وضعه مثلاً لإفادة التعجيز ، وبالنهي لإفادة الدعاء ، وبالإستفهام لإفادة</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التعجب . وليس من غرضنا هنا التعرض بالشرح لكل أساليب المعاني وتوضيح</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المعنى أو المعاني التي تستفاد من كل منها ضمناً بمعونة القرائن ، وإنما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أوردنا ما أوردنا منها على سبيل المثال لا الحصر .</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ولعل فيما أوردناه كفاية لبيان ما لعلم المعاني من أثر في بلاغة الكلام ،</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وإقناعاً لكل راغب بقيمة دراسة أساليب علم المعاني المختلفة والإفادة منها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في الارتفاع بأسلوب انشائه من ناحية ، وفي الحكم على جيد الكلام ورديئه</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من ناحية أخرى</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13"/>
      </w:r>
      <w:r>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4"/>
          </w:r>
        </w:sdtContent>
      </w:sdt>
      <w:r w:rsidR="00EB5F04">
        <w:rPr>
          <w:rFonts w:ascii="Sakkal Majalla" w:eastAsia="Noto Naskh Arabic" w:hAnsi="Sakkal Majalla" w:cs="Sakkal Majalla"/>
          <w:color w:val="27272A"/>
          <w:sz w:val="36"/>
          <w:szCs w:val="36"/>
          <w:lang w:val="en-US" w:bidi="ar-EG"/>
        </w:rPr>
        <w:t xml:space="preserve"> </w:t>
      </w:r>
    </w:p>
    <w:p w14:paraId="63685383" w14:textId="46280FF7" w:rsidR="00863C74" w:rsidRDefault="00863C74" w:rsidP="00863C74">
      <w:pPr>
        <w:bidi/>
        <w:spacing w:line="360" w:lineRule="auto"/>
        <w:ind w:firstLine="630"/>
        <w:jc w:val="both"/>
        <w:rPr>
          <w:rFonts w:ascii="Sakkal Majalla" w:eastAsia="Noto Naskh Arabic" w:hAnsi="Sakkal Majalla" w:cs="Sakkal Majalla"/>
          <w:b/>
          <w:bCs/>
          <w:color w:val="27272A"/>
          <w:sz w:val="36"/>
          <w:szCs w:val="36"/>
          <w:rtl/>
          <w:lang w:val="en-US" w:bidi="ar-EG"/>
        </w:rPr>
      </w:pPr>
      <w:r w:rsidRPr="00863C74">
        <w:rPr>
          <w:rFonts w:ascii="Sakkal Majalla" w:eastAsia="Noto Naskh Arabic" w:hAnsi="Sakkal Majalla" w:cs="Sakkal Majalla" w:hint="cs"/>
          <w:b/>
          <w:bCs/>
          <w:color w:val="27272A"/>
          <w:sz w:val="36"/>
          <w:szCs w:val="36"/>
          <w:rtl/>
          <w:lang w:val="en-US" w:bidi="ar-EG"/>
        </w:rPr>
        <w:lastRenderedPageBreak/>
        <w:t>5. الكلام ال</w:t>
      </w:r>
      <w:r w:rsidRPr="00863C74">
        <w:rPr>
          <w:rFonts w:ascii="Sakkal Majalla" w:eastAsia="Noto Naskh Arabic" w:hAnsi="Sakkal Majalla" w:cs="Sakkal Majalla"/>
          <w:b/>
          <w:bCs/>
          <w:color w:val="27272A"/>
          <w:sz w:val="36"/>
          <w:szCs w:val="36"/>
          <w:rtl/>
          <w:lang w:val="en-US" w:bidi="ar-EG"/>
        </w:rPr>
        <w:t>إ</w:t>
      </w:r>
      <w:r w:rsidRPr="00863C74">
        <w:rPr>
          <w:rFonts w:ascii="Sakkal Majalla" w:eastAsia="Noto Naskh Arabic" w:hAnsi="Sakkal Majalla" w:cs="Sakkal Majalla" w:hint="cs"/>
          <w:b/>
          <w:bCs/>
          <w:color w:val="27272A"/>
          <w:sz w:val="36"/>
          <w:szCs w:val="36"/>
          <w:rtl/>
          <w:lang w:val="en-US" w:bidi="ar-EG"/>
        </w:rPr>
        <w:t xml:space="preserve">نشاء </w:t>
      </w:r>
    </w:p>
    <w:p w14:paraId="09F95836" w14:textId="39442023" w:rsidR="00863C74" w:rsidRDefault="00863C74" w:rsidP="00863C74">
      <w:pPr>
        <w:bidi/>
        <w:spacing w:line="360" w:lineRule="auto"/>
        <w:ind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وإذا كان الإنشاء قسيم الخبر ، وكان الخبر هو ما يحتمل الصدق والكذب ، فإن الإنشاء إذن هو الكلام الذي لا يحتمل الصدق والكذب لذاته ، وذلك لأنه ليس لمدلول لفظه قبل النطق به وجود خارجي يطابقه أو لا يطابقه</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فالمعري مثلاً عندما يقول :</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لا تظلموا الموتى وإن طال المدى إني أخاف عليكم أن تلتقوا قد إستعمل أحد أساليب الإنشاء وهو أسلوب النهي في قوله : « لا تظلموا الموتى » . ونحن لا يمكننا هنا أن نقول إن المعري صادق أو كاذب في نهيه عن ظلم الموتى ، وذلك لأنه لا يعلمنا بحصول شيء أو عدم حصوله ، وليس لمدلول لفظه قبل النطق به وجود خارجي يمكن أن يقارن</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w:t>
      </w:r>
    </w:p>
    <w:p w14:paraId="0591A39E" w14:textId="5CA01585" w:rsidR="00863C74" w:rsidRDefault="00863C74" w:rsidP="00882D01">
      <w:pPr>
        <w:bidi/>
        <w:spacing w:line="360" w:lineRule="auto"/>
        <w:ind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ومثل هذا القول ينطبق على سائر أساليب الإنشاء من أمر وإستفهام وتمن ونداء ، فليس لمدلول أي لفظ منها قبل النطق به وجود خارجي يُعرض</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عليه مدلوله ويُقارن 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وعدم احتمال الأسلوب الإنشائي للصدق والكذب إنما هو بالنظر إلى ذات الأسلوب بغض النظر عما يسلتزمه ، وإلا فأن كل أسلوب إنشائي يستلزم خبراً يحتمل الصدق والكذب</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فقول القائل ، « إجتهد » يستلزم خبراً هو « أنا طالب منك الإجتهاد » ، وقوله : « لا تكسل » يستلزم خبراً هو « أنا طالب منك عدم الكسل » وهكذا</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فالخبر الذي يسلتزمه الأسلوب الإنشائي ليس مقصوداً ولا منظوراً إليه ،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A44A3C">
      <w:pPr>
        <w:pStyle w:val="Heading4"/>
        <w:numPr>
          <w:ilvl w:val="0"/>
          <w:numId w:val="9"/>
        </w:numPr>
        <w:bidi/>
        <w:rPr>
          <w:rFonts w:ascii="Sakkal Majalla" w:hAnsi="Sakkal Majalla" w:cs="Sakkal Majalla"/>
          <w:b/>
          <w:bCs/>
          <w:color w:val="auto"/>
          <w:sz w:val="36"/>
          <w:szCs w:val="36"/>
          <w:rtl/>
          <w:lang w:val="en-US" w:bidi="ar-EG"/>
        </w:rPr>
      </w:pPr>
      <w:r w:rsidRPr="00A44A3C">
        <w:rPr>
          <w:rFonts w:ascii="Sakkal Majalla" w:hAnsi="Sakkal Majalla" w:cs="Sakkal Majalla" w:hint="cs"/>
          <w:b/>
          <w:bCs/>
          <w:color w:val="auto"/>
          <w:sz w:val="36"/>
          <w:szCs w:val="36"/>
          <w:rtl/>
          <w:lang w:val="en-US" w:bidi="ar-EG"/>
        </w:rPr>
        <w:lastRenderedPageBreak/>
        <w:t>أقس</w:t>
      </w:r>
      <w:r>
        <w:rPr>
          <w:rFonts w:ascii="Sakkal Majalla" w:hAnsi="Sakkal Majalla" w:cs="Sakkal Majalla" w:hint="cs"/>
          <w:b/>
          <w:bCs/>
          <w:color w:val="auto"/>
          <w:sz w:val="36"/>
          <w:szCs w:val="36"/>
          <w:rtl/>
          <w:lang w:val="en-US" w:bidi="ar-EG"/>
        </w:rPr>
        <w:t>ا</w:t>
      </w:r>
      <w:r w:rsidRPr="00A44A3C">
        <w:rPr>
          <w:rFonts w:ascii="Sakkal Majalla" w:hAnsi="Sakkal Majalla" w:cs="Sakkal Majalla" w:hint="cs"/>
          <w:b/>
          <w:bCs/>
          <w:color w:val="auto"/>
          <w:sz w:val="36"/>
          <w:szCs w:val="36"/>
          <w:rtl/>
          <w:lang w:val="en-US" w:bidi="ar-EG"/>
        </w:rPr>
        <w:t xml:space="preserve">م الكلام </w:t>
      </w:r>
      <w:r w:rsidRPr="00A44A3C">
        <w:rPr>
          <w:rFonts w:ascii="Sakkal Majalla" w:hAnsi="Sakkal Majalla" w:cs="Sakkal Majalla" w:hint="cs"/>
          <w:b/>
          <w:bCs/>
          <w:color w:val="auto"/>
          <w:sz w:val="36"/>
          <w:szCs w:val="36"/>
          <w:rtl/>
          <w:lang w:val="en-US" w:bidi="ar-EG"/>
        </w:rPr>
        <w:t>الإنشا</w:t>
      </w:r>
      <w:r w:rsidRPr="00A44A3C">
        <w:rPr>
          <w:rFonts w:ascii="Sakkal Majalla" w:hAnsi="Sakkal Majalla" w:cs="Sakkal Majalla" w:hint="cs"/>
          <w:b/>
          <w:bCs/>
          <w:color w:val="auto"/>
          <w:sz w:val="36"/>
          <w:szCs w:val="36"/>
          <w:rtl/>
          <w:lang w:val="en-US" w:bidi="ar-EG"/>
        </w:rPr>
        <w:t xml:space="preserve">ء </w:t>
      </w:r>
    </w:p>
    <w:p w14:paraId="31203987" w14:textId="77777777" w:rsidR="00127FDC" w:rsidRDefault="00127FDC" w:rsidP="00127FDC">
      <w:pPr>
        <w:pStyle w:val="ListParagraph"/>
        <w:bidi/>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7B880294" w14:textId="43616B34" w:rsidR="00127FDC" w:rsidRP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 فالإنشاء الطلبي : هو ما يستدعي مطلوباً غير حاصل وقت الطلب .وهو خمسة أنواع على الوجه التالي :</w:t>
      </w:r>
    </w:p>
    <w:p w14:paraId="41EFBCF0" w14:textId="5EF32A4E" w:rsidR="00127FDC" w:rsidRPr="00127FDC" w:rsidRDefault="00127FDC" w:rsidP="00127FDC">
      <w:pPr>
        <w:pStyle w:val="ListParagraph"/>
        <w:bidi/>
        <w:ind w:left="144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127FDC">
      <w:pPr>
        <w:pStyle w:val="ListParagraph"/>
        <w:bidi/>
        <w:ind w:left="144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127FDC">
      <w:pPr>
        <w:pStyle w:val="ListParagraph"/>
        <w:bidi/>
        <w:ind w:left="144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127FDC">
      <w:pPr>
        <w:pStyle w:val="ListParagraph"/>
        <w:bidi/>
        <w:ind w:left="1440"/>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127FDC">
      <w:pPr>
        <w:pStyle w:val="ListParagraph"/>
        <w:bidi/>
        <w:ind w:left="1440"/>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5B2756E4" w:rsidR="00127FDC" w:rsidRP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6ABBA09D" w14:textId="7A0B3743" w:rsidR="00127FDC" w:rsidRDefault="00127FDC" w:rsidP="00127FDC">
      <w:pPr>
        <w:pStyle w:val="ListParagraph"/>
        <w:bidi/>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(ب) 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1B53F5F6" w14:textId="7F0F9224" w:rsidR="00127FDC" w:rsidRDefault="00127FDC" w:rsidP="00127FDC">
      <w:pPr>
        <w:pStyle w:val="ListParagraph"/>
        <w:bidi/>
        <w:rPr>
          <w:rFonts w:ascii="Sakkal Majalla" w:hAnsi="Sakkal Majalla" w:cs="Sakkal Majalla"/>
          <w:sz w:val="36"/>
          <w:szCs w:val="36"/>
          <w:rtl/>
          <w:lang w:val="en-US" w:bidi="ar-EG"/>
        </w:rPr>
      </w:pPr>
    </w:p>
    <w:p w14:paraId="13665CA0" w14:textId="77777777" w:rsidR="00127FDC" w:rsidRPr="00A44A3C" w:rsidRDefault="00127FDC" w:rsidP="00127FDC">
      <w:pPr>
        <w:pStyle w:val="ListParagraph"/>
        <w:bidi/>
        <w:rPr>
          <w:rFonts w:ascii="Sakkal Majalla" w:hAnsi="Sakkal Majalla" w:cs="Sakkal Majalla" w:hint="cs"/>
          <w:sz w:val="36"/>
          <w:szCs w:val="36"/>
          <w:lang w:val="en-US" w:bidi="ar-EG"/>
        </w:rPr>
      </w:pPr>
    </w:p>
    <w:p w14:paraId="63ED6337" w14:textId="362C3ED6" w:rsidR="00A520C9" w:rsidRPr="00A520C9" w:rsidRDefault="00A520C9" w:rsidP="00A520C9">
      <w:pPr>
        <w:bidi/>
        <w:spacing w:line="360" w:lineRule="auto"/>
        <w:ind w:firstLine="630"/>
        <w:jc w:val="both"/>
        <w:rPr>
          <w:rFonts w:ascii="Sakkal Majalla" w:eastAsia="Noto Naskh Arabic" w:hAnsi="Sakkal Majalla" w:cs="Sakkal Majalla"/>
          <w:b/>
          <w:bCs/>
          <w:color w:val="27272A"/>
          <w:sz w:val="36"/>
          <w:szCs w:val="36"/>
          <w:rtl/>
          <w:lang w:val="en-US" w:bidi="ar-EG"/>
        </w:rPr>
      </w:pPr>
      <w:r w:rsidRPr="00A520C9">
        <w:rPr>
          <w:rFonts w:ascii="Sakkal Majalla" w:eastAsia="Noto Naskh Arabic" w:hAnsi="Sakkal Majalla" w:cs="Sakkal Majalla" w:hint="cs"/>
          <w:b/>
          <w:bCs/>
          <w:color w:val="27272A"/>
          <w:sz w:val="36"/>
          <w:szCs w:val="36"/>
          <w:rtl/>
          <w:lang w:val="en-US" w:bidi="ar-EG"/>
        </w:rPr>
        <w:t xml:space="preserve">3) القران الكريم </w:t>
      </w:r>
    </w:p>
    <w:p w14:paraId="6421FDC9" w14:textId="3575C8D1" w:rsidR="00506E03" w:rsidRDefault="00506E03" w:rsidP="004E1050">
      <w:pPr>
        <w:bidi/>
        <w:spacing w:line="360" w:lineRule="auto"/>
        <w:ind w:firstLine="630"/>
        <w:jc w:val="both"/>
        <w:rPr>
          <w:rFonts w:ascii="Sakkal Majalla" w:eastAsia="Noto Naskh Arabic" w:hAnsi="Sakkal Majalla" w:cs="Sakkal Majalla"/>
          <w:color w:val="27272A"/>
          <w:sz w:val="36"/>
          <w:szCs w:val="36"/>
          <w:rtl/>
          <w:lang w:val="en-US" w:bidi="ar-EG"/>
        </w:rPr>
      </w:pPr>
      <w:bookmarkStart w:id="0" w:name="_Hlk155818346"/>
      <w:r w:rsidRPr="00506E03">
        <w:rPr>
          <w:rFonts w:ascii="Sakkal Majalla" w:eastAsia="Noto Naskh Arabic" w:hAnsi="Sakkal Majalla" w:cs="Sakkal Majalla"/>
          <w:color w:val="27272A"/>
          <w:sz w:val="36"/>
          <w:szCs w:val="36"/>
          <w:rtl/>
          <w:lang w:val="en-US" w:bidi="ar-EG"/>
        </w:rPr>
        <w:t>هذا الإسم «قرآن في اللغة : على أصح الآراء مصدر على وزن غفران ، بمعنى القراءة ، ومنه قوله تعالى : إن علينا جَمْعَه وَقُرْآنه ، فإذا قرأناه فاتبع قرآنه</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وأما تعريف القرآن اصطلاحاً : فقد تعددت تعاريف العلماء للقرآن ، بسبب تعدد الزوايا التي ينظر العلماء منها إلى القرآن - وإن كان التعبير بأنه الكلام المعجز كافياً - ونحن نختار هنا التعريف المناسب لغرض دراستنا ،أعني التمهيد بمعارف عامة وهامة موجزة عن القرآن الكريم فنقول :</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 xml:space="preserve">القرآن هو كلام الله المنزل على </w:t>
      </w:r>
      <w:r w:rsidR="000B49C5" w:rsidRPr="000B49C5">
        <w:rPr>
          <w:rFonts w:ascii="Sakkal Majalla" w:eastAsia="Noto Naskh Arabic" w:hAnsi="Sakkal Majalla" w:cs="Sakkal Majalla"/>
          <w:color w:val="27272A"/>
          <w:sz w:val="36"/>
          <w:szCs w:val="36"/>
          <w:rtl/>
          <w:lang w:val="en-US" w:bidi="ar-EG"/>
        </w:rPr>
        <w:lastRenderedPageBreak/>
        <w:t>النبي محمد صلى الله عليه وسلم المكتوب في المصاحف المنقول بالتواتر المتعبد بتلاوته، المعجز ولو</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بسورة منه .</w:t>
      </w:r>
      <w:r w:rsidR="000B49C5">
        <w:rPr>
          <w:rStyle w:val="FootnoteReference"/>
          <w:rFonts w:ascii="Sakkal Majalla" w:eastAsia="Noto Naskh Arabic" w:hAnsi="Sakkal Majalla" w:cs="Sakkal Majalla"/>
          <w:color w:val="27272A"/>
          <w:sz w:val="36"/>
          <w:szCs w:val="36"/>
          <w:rtl/>
          <w:lang w:val="en-US" w:bidi="ar-EG"/>
        </w:rPr>
        <w:footnoteReference w:id="15"/>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16"/>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DEC6F0" w14:textId="49D3C023" w:rsidR="00300415" w:rsidRDefault="00490F1E" w:rsidP="00300415">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17"/>
      </w:r>
    </w:p>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 xml:space="preserve">فقد تحدى القرآن الكريم العرب أن يأتوا بمثله أو بمثل سورة منه وعجزوا عن ذلك رغم شهرتهم بالبلاغة والفصاحة والبيان بل هو </w:t>
      </w:r>
      <w:r w:rsidR="00FC2C2B" w:rsidRPr="00FC2C2B">
        <w:rPr>
          <w:rFonts w:ascii="Sakkal Majalla" w:eastAsia="Noto Naskh Arabic" w:hAnsi="Sakkal Majalla" w:cs="Sakkal Majalla"/>
          <w:color w:val="27272A"/>
          <w:sz w:val="36"/>
          <w:szCs w:val="36"/>
          <w:rtl/>
          <w:lang w:val="en-US" w:bidi="ar-EG"/>
        </w:rPr>
        <w:lastRenderedPageBreak/>
        <w:t>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18"/>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3E09872F"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 xml:space="preserve">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w:t>
      </w:r>
      <w:r w:rsidRPr="004E1050">
        <w:rPr>
          <w:rFonts w:ascii="Sakkal Majalla" w:eastAsia="Noto Naskh Arabic" w:hAnsi="Sakkal Majalla" w:cs="Sakkal Majalla"/>
          <w:color w:val="27272A"/>
          <w:sz w:val="36"/>
          <w:szCs w:val="36"/>
          <w:rtl/>
          <w:lang w:val="en-US" w:bidi="ar-EG"/>
        </w:rPr>
        <w:lastRenderedPageBreak/>
        <w:t>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19"/>
          </w:r>
        </w:sdtContent>
      </w:sdt>
      <w:r>
        <w:rPr>
          <w:rFonts w:ascii="Sakkal Majalla" w:eastAsia="Noto Naskh Arabic" w:hAnsi="Sakkal Majalla" w:cs="Sakkal Majalla" w:hint="cs"/>
          <w:color w:val="27272A"/>
          <w:sz w:val="36"/>
          <w:szCs w:val="36"/>
          <w:rtl/>
          <w:lang w:val="en-US" w:bidi="ar-EG"/>
        </w:rPr>
        <w:t>.</w:t>
      </w:r>
    </w:p>
    <w:p w14:paraId="067E3746" w14:textId="731D0786" w:rsidR="00A520C9" w:rsidRPr="00A520C9" w:rsidRDefault="00A520C9" w:rsidP="00A520C9">
      <w:pPr>
        <w:bidi/>
        <w:spacing w:line="360" w:lineRule="auto"/>
        <w:ind w:firstLine="360"/>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bCs/>
          <w:color w:val="27272A"/>
          <w:sz w:val="36"/>
          <w:szCs w:val="36"/>
          <w:highlight w:val="white"/>
        </w:rPr>
        <w:t xml:space="preserve"> </w:t>
      </w:r>
      <w:r>
        <w:rPr>
          <w:rFonts w:ascii="Sakkal Majalla" w:eastAsia="Noto Naskh Arabic" w:hAnsi="Sakkal Majalla" w:cs="Sakkal Majalla" w:hint="cs"/>
          <w:bCs/>
          <w:color w:val="27272A"/>
          <w:sz w:val="36"/>
          <w:szCs w:val="36"/>
          <w:highlight w:val="white"/>
          <w:rtl/>
        </w:rPr>
        <w:t xml:space="preserve">4) </w:t>
      </w:r>
      <w:r w:rsidRPr="00A520C9">
        <w:rPr>
          <w:rFonts w:ascii="Sakkal Majalla" w:eastAsia="Noto Naskh Arabic" w:hAnsi="Sakkal Majalla" w:cs="Sakkal Majalla"/>
          <w:bCs/>
          <w:color w:val="27272A"/>
          <w:sz w:val="36"/>
          <w:szCs w:val="36"/>
          <w:highlight w:val="white"/>
          <w:rtl/>
        </w:rPr>
        <w:t>سورة الرّوم في القرآن الكريم</w:t>
      </w:r>
    </w:p>
    <w:p w14:paraId="331B1C66" w14:textId="77777777" w:rsidR="00A520C9" w:rsidRPr="001474CC" w:rsidRDefault="00A520C9" w:rsidP="00A520C9">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سورة الرّوم هي السورة الثّلاثون في القرآن الكريم، وتتناول مواضيع متنوّعة مثل علامات قدرة الله، تاريخ الأمم السابقة، الإيمان، والعدالة. تسلِط سورة الرّوم أيضًا الضّوء على أهمية ابتغاء العلم وتأمّل علامات عظمة الله. وهي من السّور المكية، وتذكر في آية الثّانية هزيمة الرومان.</w:t>
      </w:r>
    </w:p>
    <w:p w14:paraId="61811EE8" w14:textId="77777777" w:rsidR="00E20DB1" w:rsidRPr="00A520C9" w:rsidRDefault="00E20DB1" w:rsidP="00E20DB1">
      <w:pPr>
        <w:bidi/>
        <w:spacing w:line="360" w:lineRule="auto"/>
        <w:ind w:firstLine="360"/>
        <w:rPr>
          <w:rFonts w:ascii="Sakkal Majalla" w:eastAsia="Noto Naskh Arabic" w:hAnsi="Sakkal Majalla" w:cs="Sakkal Majalla"/>
          <w:color w:val="27272A"/>
          <w:sz w:val="36"/>
          <w:szCs w:val="36"/>
          <w:highlight w:val="white"/>
          <w:rtl/>
          <w:lang w:bidi="ar-EG"/>
        </w:rPr>
      </w:pPr>
    </w:p>
    <w:p w14:paraId="1EDC2642" w14:textId="432721D5" w:rsidR="00F440B6" w:rsidRPr="001474CC" w:rsidRDefault="0071640D" w:rsidP="001474CC">
      <w:pPr>
        <w:bidi/>
        <w:spacing w:line="360" w:lineRule="auto"/>
        <w:ind w:firstLine="360"/>
        <w:rPr>
          <w:rFonts w:ascii="Sakkal Majalla" w:eastAsia="Noto Naskh Arabic" w:hAnsi="Sakkal Majalla" w:cs="Sakkal Majalla"/>
          <w:b/>
          <w:color w:val="27272A"/>
          <w:sz w:val="36"/>
          <w:szCs w:val="36"/>
          <w:highlight w:val="white"/>
        </w:rPr>
      </w:pPr>
      <w:r>
        <w:rPr>
          <w:rFonts w:ascii="Sakkal Majalla" w:eastAsia="Noto Naskh Arabic" w:hAnsi="Sakkal Majalla" w:cs="Sakkal Majalla"/>
          <w:b/>
          <w:color w:val="27272A"/>
          <w:sz w:val="36"/>
          <w:szCs w:val="36"/>
          <w:highlight w:val="white"/>
          <w:lang w:bidi="ar-EG"/>
        </w:rPr>
        <w:t>5</w:t>
      </w:r>
      <w:r w:rsidR="00564892">
        <w:rPr>
          <w:rFonts w:ascii="Sakkal Majalla" w:eastAsia="Noto Naskh Arabic" w:hAnsi="Sakkal Majalla" w:cs="Sakkal Majalla" w:hint="cs"/>
          <w:b/>
          <w:color w:val="27272A"/>
          <w:sz w:val="36"/>
          <w:szCs w:val="36"/>
          <w:highlight w:val="white"/>
          <w:rtl/>
          <w:lang w:bidi="ar-EG"/>
        </w:rPr>
        <w:t>)أسلب</w:t>
      </w:r>
      <w:r w:rsidRPr="001474CC">
        <w:rPr>
          <w:rFonts w:ascii="Sakkal Majalla" w:eastAsia="Noto Naskh Arabic" w:hAnsi="Sakkal Majalla" w:cs="Sakkal Majalla"/>
          <w:b/>
          <w:color w:val="27272A"/>
          <w:sz w:val="36"/>
          <w:szCs w:val="36"/>
          <w:highlight w:val="white"/>
          <w:rtl/>
        </w:rPr>
        <w:t xml:space="preserve"> الإِنشَاء </w:t>
      </w:r>
      <w:r w:rsidRPr="00A029BE">
        <w:rPr>
          <w:rFonts w:ascii="Sakkal Majalla" w:eastAsia="Noto Naskh Arabic" w:hAnsi="Sakkal Majalla" w:cs="Sakkal Majalla"/>
          <w:b/>
          <w:color w:val="27272A"/>
          <w:sz w:val="36"/>
          <w:szCs w:val="36"/>
          <w:highlight w:val="white"/>
          <w:rtl/>
        </w:rPr>
        <w:t xml:space="preserve">الطلبي </w:t>
      </w:r>
    </w:p>
    <w:p w14:paraId="05C242C5" w14:textId="78888ACF" w:rsidR="00564892" w:rsidRDefault="00A84C65" w:rsidP="001474CC">
      <w:pPr>
        <w:bidi/>
        <w:spacing w:line="360" w:lineRule="auto"/>
        <w:ind w:firstLine="360"/>
        <w:rPr>
          <w:rFonts w:ascii="Sakkal Majalla" w:eastAsia="Noto Naskh Arabic" w:hAnsi="Sakkal Majalla" w:cs="Sakkal Majalla"/>
          <w:color w:val="27272A"/>
          <w:sz w:val="36"/>
          <w:szCs w:val="36"/>
          <w:highlight w:val="white"/>
          <w:rtl/>
        </w:rPr>
      </w:pPr>
      <w:r w:rsidRPr="001474CC">
        <w:rPr>
          <w:rFonts w:ascii="Sakkal Majalla" w:eastAsia="Noto Naskh Arabic" w:hAnsi="Sakkal Majalla" w:cs="Sakkal Majalla"/>
          <w:color w:val="27272A"/>
          <w:sz w:val="36"/>
          <w:szCs w:val="36"/>
          <w:highlight w:val="white"/>
          <w:rtl/>
        </w:rPr>
        <w:t xml:space="preserve">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هُو مُصْطَلَحٌ فِي اللُّغَةِ العَرَبِيَّةِ يُشِيرُ إِلَى الْجُمَلِ الَّتِي تَدْعُو أَو تَسْتَوجِبُ شَيْئًا مِنَ السَّامِعِينَ أَو الْقَرَاءِ عِنْدَ نُطْقِهَا أَو كِتَابَتِهَا.</w:t>
      </w:r>
      <w:r w:rsidR="00564892">
        <w:rPr>
          <w:rFonts w:ascii="Sakkal Majalla" w:eastAsia="Noto Naskh Arabic" w:hAnsi="Sakkal Majalla" w:cs="Sakkal Majalla" w:hint="cs"/>
          <w:color w:val="27272A"/>
          <w:sz w:val="36"/>
          <w:szCs w:val="36"/>
          <w:highlight w:val="white"/>
          <w:rtl/>
        </w:rPr>
        <w:t xml:space="preserve"> </w:t>
      </w:r>
      <w:r w:rsidR="00564892">
        <w:rPr>
          <w:rFonts w:ascii="Sakkal Majalla" w:eastAsia="Noto Naskh Arabic" w:hAnsi="Sakkal Majalla" w:cs="Sakkal Majalla" w:hint="cs"/>
          <w:color w:val="27272A"/>
          <w:sz w:val="36"/>
          <w:szCs w:val="36"/>
          <w:rtl/>
        </w:rPr>
        <w:t>"</w:t>
      </w:r>
      <w:r w:rsidR="00564892" w:rsidRPr="00564892">
        <w:rPr>
          <w:rFonts w:ascii="Sakkal Majalla" w:eastAsia="Noto Naskh Arabic" w:hAnsi="Sakkal Majalla" w:cs="Sakkal Majalla"/>
          <w:color w:val="27272A"/>
          <w:sz w:val="36"/>
          <w:szCs w:val="36"/>
          <w:rtl/>
        </w:rPr>
        <w:t>ال</w:t>
      </w:r>
      <w:r w:rsidR="00564892" w:rsidRPr="001474CC">
        <w:rPr>
          <w:rFonts w:ascii="Sakkal Majalla" w:eastAsia="Noto Naskh Arabic" w:hAnsi="Sakkal Majalla" w:cs="Sakkal Majalla"/>
          <w:color w:val="27272A"/>
          <w:sz w:val="36"/>
          <w:szCs w:val="36"/>
          <w:highlight w:val="white"/>
          <w:rtl/>
        </w:rPr>
        <w:t>كَلَامُ</w:t>
      </w:r>
      <w:r w:rsidR="00564892" w:rsidRPr="00564892">
        <w:rPr>
          <w:rFonts w:ascii="Sakkal Majalla" w:eastAsia="Noto Naskh Arabic" w:hAnsi="Sakkal Majalla" w:cs="Sakkal Majalla"/>
          <w:color w:val="27272A"/>
          <w:sz w:val="36"/>
          <w:szCs w:val="36"/>
          <w:rtl/>
        </w:rPr>
        <w:t xml:space="preserve"> </w:t>
      </w:r>
      <w:r w:rsidR="00564892" w:rsidRPr="001474CC">
        <w:rPr>
          <w:rFonts w:ascii="Sakkal Majalla" w:eastAsia="Noto Naskh Arabic" w:hAnsi="Sakkal Majalla" w:cs="Sakkal Majalla"/>
          <w:color w:val="27272A"/>
          <w:sz w:val="36"/>
          <w:szCs w:val="36"/>
          <w:highlight w:val="white"/>
          <w:rtl/>
        </w:rPr>
        <w:t>الإِ</w:t>
      </w:r>
      <w:r w:rsidR="00564892">
        <w:rPr>
          <w:rFonts w:ascii="Sakkal Majalla" w:eastAsia="Noto Naskh Arabic" w:hAnsi="Sakkal Majalla" w:cs="Sakkal Majalla" w:hint="cs"/>
          <w:color w:val="27272A"/>
          <w:sz w:val="36"/>
          <w:szCs w:val="36"/>
          <w:rtl/>
        </w:rPr>
        <w:t>ن</w:t>
      </w:r>
      <w:r w:rsidR="00564892" w:rsidRPr="00564892">
        <w:rPr>
          <w:rFonts w:ascii="Sakkal Majalla" w:eastAsia="Noto Naskh Arabic" w:hAnsi="Sakkal Majalla" w:cs="Sakkal Majalla"/>
          <w:color w:val="27272A"/>
          <w:sz w:val="36"/>
          <w:szCs w:val="36"/>
          <w:rtl/>
        </w:rPr>
        <w:t>شا</w:t>
      </w:r>
      <w:r w:rsidR="00564892">
        <w:rPr>
          <w:rFonts w:ascii="Sakkal Majalla" w:eastAsia="Noto Naskh Arabic" w:hAnsi="Sakkal Majalla" w:cs="Sakkal Majalla" w:hint="cs"/>
          <w:color w:val="27272A"/>
          <w:sz w:val="36"/>
          <w:szCs w:val="36"/>
          <w:rtl/>
        </w:rPr>
        <w:t>ء</w:t>
      </w:r>
      <w:r w:rsidR="00564892" w:rsidRPr="00564892">
        <w:rPr>
          <w:rFonts w:ascii="Sakkal Majalla" w:eastAsia="Noto Naskh Arabic" w:hAnsi="Sakkal Majalla" w:cs="Sakkal Majalla"/>
          <w:color w:val="27272A"/>
          <w:sz w:val="36"/>
          <w:szCs w:val="36"/>
          <w:rtl/>
        </w:rPr>
        <w:t xml:space="preserve"> ه</w:t>
      </w:r>
      <w:r w:rsidR="00564892">
        <w:rPr>
          <w:rFonts w:ascii="Sakkal Majalla" w:eastAsia="Noto Naskh Arabic" w:hAnsi="Sakkal Majalla" w:cs="Sakkal Majalla" w:hint="cs"/>
          <w:color w:val="27272A"/>
          <w:sz w:val="36"/>
          <w:szCs w:val="36"/>
          <w:rtl/>
        </w:rPr>
        <w:t>و</w:t>
      </w:r>
      <w:r w:rsidR="00564892" w:rsidRPr="00564892">
        <w:rPr>
          <w:rFonts w:ascii="Sakkal Majalla" w:eastAsia="Noto Naskh Arabic" w:hAnsi="Sakkal Majalla" w:cs="Sakkal Majalla"/>
          <w:color w:val="27272A"/>
          <w:sz w:val="36"/>
          <w:szCs w:val="36"/>
          <w:rtl/>
        </w:rPr>
        <w:t xml:space="preserve"> </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ا</w:t>
      </w:r>
      <w:r w:rsidR="00564892">
        <w:rPr>
          <w:rFonts w:ascii="Sakkal Majalla" w:eastAsia="Noto Naskh Arabic" w:hAnsi="Sakkal Majalla" w:cs="Sakkal Majalla" w:hint="cs"/>
          <w:color w:val="27272A"/>
          <w:sz w:val="36"/>
          <w:szCs w:val="36"/>
          <w:rtl/>
        </w:rPr>
        <w:t>لا ي</w:t>
      </w:r>
      <w:r w:rsidR="00564892" w:rsidRPr="00564892">
        <w:rPr>
          <w:rFonts w:ascii="Sakkal Majalla" w:eastAsia="Noto Naskh Arabic" w:hAnsi="Sakkal Majalla" w:cs="Sakkal Majalla"/>
          <w:color w:val="27272A"/>
          <w:sz w:val="36"/>
          <w:szCs w:val="36"/>
          <w:rtl/>
        </w:rPr>
        <w:t>حت</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ل الصدق و الكذب</w:t>
      </w:r>
      <w:r w:rsidR="00564892">
        <w:rPr>
          <w:rFonts w:ascii="Sakkal Majalla" w:eastAsia="Noto Naskh Arabic" w:hAnsi="Sakkal Majalla" w:cs="Sakkal Majalla" w:hint="cs"/>
          <w:color w:val="27272A"/>
          <w:sz w:val="36"/>
          <w:szCs w:val="36"/>
          <w:rtl/>
        </w:rPr>
        <w:t xml:space="preserve">" بمعنى </w:t>
      </w:r>
    </w:p>
    <w:p w14:paraId="6A54D319" w14:textId="77777777" w:rsidR="00564892" w:rsidRDefault="00564892" w:rsidP="00564892">
      <w:pPr>
        <w:bidi/>
        <w:spacing w:line="360" w:lineRule="auto"/>
        <w:ind w:firstLine="360"/>
        <w:rPr>
          <w:rFonts w:ascii="Sakkal Majalla" w:eastAsia="Noto Naskh Arabic" w:hAnsi="Sakkal Majalla" w:cs="Sakkal Majalla"/>
          <w:color w:val="27272A"/>
          <w:sz w:val="36"/>
          <w:szCs w:val="36"/>
          <w:highlight w:val="white"/>
          <w:rtl/>
        </w:rPr>
      </w:pPr>
    </w:p>
    <w:p w14:paraId="7EB46A78" w14:textId="08882735" w:rsidR="00F440B6" w:rsidRPr="001474CC" w:rsidRDefault="00A84C65" w:rsidP="00564892">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 أنواع 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تَشْمَلُ:</w:t>
      </w:r>
    </w:p>
    <w:p w14:paraId="6A657C25"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الأمر (أَمْر): وهي الجمل التي تدعو أو تأمر شَخْصًا بِفِعْلِ شَيْءٍ مَا.</w:t>
      </w:r>
    </w:p>
    <w:p w14:paraId="52588FB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النَّهْي (نَهْي): وهي الجمل التي تدعو أو تمنع شَخْصًا عَنْ فِعْلِ شَيْءٍ مَا.</w:t>
      </w:r>
    </w:p>
    <w:p w14:paraId="2A8DB45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الاستفهام (اِسْتِفْهَام): وهي الجمل التي تطلب إِجَابَةً لِسُؤَالٍ.</w:t>
      </w:r>
    </w:p>
    <w:p w14:paraId="194B9604"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التَّمَنِّي (تَمَنِّي): وهي الجمل التي تطلب أَو تتمنى حَدُوثَ شَيْءٍ.</w:t>
      </w:r>
    </w:p>
    <w:p w14:paraId="03C6E455" w14:textId="57CC7712"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النِّدَاء (نِدَاء): وهي الجمل التي تدعو أَو تطلب مِنْ شَخْصٍ أَنْ يَأْتِي أَو يَفْعَلَ شَيْءً مَا</w:t>
      </w:r>
      <w:sdt>
        <w:sdtPr>
          <w:rPr>
            <w:rFonts w:ascii="Sakkal Majalla" w:eastAsia="Noto Naskh Arabic" w:hAnsi="Sakkal Majalla" w:cs="Sakkal Majalla"/>
            <w:color w:val="27272A"/>
            <w:sz w:val="36"/>
            <w:szCs w:val="36"/>
            <w:highlight w:val="white"/>
            <w:rtl/>
          </w:rPr>
          <w:tag w:val="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
          <w:id w:val="-1482463104"/>
          <w:lock w:val="contentLocked"/>
          <w:placeholder>
            <w:docPart w:val="DefaultPlaceholder_-1854013440"/>
          </w:placeholder>
        </w:sdtPr>
        <w:sdtEndPr/>
        <w:sdtContent>
          <w:r w:rsidR="0071640D">
            <w:rPr>
              <w:rStyle w:val="FootnoteReference"/>
              <w:rFonts w:ascii="Sakkal Majalla" w:eastAsia="Noto Naskh Arabic" w:hAnsi="Sakkal Majalla" w:cs="Sakkal Majalla"/>
              <w:color w:val="27272A"/>
              <w:sz w:val="36"/>
              <w:szCs w:val="36"/>
              <w:highlight w:val="white"/>
              <w:rtl/>
            </w:rPr>
            <w:footnoteReference w:id="20"/>
          </w:r>
        </w:sdtContent>
      </w:sdt>
      <w:r w:rsidRPr="001474CC">
        <w:rPr>
          <w:rFonts w:ascii="Sakkal Majalla" w:eastAsia="Noto Naskh Arabic" w:hAnsi="Sakkal Majalla" w:cs="Sakkal Majalla"/>
          <w:color w:val="27272A"/>
          <w:sz w:val="36"/>
          <w:szCs w:val="36"/>
          <w:highlight w:val="white"/>
          <w:rtl/>
        </w:rPr>
        <w:t>.</w:t>
      </w:r>
    </w:p>
    <w:p w14:paraId="0032524C"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w:t>
      </w:r>
      <w:r w:rsidRPr="001474CC">
        <w:rPr>
          <w:rFonts w:ascii="Sakkal Majalla" w:eastAsia="Noto Naskh Arabic" w:hAnsi="Sakkal Majalla" w:cs="Sakkal Majalla"/>
          <w:color w:val="27272A"/>
          <w:sz w:val="36"/>
          <w:szCs w:val="36"/>
          <w:highlight w:val="white"/>
          <w:rtl/>
        </w:rPr>
        <w:lastRenderedPageBreak/>
        <w:t>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lastRenderedPageBreak/>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8ED3F" w14:textId="77777777" w:rsidR="0018682D" w:rsidRDefault="0018682D">
      <w:pPr>
        <w:spacing w:line="240" w:lineRule="auto"/>
      </w:pPr>
      <w:r>
        <w:separator/>
      </w:r>
    </w:p>
  </w:endnote>
  <w:endnote w:type="continuationSeparator" w:id="0">
    <w:p w14:paraId="0ADB11E3" w14:textId="77777777" w:rsidR="0018682D" w:rsidRDefault="00186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426A5" w14:textId="77777777" w:rsidR="0018682D" w:rsidRDefault="0018682D">
      <w:pPr>
        <w:spacing w:line="240" w:lineRule="auto"/>
      </w:pPr>
      <w:r>
        <w:separator/>
      </w:r>
    </w:p>
  </w:footnote>
  <w:footnote w:type="continuationSeparator" w:id="0">
    <w:p w14:paraId="5D8DD8C5" w14:textId="77777777" w:rsidR="0018682D" w:rsidRDefault="0018682D">
      <w:pPr>
        <w:spacing w:line="240" w:lineRule="auto"/>
      </w:pPr>
      <w:r>
        <w:continuationSeparator/>
      </w:r>
    </w:p>
  </w:footnote>
  <w:footnote w:id="1">
    <w:p w14:paraId="43B3B9EC" w14:textId="2C021778" w:rsidR="003B0C26" w:rsidRPr="003B0C26" w:rsidRDefault="003B0C26">
      <w:pPr>
        <w:pStyle w:val="FootnoteText"/>
        <w:rPr>
          <w:lang w:val="en-US"/>
        </w:rPr>
      </w:pPr>
      <w:r>
        <w:rPr>
          <w:rStyle w:val="FootnoteReference"/>
        </w:rPr>
        <w:footnoteRef/>
      </w:r>
      <w:r>
        <w:t xml:space="preserve"> </w:t>
      </w:r>
      <w:r>
        <w:fldChar w:fldCharType="begin"/>
      </w:r>
      <w:r>
        <w:instrText xml:space="preserve"> ADDIN ZOTERO_ITEM CSL_CITATION {"citationID":"ReQuYYyY","properties":{"formattedCitation":"Sagala Rumadani, \\uc0\\u8220{}Buku: Balaghah\\uc0\\u8221{} (n.d.).","plainCitation":"Sagala Rumadani, “Buku: Balaghah” (n.d.).","noteIndex":1},"citationItems":[{"id":1,"uris":["http://zotero.org/users/local/PxK9EVr5/items/6UZ4G2H5"],"itemData":{"id":1,"type":"article-journal","note":"publisher: -","title":"Buku: Balaghah","author":[{"family":"Rumadani","given":"Sagala"}]}}],"schema":"https://github.com/citation-style-language/schema/raw/master/csl-citation.json"} </w:instrText>
      </w:r>
      <w:r>
        <w:fldChar w:fldCharType="separate"/>
      </w:r>
      <w:r w:rsidRPr="003B0C26">
        <w:rPr>
          <w:szCs w:val="24"/>
        </w:rPr>
        <w:t>Sagala Rumadani, “Buku: Balaghah” (n.d.).</w:t>
      </w:r>
      <w:r>
        <w:fldChar w:fldCharType="end"/>
      </w:r>
    </w:p>
  </w:footnote>
  <w:footnote w:id="2">
    <w:p w14:paraId="5810D5C4" w14:textId="67C6A3DE" w:rsidR="00392157" w:rsidRDefault="00392157">
      <w:pPr>
        <w:pStyle w:val="FootnoteText"/>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392157">
        <w:rPr>
          <w:szCs w:val="24"/>
        </w:rPr>
        <w:t xml:space="preserve">Muhammad Addien Nastiar, “Unsur Balaghah Dalam Surah Al-Qari’ah (Telaah Kitab Safwah al-Tafassir),” </w:t>
      </w:r>
      <w:r w:rsidRPr="00392157">
        <w:rPr>
          <w:i/>
          <w:iCs/>
          <w:szCs w:val="24"/>
        </w:rPr>
        <w:t>Jurnal Ilmu Agama: Mengkaji Doktrin, Pemikiran, dan Fenomena Agama</w:t>
      </w:r>
      <w:r w:rsidRPr="00392157">
        <w:rPr>
          <w:szCs w:val="24"/>
        </w:rPr>
        <w:t xml:space="preserve"> 24, no. 1 (2023): 1–19.</w:t>
      </w:r>
      <w:r>
        <w:fldChar w:fldCharType="end"/>
      </w:r>
    </w:p>
  </w:footnote>
  <w:footnote w:id="3">
    <w:p w14:paraId="7247C89B" w14:textId="75EF681F"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{"citationID":"Cz7GSJu3","properties":{"formattedCitation":"Ali Al-Jarim and Musthafa Amin, \\uc0\\u8220{}Al-Balaghah al-Wadhihah,\\uc0\\u8221{} {\\i{}Jakarta: Raudhah Faris} (2007).","plainCitation":"Ali Al-Jarim and Musthafa Amin, “Al-Balaghah al-Wadhihah,” Jakarta: Raudhah Faris (2007).","noteIndex":3},"citationItems":[{"id":6,"uris":["http://zotero.org/users/local/PxK9EVr5/items/9FIIPEWH"],"itemData":{"id":6,"type":"article-journal","container-title":"Jakarta: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fldChar w:fldCharType="separate"/>
      </w:r>
      <w:r w:rsidRPr="00392157">
        <w:rPr>
          <w:szCs w:val="24"/>
        </w:rPr>
        <w:t xml:space="preserve">Ali Al-Jarim and Musthafa Amin, “Al-Balaghah al-Wadhihah,” </w:t>
      </w:r>
      <w:r w:rsidRPr="00392157">
        <w:rPr>
          <w:i/>
          <w:iCs/>
          <w:szCs w:val="24"/>
        </w:rPr>
        <w:t>Jakarta: Raudhah Faris</w:t>
      </w:r>
      <w:r w:rsidRPr="00392157">
        <w:rPr>
          <w:szCs w:val="24"/>
        </w:rPr>
        <w:t xml:space="preserve"> (2007).</w:t>
      </w:r>
      <w:r>
        <w:fldChar w:fldCharType="end"/>
      </w:r>
    </w:p>
  </w:footnote>
  <w:footnote w:id="4">
    <w:p w14:paraId="7B2B8846" w14:textId="1D74F92C"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165–179.","noteIndex":4},"citationItems":[{"id":31,"uris":["http://zotero.org/users/local/PxK9EVr5/items/YVNTDG89"],"itemData":{"id":31,"type":"article-journal","container-title":"ATHLA: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w:instrText>
      </w:r>
      <w:r>
        <w:instrText xml:space="preserve"> </w:instrText>
      </w:r>
      <w:r>
        <w:rPr>
          <w:rtl/>
        </w:rPr>
        <w:instrText>نظرية الأدب العربيّ</w:instrText>
      </w:r>
      <w:r>
        <w:instrText xml:space="preserve">)","volume":"2","author":[{"family":"Farohidy","given":"Atiq"}],"issued":{"date-parts":[["2021"]]}}}],"schema":"https://github.com/citation-style-language/schema/raw/master/csl-citation.json"} </w:instrText>
      </w:r>
      <w:r>
        <w:fldChar w:fldCharType="separate"/>
      </w:r>
      <w:r w:rsidRPr="00392157">
        <w:rPr>
          <w:szCs w:val="24"/>
        </w:rPr>
        <w:t>Atiq Farohidy, “The Development of Balaghah Studies During The Dynamic of Studies (A Historical Glimpse into The Theory of Arabic Literature)/</w:t>
      </w:r>
      <w:r w:rsidRPr="00392157">
        <w:rPr>
          <w:szCs w:val="24"/>
          <w:rtl/>
        </w:rPr>
        <w:t>منهجيّة و الدّراسات البلاغيّة في مرحلة الازدهار (لمحة تاريخيّة في نظرية الأدب العربيّ)</w:t>
      </w:r>
      <w:r w:rsidRPr="00392157">
        <w:rPr>
          <w:szCs w:val="24"/>
        </w:rPr>
        <w:t xml:space="preserve">,” </w:t>
      </w:r>
      <w:r w:rsidRPr="00392157">
        <w:rPr>
          <w:i/>
          <w:iCs/>
          <w:szCs w:val="24"/>
        </w:rPr>
        <w:t>ATHLA: Journal of Arabic Teaching, Linguistic and Literature</w:t>
      </w:r>
      <w:r w:rsidRPr="00392157">
        <w:rPr>
          <w:szCs w:val="24"/>
        </w:rPr>
        <w:t xml:space="preserve"> 2, no. 2 (2021): 165–179.</w:t>
      </w:r>
      <w:r>
        <w:fldChar w:fldCharType="end"/>
      </w:r>
    </w:p>
  </w:footnote>
  <w:footnote w:id="5">
    <w:p w14:paraId="0266D0FE" w14:textId="1593A062"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55–69.","noteIndex":5},"citationItems":[{"id":15,"uris":["http://zotero.org/users/local/PxK9EVr5/items/CU2S3XM8"],"itemData":{"id":15,"type":"article-journal","container-title":"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392157">
        <w:rPr>
          <w:szCs w:val="24"/>
        </w:rPr>
        <w:t xml:space="preserve">Inggo Nugraha, “PEMAKAIAN USLUB AL-HAKIM DALAM ALQURAN,” </w:t>
      </w:r>
      <w:r w:rsidRPr="00392157">
        <w:rPr>
          <w:i/>
          <w:iCs/>
          <w:szCs w:val="24"/>
          <w:rtl/>
        </w:rPr>
        <w:t>لسـانـنـا</w:t>
      </w:r>
      <w:r w:rsidRPr="00392157">
        <w:rPr>
          <w:i/>
          <w:iCs/>
          <w:szCs w:val="24"/>
        </w:rPr>
        <w:t xml:space="preserve"> (LISANUNA): Jurnal Ilmu Bahasa Arab dan Pembelajarannya</w:t>
      </w:r>
      <w:r w:rsidRPr="00392157">
        <w:rPr>
          <w:szCs w:val="24"/>
        </w:rPr>
        <w:t xml:space="preserve"> 10, no. 1 (2020): 55–69.</w:t>
      </w:r>
      <w:r>
        <w:fldChar w:fldCharType="end"/>
      </w:r>
    </w:p>
  </w:footnote>
  <w:footnote w:id="6">
    <w:p w14:paraId="52292A26" w14:textId="34302364" w:rsidR="008E2A0C" w:rsidRPr="008E2A0C" w:rsidRDefault="008E2A0C">
      <w:pPr>
        <w:pStyle w:val="FootnoteText"/>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169–186.","noteIndex":6},"citationItems":[{"id":32,"uris":["http://zotero.org/users/local/PxK9EVr5/items/6XFUEIUI"],"itemData":{"id":32,"type":"article-journal","container-title":"Asālīb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8E2A0C">
        <w:rPr>
          <w:szCs w:val="24"/>
        </w:rPr>
        <w:t xml:space="preserve">Muhammad Wahyudi, “Asālīb Al-Balāghiyyah Wa Ma’ānīhā Fī Surati-l-Fath (Dirāsah Tahlīliyyah Balāghiyyah),” </w:t>
      </w:r>
      <w:r w:rsidRPr="008E2A0C">
        <w:rPr>
          <w:i/>
          <w:iCs/>
          <w:szCs w:val="24"/>
        </w:rPr>
        <w:t>Asālīb Al-Balāghiyyah Wa Ma’ānīhā Fī Surati-l-Fath (Dirāsah Tahlīliyyah Balāghiyyah)</w:t>
      </w:r>
      <w:r w:rsidRPr="008E2A0C">
        <w:rPr>
          <w:szCs w:val="24"/>
        </w:rPr>
        <w:t xml:space="preserve"> 9, no. 1 (2022): 169–186.</w:t>
      </w:r>
      <w:r>
        <w:fldChar w:fldCharType="end"/>
      </w:r>
    </w:p>
  </w:footnote>
  <w:footnote w:id="7">
    <w:p w14:paraId="6B2BF267" w14:textId="61406EAD" w:rsidR="00E20DB1" w:rsidRDefault="00E20DB1">
      <w:pPr>
        <w:pStyle w:val="FootnoteText"/>
        <w:rPr>
          <w:rtl/>
          <w:lang w:bidi="ar-EG"/>
        </w:rPr>
      </w:pPr>
      <w:r>
        <w:rPr>
          <w:rStyle w:val="FootnoteReference"/>
        </w:rPr>
        <w:footnoteRef/>
      </w:r>
      <w: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Rusydi</w:t>
      </w:r>
      <w:proofErr w:type="spellEnd"/>
      <w:r w:rsidR="00564892">
        <w:rPr>
          <w:rFonts w:eastAsia="Times New Roman"/>
        </w:rPr>
        <w:t xml:space="preserve"> Khalid, </w:t>
      </w:r>
      <w:r w:rsidR="00564892">
        <w:rPr>
          <w:rFonts w:eastAsia="Times New Roman"/>
          <w:rtl/>
        </w:rPr>
        <w:t xml:space="preserve">و </w:t>
      </w:r>
      <w:r w:rsidR="00564892">
        <w:rPr>
          <w:rFonts w:eastAsia="Times New Roman"/>
        </w:rPr>
        <w:t xml:space="preserve">Amrah Kasim, "USLUB AL-INSYA DALAM QS. AL-MAIDAH (KAJIAN ANALISIS BALAGAH)",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Diskursus</w:t>
      </w:r>
      <w:proofErr w:type="spellEnd"/>
      <w:r w:rsidR="00564892">
        <w:rPr>
          <w:rFonts w:eastAsia="Times New Roman"/>
          <w:i/>
          <w:iCs/>
        </w:rPr>
        <w:t xml:space="preserve"> Islam</w:t>
      </w:r>
      <w:r w:rsidR="00564892">
        <w:rPr>
          <w:rFonts w:eastAsia="Times New Roman"/>
        </w:rPr>
        <w:t xml:space="preserve"> 6, </w:t>
      </w:r>
      <w:r w:rsidR="00564892">
        <w:rPr>
          <w:rFonts w:eastAsia="Times New Roman"/>
          <w:rtl/>
        </w:rPr>
        <w:t xml:space="preserve">عدد </w:t>
      </w:r>
      <w:r w:rsidR="00564892">
        <w:rPr>
          <w:rFonts w:eastAsia="Times New Roman"/>
        </w:rPr>
        <w:t>3 (2018): 562–78.</w:t>
      </w:r>
    </w:p>
  </w:footnote>
  <w:footnote w:id="8">
    <w:p w14:paraId="420BF4E3" w14:textId="161F23AF"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(1957).","noteIndex":8},"citationItems":[{"id":33,"uris":["http://zotero.org/users/local/PxK9EVr5/items/228NWXCX"],"itemData":{"id":33,"type":"article-journal","note":"publisher: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781C76">
        <w:rPr>
          <w:szCs w:val="24"/>
        </w:rPr>
        <w:t>Badr al-Din Muhammad ibn Abdullah, “Ibn Bahadir Al-Zarkasyi, al-Burhan Fî’Ulum al-Quran” (1957).</w:t>
      </w:r>
      <w:r>
        <w:fldChar w:fldCharType="end"/>
      </w:r>
    </w:p>
  </w:footnote>
  <w:footnote w:id="9">
    <w:p w14:paraId="4C22B999" w14:textId="1480372E"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tl/>
        </w:rPr>
        <w:instrText>عبدالرحمن بن محمد بن خلدون, مقدمة ابن خلدون (دار الارقم بن ابي الارقم-بيروت/لبنان, 2016</w:instrText>
      </w:r>
      <w:r>
        <w:instrText>).","noteIndex":9},"citationItems":[{"id":44,"uris":["http://zotero.org/users/local/PxK9EVr5/items/VRA7G4I3"],"itemData":{"id":44,"type":"book","ISBN":"9953-442-99-1","publisher":"</w:instrText>
      </w:r>
      <w:r>
        <w:rPr>
          <w:rtl/>
        </w:rPr>
        <w:instrText>دار الارقم بن ابي الارقم-بيروت/لبنان</w:instrText>
      </w:r>
      <w:r>
        <w:instrText>","title":"</w:instrText>
      </w:r>
      <w:r>
        <w:rPr>
          <w:rtl/>
        </w:rPr>
        <w:instrText>مقدمة ابن خلدون</w:instrText>
      </w:r>
      <w:r>
        <w:instrText>","author":[{"literal":"</w:instrText>
      </w:r>
      <w:r>
        <w:rPr>
          <w:rtl/>
        </w:rPr>
        <w:instrText>عبدالرحمن بن محمد بن خلدون</w:instrText>
      </w:r>
      <w:r>
        <w:instrText xml:space="preserve">"}],"issued":{"date-parts":[["2016"]]}}}],"schema":"https://github.com/citation-style-language/schema/raw/master/csl-citation.json"} </w:instrText>
      </w:r>
      <w:r>
        <w:fldChar w:fldCharType="separate"/>
      </w:r>
      <w:r w:rsidRPr="00781C76">
        <w:rPr>
          <w:szCs w:val="24"/>
          <w:rtl/>
        </w:rPr>
        <w:t xml:space="preserve">عبدالرحمن بن محمد بن خلدون, </w:t>
      </w:r>
      <w:r w:rsidRPr="00781C76">
        <w:rPr>
          <w:i/>
          <w:iCs/>
          <w:szCs w:val="24"/>
          <w:rtl/>
        </w:rPr>
        <w:t>مقدمة ابن خلدون</w:t>
      </w:r>
      <w:r w:rsidRPr="00781C76">
        <w:rPr>
          <w:szCs w:val="24"/>
          <w:rtl/>
        </w:rPr>
        <w:t xml:space="preserve"> (دار الارقم بن ابي الارقم-بيروت/لبنان, 2016)</w:t>
      </w:r>
      <w:r w:rsidRPr="00781C76">
        <w:rPr>
          <w:szCs w:val="24"/>
        </w:rPr>
        <w:t>.</w:t>
      </w:r>
      <w:r>
        <w:fldChar w:fldCharType="end"/>
      </w:r>
    </w:p>
  </w:footnote>
  <w:footnote w:id="10">
    <w:p w14:paraId="16E76A3C" w14:textId="70982297" w:rsidR="00F179F0" w:rsidRDefault="00F179F0">
      <w:pPr>
        <w:pStyle w:val="FootnoteText"/>
        <w:rPr>
          <w:rtl/>
          <w:lang w:bidi="ar-EG"/>
        </w:rPr>
      </w:pPr>
      <w:r>
        <w:rPr>
          <w:rStyle w:val="FootnoteReference"/>
        </w:rPr>
        <w:footnoteRef/>
      </w:r>
      <w:r>
        <w:t xml:space="preserve"> </w:t>
      </w:r>
      <w:r>
        <w:fldChar w:fldCharType="begin"/>
      </w:r>
      <w: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tl/>
        </w:rPr>
        <w:instrText>الدكتور عبد العزيز عتيق, علم البديع, 1718 (بيروت - لبنان: دار النهضة العربية</w:instrText>
      </w:r>
      <w:r>
        <w:instrText>, n.d.).","noteIndex":10},"citationItems":[{"id":45,"uris":["http://zotero.org/users/local/PxK9EVr5/items/49G8C6AB"],"itemData":{"id":45,"type":"book","collection-title":"1718","event-place":"</w:instrText>
      </w:r>
      <w:r>
        <w:rPr>
          <w:rtl/>
        </w:rPr>
        <w:instrText>بيروت - لبنان</w:instrText>
      </w:r>
      <w:r>
        <w:instrText>","language":"</w:instrText>
      </w:r>
      <w:r>
        <w:rPr>
          <w:rtl/>
        </w:rPr>
        <w:instrText>العربية</w:instrText>
      </w:r>
      <w:r>
        <w:instrText>","number-of-pages":"248","publisher":"</w:instrText>
      </w:r>
      <w:r>
        <w:rPr>
          <w:rtl/>
        </w:rPr>
        <w:instrText>دار النهضة العربية</w:instrText>
      </w:r>
      <w:r>
        <w:instrText>","publisher-place":"</w:instrText>
      </w:r>
      <w:r>
        <w:rPr>
          <w:rtl/>
        </w:rPr>
        <w:instrText>بيروت - لبنان</w:instrText>
      </w:r>
      <w:r>
        <w:instrText>","title":"</w:instrText>
      </w:r>
      <w:r>
        <w:rPr>
          <w:rtl/>
        </w:rPr>
        <w:instrText>علم البديع</w:instrText>
      </w:r>
      <w:r>
        <w:instrText>","author":[{"family":"</w:instrText>
      </w:r>
      <w:r>
        <w:rPr>
          <w:rtl/>
        </w:rPr>
        <w:instrText>عتيق</w:instrText>
      </w:r>
      <w:r>
        <w:instrText>","given":"</w:instrText>
      </w:r>
      <w:r>
        <w:rPr>
          <w:rtl/>
        </w:rPr>
        <w:instrText>الدكتور عبد العزيز</w:instrText>
      </w:r>
      <w:r>
        <w:instrText xml:space="preserve">"}]}}],"schema":"https://github.com/citation-style-language/schema/raw/master/csl-citation.json"} </w:instrText>
      </w:r>
      <w:r>
        <w:fldChar w:fldCharType="separate"/>
      </w:r>
      <w:r w:rsidRPr="00F179F0">
        <w:rPr>
          <w:szCs w:val="24"/>
          <w:rtl/>
        </w:rPr>
        <w:t xml:space="preserve">الدكتور عبد العزيز عتيق, </w:t>
      </w:r>
      <w:r w:rsidRPr="00F179F0">
        <w:rPr>
          <w:i/>
          <w:iCs/>
          <w:szCs w:val="24"/>
          <w:rtl/>
        </w:rPr>
        <w:t>علم البديع</w:t>
      </w:r>
      <w:r w:rsidRPr="00F179F0">
        <w:rPr>
          <w:szCs w:val="24"/>
          <w:rtl/>
        </w:rPr>
        <w:t>, 1718</w:t>
      </w:r>
      <w:r w:rsidRPr="00F179F0">
        <w:rPr>
          <w:szCs w:val="24"/>
        </w:rPr>
        <w:t xml:space="preserve"> (</w:t>
      </w:r>
      <w:r w:rsidRPr="00F179F0">
        <w:rPr>
          <w:szCs w:val="24"/>
          <w:rtl/>
        </w:rPr>
        <w:t>بيروت - لبنان: دار النهضة العربية</w:t>
      </w:r>
      <w:r w:rsidRPr="00F179F0">
        <w:rPr>
          <w:szCs w:val="24"/>
        </w:rPr>
        <w:t>, n.d.).</w:t>
      </w:r>
      <w:r>
        <w:fldChar w:fldCharType="end"/>
      </w:r>
    </w:p>
  </w:footnote>
  <w:footnote w:id="11">
    <w:p w14:paraId="4090CD61" w14:textId="4C7BA3EF" w:rsidR="0042095A" w:rsidRDefault="0042095A">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2008).","noteIndex":11},"citationItems":[{"id":46,"uris":["http://zotero.org/users/local/PxK9EVr5/items/WY4KY2ZV"],"itemData":{"id":46,"type":"book","ISBN":"6949136684","publisher":"Rufoof","title":"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00097D45" w:rsidRPr="00097D45">
        <w:rPr>
          <w:szCs w:val="24"/>
          <w:rtl/>
        </w:rPr>
        <w:t xml:space="preserve">أبو الحسن الجرجاني, </w:t>
      </w:r>
      <w:r w:rsidR="00097D45" w:rsidRPr="00097D45">
        <w:rPr>
          <w:i/>
          <w:iCs/>
          <w:szCs w:val="24"/>
          <w:rtl/>
        </w:rPr>
        <w:t>الوساطة بين المتنبي وخصومه</w:t>
      </w:r>
      <w:r w:rsidR="00097D45" w:rsidRPr="00097D45">
        <w:rPr>
          <w:szCs w:val="24"/>
        </w:rPr>
        <w:t xml:space="preserve"> (</w:t>
      </w:r>
      <w:proofErr w:type="spellStart"/>
      <w:r w:rsidR="00097D45" w:rsidRPr="00097D45">
        <w:rPr>
          <w:szCs w:val="24"/>
        </w:rPr>
        <w:t>Rufoof</w:t>
      </w:r>
      <w:proofErr w:type="spellEnd"/>
      <w:r w:rsidR="00097D45" w:rsidRPr="00097D45">
        <w:rPr>
          <w:szCs w:val="24"/>
        </w:rPr>
        <w:t xml:space="preserve">, </w:t>
      </w:r>
      <w:r w:rsidR="00097D45" w:rsidRPr="00097D45">
        <w:rPr>
          <w:szCs w:val="24"/>
          <w:rtl/>
        </w:rPr>
        <w:t>2008</w:t>
      </w:r>
      <w:r w:rsidR="00097D45" w:rsidRPr="00097D45">
        <w:rPr>
          <w:szCs w:val="24"/>
        </w:rPr>
        <w:t>).</w:t>
      </w:r>
      <w:r>
        <w:fldChar w:fldCharType="end"/>
      </w:r>
      <w:r>
        <w:rPr>
          <w:rFonts w:hint="cs"/>
          <w:rtl/>
        </w:rPr>
        <w:t xml:space="preserve"> </w:t>
      </w:r>
    </w:p>
  </w:footnote>
  <w:footnote w:id="12">
    <w:p w14:paraId="3FB52429" w14:textId="64CEF63F" w:rsidR="00FF15A2" w:rsidRDefault="00FF15A2">
      <w:pPr>
        <w:pStyle w:val="FootnoteText"/>
        <w:rPr>
          <w:rtl/>
          <w:lang w:bidi="ar-EG"/>
        </w:rPr>
      </w:pPr>
      <w:r>
        <w:rPr>
          <w:rStyle w:val="FootnoteReference"/>
        </w:rPr>
        <w:footnoteRef/>
      </w:r>
      <w:r>
        <w:t xml:space="preserve"> </w:t>
      </w:r>
      <w:r>
        <w:fldChar w:fldCharType="begin"/>
      </w:r>
      <w: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tl/>
        </w:rPr>
        <w:instrText>عبد العزيز عتيق, “علم البيان</w:instrText>
      </w:r>
      <w:r>
        <w:instrText xml:space="preserve">” (n.d.).","noteIndex":12},"citationItems":[{"id":47,"uris":["http://zotero.org/users/local/PxK9EVr5/items/Q7G22DEN"],"itemData":{"id":47,"type":"article-journal","note":"publisher: </w:instrText>
      </w:r>
      <w:r>
        <w:rPr>
          <w:rtl/>
        </w:rPr>
        <w:instrText>دار النهضة العربية، بيروت</w:instrText>
      </w:r>
      <w:r>
        <w:instrText>","title":"</w:instrText>
      </w:r>
      <w:r>
        <w:rPr>
          <w:rtl/>
        </w:rPr>
        <w:instrText>علم البيان</w:instrText>
      </w:r>
      <w:r>
        <w:instrText>","author":[{"literal":"</w:instrText>
      </w:r>
      <w:r>
        <w:rPr>
          <w:rtl/>
        </w:rPr>
        <w:instrText>عبد العزيز عتيق</w:instrText>
      </w:r>
      <w:r>
        <w:instrText xml:space="preserve">"}]}}],"schema":"https://github.com/citation-style-language/schema/raw/master/csl-citation.json"} </w:instrText>
      </w:r>
      <w:r>
        <w:fldChar w:fldCharType="separate"/>
      </w:r>
      <w:r w:rsidRPr="00FF15A2">
        <w:rPr>
          <w:szCs w:val="24"/>
          <w:rtl/>
        </w:rPr>
        <w:t>عبد العزيز عتيق, “علم البيان</w:t>
      </w:r>
      <w:r w:rsidRPr="00FF15A2">
        <w:rPr>
          <w:szCs w:val="24"/>
        </w:rPr>
        <w:t>” (n.d.).</w:t>
      </w:r>
      <w:r>
        <w:fldChar w:fldCharType="end"/>
      </w:r>
    </w:p>
  </w:footnote>
  <w:footnote w:id="13">
    <w:p w14:paraId="5DA3112C" w14:textId="54B74676" w:rsidR="00097D45" w:rsidRDefault="00097D45">
      <w:pPr>
        <w:pStyle w:val="FootnoteText"/>
        <w:rPr>
          <w:rFonts w:hint="cs"/>
          <w:rtl/>
          <w:lang w:bidi="ar-EG"/>
        </w:rPr>
      </w:pPr>
      <w:r>
        <w:rPr>
          <w:rStyle w:val="FootnoteReference"/>
        </w:rPr>
        <w:footnoteRef/>
      </w:r>
      <w:r>
        <w:t xml:space="preserve"> </w:t>
      </w:r>
      <w:r>
        <w:fldChar w:fldCharType="begin"/>
      </w:r>
      <w:r>
        <w:instrText xml:space="preserve"> ADDIN ZOTERO_ITEM CSL_CITATION {"citationID":"CXj89oFs","properties":{"formattedCitation":"\\uc0\\u1593{}\\uc0\\u1576{}\\uc0\\u1583{}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Pr>
          <w:rtl/>
        </w:rPr>
        <w:instrText>عبد العزيز عتيق, علم المعاني</w:instrText>
      </w:r>
      <w:r>
        <w:instrText>, vol. 1, 10 vols., 1 (</w:instrText>
      </w:r>
      <w:r>
        <w:rPr>
          <w:rtl/>
        </w:rPr>
        <w:instrText>بيروت - لبنان: دار النهضة العربية للطباعة والنشر والتوزيع, 2015</w:instrText>
      </w:r>
      <w:r>
        <w:instrText>), https://archive.org/details/elmmanelmman.","noteIndex":13},"citationItems":[{"id":48,"uris":["http://zotero.org/users/local/PxK9EVr5/items/SCGK5KQ3"],"itemData":{"id":48,"type":"book","collection-title":"1","event-place":"</w:instrText>
      </w:r>
      <w:r>
        <w:rPr>
          <w:rtl/>
        </w:rPr>
        <w:instrText>بيروت</w:instrText>
      </w:r>
      <w:r>
        <w:instrText xml:space="preserve"> - </w:instrText>
      </w:r>
      <w:r>
        <w:rPr>
          <w:rtl/>
        </w:rPr>
        <w:instrText>لبنان</w:instrText>
      </w:r>
      <w:r>
        <w:instrText>","language":"</w:instrText>
      </w:r>
      <w:r>
        <w:rPr>
          <w:rtl/>
        </w:rPr>
        <w:instrText>العربية</w:instrText>
      </w:r>
      <w:r>
        <w:instrText>","number-of-pages":"208","number-of-volumes":"10","publisher":"</w:instrText>
      </w:r>
      <w:r>
        <w:rPr>
          <w:rtl/>
        </w:rPr>
        <w:instrText>دار النهضة العربية للطباعة والنشر والتوزيع</w:instrText>
      </w:r>
      <w:r>
        <w:instrText>","publisher-place":"</w:instrText>
      </w:r>
      <w:r>
        <w:rPr>
          <w:rtl/>
        </w:rPr>
        <w:instrText>بيروت - لبنان</w:instrText>
      </w:r>
      <w:r>
        <w:instrText>","title":"</w:instrText>
      </w:r>
      <w:r>
        <w:rPr>
          <w:rtl/>
        </w:rPr>
        <w:instrText>علم المعاني</w:instrText>
      </w:r>
      <w:r>
        <w:instrText>","URL":"https://archive.org/details/elmmanelmman","volume":"1","author":[{"family":"</w:instrText>
      </w:r>
      <w:r>
        <w:rPr>
          <w:rtl/>
        </w:rPr>
        <w:instrText>عتيق</w:instrText>
      </w:r>
      <w:r>
        <w:instrText>","given":"</w:instrText>
      </w:r>
      <w:r>
        <w:rPr>
          <w:rtl/>
        </w:rPr>
        <w:instrText>عبد العزيز</w:instrText>
      </w:r>
      <w:r>
        <w:instrText xml:space="preserve">"}],"issued":{"date-parts":[["2015"]],"season":"08"}}}],"schema":"https://github.com/citation-style-language/schema/raw/master/csl-citation.json"} </w:instrText>
      </w:r>
      <w:r>
        <w:fldChar w:fldCharType="separate"/>
      </w:r>
      <w:r w:rsidRPr="00097D45">
        <w:rPr>
          <w:szCs w:val="24"/>
          <w:rtl/>
        </w:rPr>
        <w:t xml:space="preserve">عبد العزيز عتيق, </w:t>
      </w:r>
      <w:r w:rsidRPr="00097D45">
        <w:rPr>
          <w:i/>
          <w:iCs/>
          <w:szCs w:val="24"/>
          <w:rtl/>
        </w:rPr>
        <w:t>علم المعاني</w:t>
      </w:r>
      <w:r w:rsidRPr="00097D45">
        <w:rPr>
          <w:szCs w:val="24"/>
        </w:rPr>
        <w:t xml:space="preserve">, vol. </w:t>
      </w:r>
      <w:r w:rsidRPr="00097D45">
        <w:rPr>
          <w:szCs w:val="24"/>
          <w:rtl/>
        </w:rPr>
        <w:t>1</w:t>
      </w:r>
      <w:r w:rsidRPr="00097D45">
        <w:rPr>
          <w:szCs w:val="24"/>
        </w:rPr>
        <w:t xml:space="preserve">, </w:t>
      </w:r>
      <w:r w:rsidRPr="00097D45">
        <w:rPr>
          <w:szCs w:val="24"/>
          <w:rtl/>
        </w:rPr>
        <w:t>10</w:t>
      </w:r>
      <w:r w:rsidRPr="00097D45">
        <w:rPr>
          <w:szCs w:val="24"/>
        </w:rPr>
        <w:t xml:space="preserve"> vols., </w:t>
      </w:r>
      <w:r w:rsidRPr="00097D45">
        <w:rPr>
          <w:szCs w:val="24"/>
          <w:rtl/>
        </w:rPr>
        <w:t>1</w:t>
      </w:r>
      <w:r w:rsidRPr="00097D45">
        <w:rPr>
          <w:szCs w:val="24"/>
        </w:rPr>
        <w:t xml:space="preserve"> (</w:t>
      </w:r>
      <w:r w:rsidRPr="00097D45">
        <w:rPr>
          <w:szCs w:val="24"/>
          <w:rtl/>
        </w:rPr>
        <w:t>بيروت - لبنان: دار النهضة العربية للطباعة والنشر والتوزيع, 2015</w:t>
      </w:r>
      <w:r w:rsidRPr="00097D45">
        <w:rPr>
          <w:szCs w:val="24"/>
        </w:rPr>
        <w:t>), https://archive.org/details/elmmanelmman.</w:t>
      </w:r>
      <w:r>
        <w:fldChar w:fldCharType="end"/>
      </w:r>
    </w:p>
  </w:footnote>
  <w:footnote w:id="14">
    <w:p w14:paraId="345918D7" w14:textId="4CCBFB13" w:rsidR="00A2554B" w:rsidRDefault="00A2554B">
      <w:pPr>
        <w:pStyle w:val="FootnoteText"/>
        <w:rPr>
          <w:rtl/>
          <w:lang w:bidi="ar-EG"/>
        </w:rPr>
      </w:pPr>
      <w:r>
        <w:rPr>
          <w:rStyle w:val="FootnoteReference"/>
        </w:rPr>
        <w:footnoteRef/>
      </w:r>
      <w:r>
        <w:t xml:space="preserve"> </w:t>
      </w:r>
      <w:r w:rsidR="00564892">
        <w:rPr>
          <w:rFonts w:eastAsia="Times New Roman"/>
        </w:rPr>
        <w:t xml:space="preserve">Edi </w:t>
      </w:r>
      <w:proofErr w:type="spellStart"/>
      <w:r w:rsidR="00564892">
        <w:rPr>
          <w:rFonts w:eastAsia="Times New Roman"/>
        </w:rPr>
        <w:t>Komarudin</w:t>
      </w:r>
      <w:proofErr w:type="spellEnd"/>
      <w:r w:rsidR="00564892">
        <w:rPr>
          <w:rFonts w:eastAsia="Times New Roman"/>
        </w:rPr>
        <w:t>, "</w:t>
      </w:r>
      <w:proofErr w:type="spellStart"/>
      <w:r w:rsidR="00564892">
        <w:rPr>
          <w:rFonts w:eastAsia="Times New Roman"/>
        </w:rPr>
        <w:t>Isti’arah</w:t>
      </w:r>
      <w:proofErr w:type="spellEnd"/>
      <w:r w:rsidR="00564892">
        <w:rPr>
          <w:rFonts w:eastAsia="Times New Roman"/>
        </w:rPr>
        <w:t xml:space="preserve"> Dan </w:t>
      </w:r>
      <w:proofErr w:type="spellStart"/>
      <w:r w:rsidR="00564892">
        <w:rPr>
          <w:rFonts w:eastAsia="Times New Roman"/>
        </w:rPr>
        <w:t>Efek</w:t>
      </w:r>
      <w:proofErr w:type="spellEnd"/>
      <w:r w:rsidR="00564892">
        <w:rPr>
          <w:rFonts w:eastAsia="Times New Roman"/>
        </w:rPr>
        <w:t xml:space="preserve"> Yang </w:t>
      </w:r>
      <w:proofErr w:type="spellStart"/>
      <w:r w:rsidR="00564892">
        <w:rPr>
          <w:rFonts w:eastAsia="Times New Roman"/>
        </w:rPr>
        <w:t>Ditimbulkannya</w:t>
      </w:r>
      <w:proofErr w:type="spellEnd"/>
      <w:r w:rsidR="00564892">
        <w:rPr>
          <w:rFonts w:eastAsia="Times New Roman"/>
        </w:rPr>
        <w:t xml:space="preserve"> Dalam Bahasa Al-Qur’ān Surah Al-Baqarah Dan </w:t>
      </w:r>
      <w:proofErr w:type="spellStart"/>
      <w:r w:rsidR="00564892">
        <w:rPr>
          <w:rFonts w:eastAsia="Times New Roman"/>
        </w:rPr>
        <w:t>Âli</w:t>
      </w:r>
      <w:proofErr w:type="spellEnd"/>
      <w:r w:rsidR="00564892">
        <w:rPr>
          <w:rFonts w:eastAsia="Times New Roman"/>
        </w:rPr>
        <w:t xml:space="preserve"> </w:t>
      </w:r>
      <w:proofErr w:type="spellStart"/>
      <w:r w:rsidR="00564892">
        <w:rPr>
          <w:rFonts w:eastAsia="Times New Roman"/>
        </w:rPr>
        <w:t>Mrân</w:t>
      </w:r>
      <w:proofErr w:type="spellEnd"/>
      <w:r w:rsidR="00564892">
        <w:rPr>
          <w:rFonts w:eastAsia="Times New Roman"/>
        </w:rPr>
        <w:t xml:space="preserve">", </w:t>
      </w:r>
      <w:r w:rsidR="00564892">
        <w:rPr>
          <w:rFonts w:eastAsia="Times New Roman"/>
          <w:i/>
          <w:iCs/>
        </w:rPr>
        <w:t>Al-</w:t>
      </w:r>
      <w:proofErr w:type="spellStart"/>
      <w:r w:rsidR="00564892">
        <w:rPr>
          <w:rFonts w:eastAsia="Times New Roman"/>
          <w:i/>
          <w:iCs/>
        </w:rPr>
        <w:t>Tsaqafa</w:t>
      </w:r>
      <w:proofErr w:type="spellEnd"/>
      <w:r w:rsidR="00564892">
        <w:rPr>
          <w:rFonts w:eastAsia="Times New Roman"/>
          <w:i/>
          <w:iCs/>
        </w:rPr>
        <w:t xml:space="preserve">: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Ilmiah</w:t>
      </w:r>
      <w:proofErr w:type="spellEnd"/>
      <w:r w:rsidR="00564892">
        <w:rPr>
          <w:rFonts w:eastAsia="Times New Roman"/>
          <w:i/>
          <w:iCs/>
        </w:rPr>
        <w:t xml:space="preserve"> </w:t>
      </w:r>
      <w:proofErr w:type="spellStart"/>
      <w:r w:rsidR="00564892">
        <w:rPr>
          <w:rFonts w:eastAsia="Times New Roman"/>
          <w:i/>
          <w:iCs/>
        </w:rPr>
        <w:t>Peradaban</w:t>
      </w:r>
      <w:proofErr w:type="spellEnd"/>
      <w:r w:rsidR="00564892">
        <w:rPr>
          <w:rFonts w:eastAsia="Times New Roman"/>
          <w:i/>
          <w:iCs/>
        </w:rPr>
        <w:t xml:space="preserve"> Islam</w:t>
      </w:r>
      <w:r w:rsidR="00564892">
        <w:rPr>
          <w:rFonts w:eastAsia="Times New Roman"/>
        </w:rPr>
        <w:t xml:space="preserve"> 14, </w:t>
      </w:r>
      <w:r w:rsidR="00564892">
        <w:rPr>
          <w:rFonts w:eastAsia="Times New Roman"/>
          <w:rtl/>
        </w:rPr>
        <w:t xml:space="preserve">عدد </w:t>
      </w:r>
      <w:r w:rsidR="00564892">
        <w:rPr>
          <w:rFonts w:eastAsia="Times New Roman"/>
        </w:rPr>
        <w:t>1 (2017): 207–27.</w:t>
      </w:r>
    </w:p>
  </w:footnote>
  <w:footnote w:id="15">
    <w:p w14:paraId="02A5C47C" w14:textId="3738EAA4" w:rsidR="000B49C5" w:rsidRDefault="000B49C5">
      <w:pPr>
        <w:pStyle w:val="FootnoteText"/>
        <w:rPr>
          <w:rtl/>
          <w:lang w:bidi="ar-EG"/>
        </w:rPr>
      </w:pPr>
      <w:r>
        <w:rPr>
          <w:rStyle w:val="FootnoteReference"/>
        </w:rPr>
        <w:footnoteRef/>
      </w:r>
      <w:r>
        <w:t xml:space="preserve"> </w:t>
      </w:r>
      <w:r>
        <w:fldChar w:fldCharType="begin"/>
      </w:r>
      <w:r w:rsidR="00097D45">
        <w:instrText xml:space="preserve"> ADDIN ZOTERO_ITEM CSL_CITATION {"citationID":"8EUKU7pf","properties":{"formattedCitation":"\\uc0\\u1606{}\\uc0\\u1608{}\\uc0\\u1585{} \\uc0\\u1575{}\\uc0\\u1604{}\\uc0\\u1583{}\\uc0\\u1610{}\\uc0\\u1606{} \\uc0\\u1605{}\\uc0\\u1581{}\\uc0\\u1605{}\\uc0\\u1583{} \\uc0\\u1575{}\\uc0\\u1604{}\\uc0\\u1581{}\\uc0\\u1587{}\\uc0\\u1606{}\\uc0\\u1610{} \\uc0\\u1593{}\\uc0\\u1578{}\\uc0\\u1585{}, {\\i{}\\uc0\\u1593{}\\uc0\\u1604{}\\uc0\\u1608{}\\uc0\\u1605{} \\uc0\\u1575{}\\uc0\\u1604{}\\uc0\\u1602{}\\uc0\\u1585{}\\uc0\\u1570{}\\uc0\\u1606{} \\uc0\\u1575{}\\uc0\\u1604{}\\uc0\\u1603{}\\uc0\\u1585{}\\uc0\\u1610{}\\uc0\\u1605{}}, vol. 5, 1 1 (\\uc0\\u1583{}\\uc0\\u1605{}\\uc0\\u1588{}\\uc0\\u1602{}: \\uc0\\u1605{}\\uc0\\u1591{}\\uc0\\u1576{}\\uc0\\u1593{}\\uc0\\u1577{} \\uc0\\u1575{}\\uc0\\u1604{}\\uc0\\u1589{}\\uc0\\u1576{}\\uc0\\u1575{}\\uc0\\u1581{}, 2012), https://archive.org/details/waq55649.","plainCitation":"</w:instrText>
      </w:r>
      <w:r w:rsidR="00097D45">
        <w:rPr>
          <w:rtl/>
        </w:rPr>
        <w:instrText>نور الدين محمد الحسني عتر, علوم القرآن الكريم</w:instrText>
      </w:r>
      <w:r w:rsidR="00097D45">
        <w:instrText>, vol. 5, 1 1 (</w:instrText>
      </w:r>
      <w:r w:rsidR="00097D45">
        <w:rPr>
          <w:rtl/>
        </w:rPr>
        <w:instrText>دمشق: مطبعة الصباح, 2012</w:instrText>
      </w:r>
      <w:r w:rsidR="00097D45">
        <w:instrText>), https://archive.org/details/waq55649.","noteIndex":15},"citationItems":[{"id":41,"uris":["http://zotero.org/users/local/PxK9EVr5/items/9X35M4VG"],"itemData":{"id":41,"type":"book","archive":"https://archive.org/details/waq55649","collection-number":"1","collection-title":"1","event-place":"</w:instrText>
      </w:r>
      <w:r w:rsidR="00097D45">
        <w:rPr>
          <w:rtl/>
        </w:rPr>
        <w:instrText>دمشق</w:instrText>
      </w:r>
      <w:r w:rsidR="00097D45">
        <w:instrText>","language":"</w:instrText>
      </w:r>
      <w:r w:rsidR="00097D45">
        <w:rPr>
          <w:rtl/>
        </w:rPr>
        <w:instrText>العربية</w:instrText>
      </w:r>
      <w:r w:rsidR="00097D45">
        <w:instrText>","number-of-pages":"271","publisher":"</w:instrText>
      </w:r>
      <w:r w:rsidR="00097D45">
        <w:rPr>
          <w:rtl/>
        </w:rPr>
        <w:instrText>مطبعة الصباح</w:instrText>
      </w:r>
      <w:r w:rsidR="00097D45">
        <w:instrText>","publisher-place":"</w:instrText>
      </w:r>
      <w:r w:rsidR="00097D45">
        <w:rPr>
          <w:rtl/>
        </w:rPr>
        <w:instrText>دمشق</w:instrText>
      </w:r>
      <w:r w:rsidR="00097D45">
        <w:instrText>","title":"</w:instrText>
      </w:r>
      <w:r w:rsidR="00097D45">
        <w:rPr>
          <w:rtl/>
        </w:rPr>
        <w:instrText>علوم القرآن الكريم</w:instrText>
      </w:r>
      <w:r w:rsidR="00097D45">
        <w:instrText>","URL":"https://archive.org/details/waq55649","volume":"5","author":[{"family":"</w:instrText>
      </w:r>
      <w:r w:rsidR="00097D45">
        <w:rPr>
          <w:rtl/>
        </w:rPr>
        <w:instrText>عتر</w:instrText>
      </w:r>
      <w:r w:rsidR="00097D45">
        <w:instrText>","given":"</w:instrText>
      </w:r>
      <w:r w:rsidR="00097D45">
        <w:rPr>
          <w:rtl/>
        </w:rPr>
        <w:instrText>نور الدين</w:instrText>
      </w:r>
      <w:r w:rsidR="00097D45">
        <w:instrText xml:space="preserve"> </w:instrText>
      </w:r>
      <w:r w:rsidR="00097D45">
        <w:rPr>
          <w:rtl/>
        </w:rPr>
        <w:instrText>محمد الحسني</w:instrText>
      </w:r>
      <w:r w:rsidR="00097D45">
        <w:instrText xml:space="preserve">"}],"issued":{"date-parts":[["2012"]],"season":"04"}}}],"schema":"https://github.com/citation-style-language/schema/raw/master/csl-citation.json"} </w:instrText>
      </w:r>
      <w:r>
        <w:fldChar w:fldCharType="separate"/>
      </w:r>
      <w:r w:rsidRPr="000B49C5">
        <w:rPr>
          <w:szCs w:val="24"/>
          <w:rtl/>
        </w:rPr>
        <w:t xml:space="preserve">نور الدين محمد الحسني عتر, </w:t>
      </w:r>
      <w:r w:rsidRPr="000B49C5">
        <w:rPr>
          <w:i/>
          <w:iCs/>
          <w:szCs w:val="24"/>
          <w:rtl/>
        </w:rPr>
        <w:t>علوم القرآن الكريم</w:t>
      </w:r>
      <w:r w:rsidRPr="000B49C5">
        <w:rPr>
          <w:szCs w:val="24"/>
        </w:rPr>
        <w:t xml:space="preserve">, vol. </w:t>
      </w:r>
      <w:r w:rsidRPr="000B49C5">
        <w:rPr>
          <w:szCs w:val="24"/>
          <w:rtl/>
        </w:rPr>
        <w:t>5</w:t>
      </w:r>
      <w:r w:rsidRPr="000B49C5">
        <w:rPr>
          <w:szCs w:val="24"/>
        </w:rPr>
        <w:t xml:space="preserve">, </w:t>
      </w:r>
      <w:r w:rsidRPr="000B49C5">
        <w:rPr>
          <w:szCs w:val="24"/>
          <w:rtl/>
        </w:rPr>
        <w:t>1</w:t>
      </w:r>
      <w:r w:rsidRPr="000B49C5">
        <w:rPr>
          <w:szCs w:val="24"/>
        </w:rPr>
        <w:t xml:space="preserve"> </w:t>
      </w:r>
      <w:r w:rsidRPr="000B49C5">
        <w:rPr>
          <w:szCs w:val="24"/>
          <w:rtl/>
        </w:rPr>
        <w:t>1</w:t>
      </w:r>
      <w:r w:rsidRPr="000B49C5">
        <w:rPr>
          <w:szCs w:val="24"/>
        </w:rPr>
        <w:t xml:space="preserve"> (</w:t>
      </w:r>
      <w:r w:rsidRPr="000B49C5">
        <w:rPr>
          <w:szCs w:val="24"/>
          <w:rtl/>
        </w:rPr>
        <w:t>دمشق: مطبعة الصباح, 2012</w:t>
      </w:r>
      <w:r w:rsidRPr="000B49C5">
        <w:rPr>
          <w:szCs w:val="24"/>
        </w:rPr>
        <w:t>), https://archive.org/details/waq</w:t>
      </w:r>
      <w:r w:rsidRPr="000B49C5">
        <w:rPr>
          <w:szCs w:val="24"/>
          <w:rtl/>
        </w:rPr>
        <w:t>55649</w:t>
      </w:r>
      <w:r w:rsidRPr="000B49C5">
        <w:rPr>
          <w:szCs w:val="24"/>
        </w:rPr>
        <w:t>.</w:t>
      </w:r>
      <w:r>
        <w:fldChar w:fldCharType="end"/>
      </w:r>
    </w:p>
  </w:footnote>
  <w:footnote w:id="16">
    <w:p w14:paraId="3DC3B21B" w14:textId="014FB78E" w:rsidR="00FB53C7" w:rsidRPr="00FB53C7" w:rsidRDefault="00FB53C7">
      <w:pPr>
        <w:pStyle w:val="FootnoteText"/>
        <w:rPr>
          <w:rFonts w:ascii="Sakkal Majalla" w:hAnsi="Sakkal Majalla" w:cs="Sakkal Majalla"/>
          <w:sz w:val="28"/>
          <w:szCs w:val="28"/>
          <w:lang w:val="en-US"/>
        </w:rPr>
      </w:pPr>
      <w:r w:rsidRPr="00FB53C7">
        <w:rPr>
          <w:rStyle w:val="FootnoteReference"/>
          <w:rFonts w:ascii="Sakkal Majalla" w:hAnsi="Sakkal Majalla" w:cs="Sakkal Majalla"/>
          <w:sz w:val="28"/>
          <w:szCs w:val="28"/>
        </w:rPr>
        <w:footnoteRef/>
      </w:r>
      <w:r w:rsidRPr="00FB53C7">
        <w:rPr>
          <w:rFonts w:ascii="Sakkal Majalla" w:hAnsi="Sakkal Majalla" w:cs="Sakkal Majalla"/>
          <w:sz w:val="28"/>
          <w:szCs w:val="28"/>
        </w:rPr>
        <w:t xml:space="preserve"> </w:t>
      </w:r>
      <w:r w:rsidR="00564892">
        <w:rPr>
          <w:rFonts w:eastAsia="Times New Roman"/>
          <w:rtl/>
        </w:rPr>
        <w:t>مناع القطان</w:t>
      </w:r>
      <w:r w:rsidR="00564892">
        <w:rPr>
          <w:rFonts w:eastAsia="Times New Roman"/>
        </w:rPr>
        <w:t xml:space="preserve">, </w:t>
      </w:r>
      <w:r w:rsidR="00564892">
        <w:rPr>
          <w:rFonts w:eastAsia="Times New Roman"/>
          <w:i/>
          <w:iCs/>
          <w:rtl/>
        </w:rPr>
        <w:t>مباحث في علوم القرآن</w:t>
      </w:r>
      <w:r w:rsidR="00564892">
        <w:rPr>
          <w:rFonts w:eastAsia="Times New Roman"/>
          <w:rtl/>
        </w:rPr>
        <w:t xml:space="preserve"> </w:t>
      </w:r>
      <w:r w:rsidR="00564892">
        <w:rPr>
          <w:rFonts w:eastAsia="Times New Roman"/>
        </w:rPr>
        <w:t>(Islamic Books, 2000).</w:t>
      </w:r>
    </w:p>
  </w:footnote>
  <w:footnote w:id="17">
    <w:p w14:paraId="5510DB5E" w14:textId="7E88ACF2" w:rsidR="00490F1E" w:rsidRDefault="00490F1E">
      <w:pPr>
        <w:pStyle w:val="FootnoteText"/>
        <w:rPr>
          <w:rtl/>
          <w:lang w:bidi="ar-EG"/>
        </w:rPr>
      </w:pPr>
      <w:r>
        <w:rPr>
          <w:rStyle w:val="FootnoteReference"/>
        </w:rPr>
        <w:footnoteRef/>
      </w:r>
      <w:r>
        <w:t xml:space="preserve"> </w:t>
      </w:r>
      <w:r>
        <w:fldChar w:fldCharType="begin"/>
      </w:r>
      <w:r w:rsidR="00097D45">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177–80.","noteIndex":17},"citationItems":[{"id":37,"uris":["http://zotero.org/users/local/PxK9EVr5/items/LID98YZJ"],"itemData":{"id":37,"type":"article-journal","container-title":"Al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490F1E">
        <w:rPr>
          <w:szCs w:val="24"/>
        </w:rPr>
        <w:t>Siti Fahimah, “</w:t>
      </w:r>
      <w:proofErr w:type="spellStart"/>
      <w:r w:rsidRPr="00490F1E">
        <w:rPr>
          <w:szCs w:val="24"/>
        </w:rPr>
        <w:t>Kaidah-Kaidah</w:t>
      </w:r>
      <w:proofErr w:type="spellEnd"/>
      <w:r w:rsidRPr="00490F1E">
        <w:rPr>
          <w:szCs w:val="24"/>
        </w:rPr>
        <w:t xml:space="preserve"> </w:t>
      </w:r>
      <w:proofErr w:type="spellStart"/>
      <w:r w:rsidRPr="00490F1E">
        <w:rPr>
          <w:szCs w:val="24"/>
        </w:rPr>
        <w:t>Memahami</w:t>
      </w:r>
      <w:proofErr w:type="spellEnd"/>
      <w:r w:rsidRPr="00490F1E">
        <w:rPr>
          <w:szCs w:val="24"/>
        </w:rPr>
        <w:t xml:space="preserve"> Amr Dan Nahy: Urgensitasnya Dalam Memahami Al Qur’an,” </w:t>
      </w:r>
      <w:r w:rsidRPr="00490F1E">
        <w:rPr>
          <w:i/>
          <w:iCs/>
          <w:szCs w:val="24"/>
        </w:rPr>
        <w:t>Al Furqon</w:t>
      </w:r>
      <w:r w:rsidRPr="00490F1E">
        <w:rPr>
          <w:szCs w:val="24"/>
        </w:rPr>
        <w:t xml:space="preserve"> 1 (2018): 177–80.</w:t>
      </w:r>
      <w:r>
        <w:fldChar w:fldCharType="end"/>
      </w:r>
    </w:p>
  </w:footnote>
  <w:footnote w:id="18">
    <w:p w14:paraId="59015139" w14:textId="557F8292" w:rsidR="00735DB0" w:rsidRDefault="00735DB0">
      <w:pPr>
        <w:pStyle w:val="FootnoteText"/>
        <w:rPr>
          <w:rtl/>
          <w:lang w:bidi="ar-EG"/>
        </w:rPr>
      </w:pPr>
      <w:r>
        <w:rPr>
          <w:rStyle w:val="FootnoteReference"/>
        </w:rPr>
        <w:footnoteRef/>
      </w:r>
      <w:r>
        <w:t xml:space="preserve"> </w:t>
      </w:r>
      <w:r>
        <w:fldChar w:fldCharType="begin"/>
      </w:r>
      <w:r w:rsidR="00097D45">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097D45">
        <w:rPr>
          <w:rtl/>
        </w:rPr>
        <w:instrText>عبد القادر منصور, موسوعة علوم القرآن, 5</w:instrText>
      </w:r>
      <w:r w:rsidR="00097D45">
        <w:instrText>th ed., vol. 1, 1 (</w:instrText>
      </w:r>
      <w:r w:rsidR="00097D45">
        <w:rPr>
          <w:rtl/>
        </w:rPr>
        <w:instrText>دار القلم العربي, 2008</w:instrText>
      </w:r>
      <w:r w:rsidR="00097D45">
        <w:instrText>), https://archive.org/details/mdqsoimdqsoi.","noteIndex":18},"citationItems":[{"id":42,"uris":["http://zotero.org/users/local/PxK9EVr5/items/TDGXNZKD"],"itemData":{"id":42,"type":"book","archive":"https://archive.org/details/mdqsoimdqsoi","collection-title":"1","edition":"5","publisher":"</w:instrText>
      </w:r>
      <w:r w:rsidR="00097D45">
        <w:rPr>
          <w:rtl/>
        </w:rPr>
        <w:instrText>دار القلم العربي</w:instrText>
      </w:r>
      <w:r w:rsidR="00097D45">
        <w:instrText>","title":"</w:instrText>
      </w:r>
      <w:r w:rsidR="00097D45">
        <w:rPr>
          <w:rtl/>
        </w:rPr>
        <w:instrText>موسوعة علوم القرآن</w:instrText>
      </w:r>
      <w:r w:rsidR="00097D45">
        <w:instrText>","URL":"https://archive.org/details/mdqsoimdqsoi","volume":"1","author":[{"family":"","given":"</w:instrText>
      </w:r>
      <w:r w:rsidR="00097D45">
        <w:rPr>
          <w:rtl/>
        </w:rPr>
        <w:instrText>عبد القادر منصور</w:instrText>
      </w:r>
      <w:r w:rsidR="00097D45">
        <w:instrText xml:space="preserve">"}],"issued":{"date-parts":[["2008"]],"season":"11"}}}],"schema":"https://github.com/citation-style-language/schema/raw/master/csl-citation.json"} </w:instrText>
      </w:r>
      <w:r>
        <w:fldChar w:fldCharType="separate"/>
      </w:r>
      <w:r w:rsidRPr="00735DB0">
        <w:rPr>
          <w:szCs w:val="24"/>
          <w:rtl/>
        </w:rPr>
        <w:t xml:space="preserve">عبد القادر منصور, </w:t>
      </w:r>
      <w:r w:rsidRPr="00735DB0">
        <w:rPr>
          <w:i/>
          <w:iCs/>
          <w:szCs w:val="24"/>
          <w:rtl/>
        </w:rPr>
        <w:t>موسوعة علوم القرآن</w:t>
      </w:r>
      <w:r w:rsidRPr="00735DB0">
        <w:rPr>
          <w:szCs w:val="24"/>
          <w:rtl/>
        </w:rPr>
        <w:t>, 5</w:t>
      </w:r>
      <w:r w:rsidRPr="00735DB0">
        <w:rPr>
          <w:szCs w:val="24"/>
        </w:rPr>
        <w:t xml:space="preserve">th ed., vol. </w:t>
      </w:r>
      <w:r w:rsidRPr="00735DB0">
        <w:rPr>
          <w:szCs w:val="24"/>
          <w:rtl/>
        </w:rPr>
        <w:t>1</w:t>
      </w:r>
      <w:r w:rsidRPr="00735DB0">
        <w:rPr>
          <w:szCs w:val="24"/>
        </w:rPr>
        <w:t xml:space="preserve">, </w:t>
      </w:r>
      <w:r w:rsidRPr="00735DB0">
        <w:rPr>
          <w:szCs w:val="24"/>
          <w:rtl/>
        </w:rPr>
        <w:t>1</w:t>
      </w:r>
      <w:r w:rsidRPr="00735DB0">
        <w:rPr>
          <w:szCs w:val="24"/>
        </w:rPr>
        <w:t xml:space="preserve"> (</w:t>
      </w:r>
      <w:r w:rsidRPr="00735DB0">
        <w:rPr>
          <w:szCs w:val="24"/>
          <w:rtl/>
        </w:rPr>
        <w:t>دار القلم العربي, 2008</w:t>
      </w:r>
      <w:r w:rsidRPr="00735DB0">
        <w:rPr>
          <w:szCs w:val="24"/>
        </w:rPr>
        <w:t>), https://archive.org/details/mdqsoimdqsoi.</w:t>
      </w:r>
      <w:r>
        <w:fldChar w:fldCharType="end"/>
      </w:r>
    </w:p>
  </w:footnote>
  <w:footnote w:id="19">
    <w:p w14:paraId="0E93EF3E" w14:textId="4B9F7679" w:rsidR="004E1050" w:rsidRDefault="004E1050">
      <w:pPr>
        <w:pStyle w:val="FootnoteText"/>
        <w:rPr>
          <w:rtl/>
          <w:lang w:bidi="ar-EG"/>
        </w:rPr>
      </w:pPr>
      <w:r>
        <w:rPr>
          <w:rStyle w:val="FootnoteReference"/>
        </w:rPr>
        <w:footnoteRef/>
      </w:r>
      <w:r>
        <w:t xml:space="preserve"> </w:t>
      </w:r>
      <w:r w:rsidR="00564892">
        <w:rPr>
          <w:rFonts w:eastAsia="Times New Roman"/>
        </w:rPr>
        <w:t>DAHLIANI RETNO INDAH PURWANTI, "KALAM INSYA’THALABI DALAM AL-QUR’AN SURAT YUNUS (STUDI ANALISIS BALAGHAH)", Universitas Jambi</w:t>
      </w:r>
      <w:proofErr w:type="gramStart"/>
      <w:r w:rsidR="00564892">
        <w:rPr>
          <w:rFonts w:eastAsia="Times New Roman"/>
        </w:rPr>
        <w:t>, ,</w:t>
      </w:r>
      <w:proofErr w:type="gramEnd"/>
      <w:r w:rsidR="00564892">
        <w:rPr>
          <w:rFonts w:eastAsia="Times New Roman"/>
        </w:rPr>
        <w:t xml:space="preserve"> </w:t>
      </w:r>
      <w:r w:rsidR="00564892">
        <w:rPr>
          <w:rFonts w:eastAsia="Times New Roman"/>
          <w:rtl/>
        </w:rPr>
        <w:t>د.ت</w:t>
      </w:r>
      <w:r w:rsidR="00564892">
        <w:rPr>
          <w:rFonts w:eastAsia="Times New Roman"/>
        </w:rPr>
        <w:t>.</w:t>
      </w:r>
    </w:p>
  </w:footnote>
  <w:footnote w:id="20">
    <w:p w14:paraId="5A00C9C6" w14:textId="34A1602D" w:rsidR="0071640D" w:rsidRPr="0071640D" w:rsidRDefault="0071640D">
      <w:pPr>
        <w:pStyle w:val="FootnoteText"/>
        <w:rPr>
          <w:rFonts w:ascii="Sakkal Majalla" w:hAnsi="Sakkal Majalla" w:cs="Sakkal Majalla"/>
          <w:sz w:val="28"/>
          <w:szCs w:val="28"/>
          <w:lang w:val="en-US"/>
        </w:rPr>
      </w:pPr>
      <w:r w:rsidRPr="0071640D">
        <w:rPr>
          <w:rStyle w:val="FootnoteReference"/>
          <w:rFonts w:ascii="Sakkal Majalla" w:hAnsi="Sakkal Majalla" w:cs="Sakkal Majalla"/>
          <w:sz w:val="28"/>
          <w:szCs w:val="28"/>
        </w:rPr>
        <w:footnoteRef/>
      </w:r>
      <w:r w:rsidRPr="0071640D">
        <w:rPr>
          <w:rFonts w:ascii="Sakkal Majalla" w:hAnsi="Sakkal Majalla" w:cs="Sakkal Majalla"/>
          <w:sz w:val="28"/>
          <w:szCs w:val="28"/>
        </w:rPr>
        <w:t xml:space="preserve"> </w:t>
      </w:r>
      <w:r w:rsidR="00564892">
        <w:rPr>
          <w:rFonts w:ascii="Sakkal Majalla" w:eastAsia="Times New Roman" w:hAnsi="Sakkal Majalla" w:cs="Sakkal Majalla"/>
          <w:sz w:val="28"/>
          <w:szCs w:val="28"/>
          <w:rtl/>
        </w:rPr>
        <w:t>أحمد الهاشمي, جواهر البلاغة في المعاني والبيان والبديع</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Pr>
        <w:t xml:space="preserve">, </w:t>
      </w:r>
      <w:r w:rsidR="00564892">
        <w:rPr>
          <w:rFonts w:ascii="Sakkal Majalla" w:eastAsia="Times New Roman" w:hAnsi="Sakkal Majalla" w:cs="Sakkal Majalla"/>
          <w:sz w:val="28"/>
          <w:szCs w:val="28"/>
          <w:rtl/>
        </w:rPr>
        <w:t>1999</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tl/>
        </w:rPr>
        <w:t xml:space="preserve"> (</w:t>
      </w:r>
      <w:r w:rsidR="00564892">
        <w:rPr>
          <w:rFonts w:ascii="Sakkal Majalla" w:eastAsia="Times New Roman" w:hAnsi="Sakkal Majalla" w:cs="Sakkal Majalla"/>
          <w:sz w:val="28"/>
          <w:szCs w:val="28"/>
        </w:rPr>
        <w:t>books.google.com</w:t>
      </w:r>
      <w:r w:rsidR="00564892">
        <w:rPr>
          <w:rFonts w:ascii="Sakkal Majalla" w:eastAsia="Times New Roman" w:hAnsi="Sakkal Majalla" w:cs="Sakkal Majalla"/>
          <w:sz w:val="28"/>
          <w:szCs w:val="28"/>
          <w:rtl/>
        </w:rPr>
        <w:t>, د.ت),.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51E2" w14:textId="77777777" w:rsidR="00F440B6" w:rsidRDefault="00F44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
  </w:num>
  <w:num w:numId="5">
    <w:abstractNumId w:val="0"/>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97D45"/>
    <w:rsid w:val="000B49C5"/>
    <w:rsid w:val="000E49D8"/>
    <w:rsid w:val="00127FDC"/>
    <w:rsid w:val="001474CC"/>
    <w:rsid w:val="0018682D"/>
    <w:rsid w:val="0020388F"/>
    <w:rsid w:val="002176FC"/>
    <w:rsid w:val="00240488"/>
    <w:rsid w:val="002A2953"/>
    <w:rsid w:val="00300415"/>
    <w:rsid w:val="00350C69"/>
    <w:rsid w:val="00364CA2"/>
    <w:rsid w:val="00392157"/>
    <w:rsid w:val="003B026E"/>
    <w:rsid w:val="003B0C26"/>
    <w:rsid w:val="00413BFA"/>
    <w:rsid w:val="0042095A"/>
    <w:rsid w:val="00453B4B"/>
    <w:rsid w:val="00490F1E"/>
    <w:rsid w:val="004E1050"/>
    <w:rsid w:val="00506E03"/>
    <w:rsid w:val="0051790B"/>
    <w:rsid w:val="0055036F"/>
    <w:rsid w:val="00564892"/>
    <w:rsid w:val="00583A6E"/>
    <w:rsid w:val="005C24CB"/>
    <w:rsid w:val="006828BC"/>
    <w:rsid w:val="006869A2"/>
    <w:rsid w:val="006C5C2F"/>
    <w:rsid w:val="0071640D"/>
    <w:rsid w:val="00735DB0"/>
    <w:rsid w:val="0077677E"/>
    <w:rsid w:val="00781C76"/>
    <w:rsid w:val="00784217"/>
    <w:rsid w:val="00795439"/>
    <w:rsid w:val="007A2E9E"/>
    <w:rsid w:val="00843C52"/>
    <w:rsid w:val="00855242"/>
    <w:rsid w:val="00863C74"/>
    <w:rsid w:val="00866FD1"/>
    <w:rsid w:val="00882D01"/>
    <w:rsid w:val="008A678D"/>
    <w:rsid w:val="008B203A"/>
    <w:rsid w:val="008B53C2"/>
    <w:rsid w:val="008B5FAC"/>
    <w:rsid w:val="008E2A0C"/>
    <w:rsid w:val="0099774D"/>
    <w:rsid w:val="009A3A2D"/>
    <w:rsid w:val="009D3BD8"/>
    <w:rsid w:val="00A00060"/>
    <w:rsid w:val="00A029BE"/>
    <w:rsid w:val="00A14F25"/>
    <w:rsid w:val="00A2554B"/>
    <w:rsid w:val="00A44A3C"/>
    <w:rsid w:val="00A520C9"/>
    <w:rsid w:val="00A84C65"/>
    <w:rsid w:val="00A96665"/>
    <w:rsid w:val="00B11348"/>
    <w:rsid w:val="00B45339"/>
    <w:rsid w:val="00B546F9"/>
    <w:rsid w:val="00C22725"/>
    <w:rsid w:val="00C77C6C"/>
    <w:rsid w:val="00CC13B8"/>
    <w:rsid w:val="00D2545A"/>
    <w:rsid w:val="00E20DB1"/>
    <w:rsid w:val="00E7704A"/>
    <w:rsid w:val="00E80379"/>
    <w:rsid w:val="00E905E6"/>
    <w:rsid w:val="00EB5F04"/>
    <w:rsid w:val="00ED0B53"/>
    <w:rsid w:val="00F15A66"/>
    <w:rsid w:val="00F179F0"/>
    <w:rsid w:val="00F40356"/>
    <w:rsid w:val="00F440B6"/>
    <w:rsid w:val="00F50054"/>
    <w:rsid w:val="00F519B8"/>
    <w:rsid w:val="00F849FE"/>
    <w:rsid w:val="00FB53C7"/>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24739A"/>
    <w:rsid w:val="00327D17"/>
    <w:rsid w:val="003A3E9F"/>
    <w:rsid w:val="00625265"/>
    <w:rsid w:val="00862ADD"/>
    <w:rsid w:val="00E3048B"/>
    <w:rsid w:val="00F03779"/>
    <w:rsid w:val="00FC5229"/>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18</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16</cp:revision>
  <dcterms:created xsi:type="dcterms:W3CDTF">2023-12-02T03:38:00Z</dcterms:created>
  <dcterms:modified xsi:type="dcterms:W3CDTF">2024-01-15T14:57:00Z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id="4iPdevYt"/&gt;&lt;style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