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6506" w14:textId="5CDBB317" w:rsidR="003D2F63" w:rsidRPr="000116EF" w:rsidRDefault="003D2F63" w:rsidP="003D2F63">
      <w:pPr>
        <w:spacing w:before="100" w:beforeAutospacing="1" w:after="100" w:afterAutospacing="1"/>
        <w:outlineLvl w:val="0"/>
        <w:rPr>
          <w:rFonts w:asciiTheme="majorHAnsi" w:eastAsia="Times New Roman" w:hAnsiTheme="majorHAnsi" w:cstheme="majorHAnsi"/>
          <w:b/>
          <w:bCs/>
          <w:color w:val="000000"/>
          <w:kern w:val="36"/>
          <w:sz w:val="28"/>
          <w:szCs w:val="28"/>
          <w:lang w:eastAsia="en-GB"/>
          <w14:ligatures w14:val="none"/>
        </w:rPr>
      </w:pPr>
      <w:r w:rsidRPr="000116EF">
        <w:rPr>
          <w:rFonts w:asciiTheme="majorHAnsi" w:eastAsia="Times New Roman" w:hAnsiTheme="majorHAnsi" w:cstheme="majorHAnsi"/>
          <w:b/>
          <w:bCs/>
          <w:color w:val="000000"/>
          <w:kern w:val="36"/>
          <w:sz w:val="28"/>
          <w:szCs w:val="28"/>
          <w:lang w:eastAsia="en-GB"/>
          <w14:ligatures w14:val="none"/>
        </w:rPr>
        <w:t xml:space="preserve">1. </w:t>
      </w:r>
      <w:r w:rsidRPr="000116EF">
        <w:rPr>
          <w:rFonts w:asciiTheme="majorHAnsi" w:eastAsia="Times New Roman" w:hAnsiTheme="majorHAnsi" w:cstheme="majorHAnsi"/>
          <w:b/>
          <w:bCs/>
          <w:color w:val="000000"/>
          <w:kern w:val="36"/>
          <w:sz w:val="28"/>
          <w:szCs w:val="28"/>
          <w:lang w:eastAsia="en-GB"/>
          <w14:ligatures w14:val="none"/>
        </w:rPr>
        <w:t>Įvadas</w:t>
      </w:r>
    </w:p>
    <w:p w14:paraId="0D5EFF34" w14:textId="57FC2943" w:rsidR="003D2F63" w:rsidRPr="003D2F63" w:rsidRDefault="003D2F63" w:rsidP="003D2F63">
      <w:pPr>
        <w:spacing w:before="100" w:beforeAutospacing="1" w:after="100" w:afterAutospacing="1"/>
        <w:rPr>
          <w:rFonts w:cstheme="minorHAnsi"/>
          <w:color w:val="1F1F1F"/>
          <w:sz w:val="22"/>
          <w:szCs w:val="22"/>
        </w:rPr>
      </w:pPr>
      <w:r w:rsidRPr="003D2F63">
        <w:rPr>
          <w:rFonts w:cstheme="minorHAnsi"/>
          <w:color w:val="1F1F1F"/>
          <w:sz w:val="22"/>
          <w:szCs w:val="22"/>
        </w:rPr>
        <w:t>Epigenetinis laikrodis yra bioinformatinis modelis, leidžiantis tiksliai prognozuoti individo chronologinį amžių pagal specifinių genomo vietų (CpG lokusų) DNR metilinimo lygį. Šiame darbe buvo siekiama sukurti ir optimizuoti tokį laikrodį, integruojant septynias skirtingas tiriamųjų kohortas. Pagrindinis dėmesys skirtas duomenų homogenizavimui, informatyvių biožymenų atrankai bei skirtingų mašininio mokymosi algoritmų lyginamajai analizei.</w:t>
      </w:r>
      <w:r>
        <w:rPr>
          <w:rFonts w:cstheme="minorHAnsi"/>
          <w:color w:val="1F1F1F"/>
          <w:sz w:val="22"/>
          <w:szCs w:val="22"/>
        </w:rPr>
        <w:t xml:space="preserve"> </w:t>
      </w:r>
    </w:p>
    <w:p w14:paraId="49ED2CEC" w14:textId="18985A40" w:rsidR="003D2F63" w:rsidRDefault="003D2F63" w:rsidP="003D2F63">
      <w:pPr>
        <w:spacing w:before="100" w:beforeAutospacing="1"/>
        <w:outlineLvl w:val="1"/>
        <w:rPr>
          <w:rFonts w:asciiTheme="majorHAnsi" w:eastAsia="Times New Roman" w:hAnsiTheme="majorHAnsi" w:cstheme="majorHAnsi"/>
          <w:b/>
          <w:bCs/>
          <w:color w:val="1F1F1F"/>
          <w:kern w:val="0"/>
          <w:sz w:val="28"/>
          <w:szCs w:val="28"/>
          <w:lang w:eastAsia="en-GB"/>
          <w14:ligatures w14:val="none"/>
        </w:rPr>
      </w:pPr>
      <w:r w:rsidRPr="003D2F63">
        <w:rPr>
          <w:rFonts w:asciiTheme="majorHAnsi" w:eastAsia="Times New Roman" w:hAnsiTheme="majorHAnsi" w:cstheme="majorHAnsi"/>
          <w:b/>
          <w:bCs/>
          <w:color w:val="1F1F1F"/>
          <w:kern w:val="0"/>
          <w:sz w:val="28"/>
          <w:szCs w:val="28"/>
          <w:lang w:eastAsia="en-GB"/>
          <w14:ligatures w14:val="none"/>
        </w:rPr>
        <w:t>2. Metodika ir duomenų paruošimas</w:t>
      </w:r>
    </w:p>
    <w:p w14:paraId="33F49EB9" w14:textId="77777777" w:rsidR="007E0764" w:rsidRDefault="007E0764" w:rsidP="003D2F63">
      <w:pPr>
        <w:spacing w:before="100" w:beforeAutospacing="1"/>
        <w:outlineLvl w:val="1"/>
        <w:rPr>
          <w:rFonts w:asciiTheme="majorHAnsi" w:eastAsia="Times New Roman" w:hAnsiTheme="majorHAnsi" w:cstheme="majorHAnsi"/>
          <w:b/>
          <w:bCs/>
          <w:color w:val="1F1F1F"/>
          <w:kern w:val="0"/>
          <w:sz w:val="28"/>
          <w:szCs w:val="28"/>
          <w:lang w:eastAsia="en-GB"/>
          <w14:ligatures w14:val="none"/>
        </w:rPr>
      </w:pPr>
    </w:p>
    <w:p w14:paraId="39F42F7B" w14:textId="77777777" w:rsidR="003D2F63" w:rsidRPr="003D2F63" w:rsidRDefault="003D2F63" w:rsidP="003D2F63">
      <w:pPr>
        <w:spacing w:after="100" w:afterAutospacing="1"/>
        <w:outlineLvl w:val="2"/>
        <w:rPr>
          <w:rFonts w:eastAsia="Times New Roman" w:cstheme="minorHAnsi"/>
          <w:b/>
          <w:bCs/>
          <w:color w:val="000000"/>
          <w:kern w:val="0"/>
          <w:sz w:val="22"/>
          <w:szCs w:val="22"/>
          <w:lang w:eastAsia="en-GB"/>
          <w14:ligatures w14:val="none"/>
        </w:rPr>
      </w:pPr>
      <w:r w:rsidRPr="003D2F63">
        <w:rPr>
          <w:rFonts w:eastAsia="Times New Roman" w:cstheme="minorHAnsi"/>
          <w:b/>
          <w:bCs/>
          <w:color w:val="000000"/>
          <w:kern w:val="0"/>
          <w:sz w:val="22"/>
          <w:szCs w:val="22"/>
          <w:lang w:eastAsia="en-GB"/>
          <w14:ligatures w14:val="none"/>
        </w:rPr>
        <w:t>2.1. Kohortų apžvalga ir kokybės kontrolė (QC)</w:t>
      </w:r>
    </w:p>
    <w:p w14:paraId="7149A47B" w14:textId="04093389" w:rsidR="003D2F63" w:rsidRPr="003D2F63" w:rsidRDefault="003D2F63" w:rsidP="003D2F63">
      <w:pPr>
        <w:spacing w:after="100" w:afterAutospacing="1"/>
        <w:rPr>
          <w:rFonts w:eastAsia="Times New Roman" w:cstheme="minorHAnsi"/>
          <w:color w:val="000000"/>
          <w:kern w:val="0"/>
          <w:sz w:val="22"/>
          <w:szCs w:val="22"/>
          <w:lang w:eastAsia="en-GB"/>
          <w14:ligatures w14:val="none"/>
        </w:rPr>
      </w:pPr>
      <w:r w:rsidRPr="003D2F63">
        <w:rPr>
          <w:rFonts w:eastAsia="Times New Roman" w:cstheme="minorHAnsi"/>
          <w:color w:val="000000"/>
          <w:kern w:val="0"/>
          <w:sz w:val="22"/>
          <w:szCs w:val="22"/>
          <w:lang w:eastAsia="en-GB"/>
          <w14:ligatures w14:val="none"/>
        </w:rPr>
        <w:t>Pradinį duomenų rinkinį sudarė 7 nepriklausomos kohortos. Po QC procedūrų, kurių metu pašalinti mėginiai su mažu signalo intensyvumu (</w:t>
      </w:r>
      <w:r w:rsidRPr="003D2F63">
        <w:rPr>
          <w:rFonts w:eastAsia="Times New Roman" w:cstheme="minorHAnsi"/>
          <w:i/>
          <w:iCs/>
          <w:color w:val="000000"/>
          <w:kern w:val="0"/>
          <w:sz w:val="22"/>
          <w:szCs w:val="22"/>
          <w:u w:val="single"/>
          <w:lang w:eastAsia="en-GB"/>
          <w14:ligatures w14:val="none"/>
        </w:rPr>
        <w:t>qc_iac, qc_detection</w:t>
      </w:r>
      <w:r w:rsidRPr="003D2F63">
        <w:rPr>
          <w:rFonts w:eastAsia="Times New Roman" w:cstheme="minorHAnsi"/>
          <w:color w:val="000000"/>
          <w:kern w:val="0"/>
          <w:sz w:val="22"/>
          <w:szCs w:val="22"/>
          <w:lang w:eastAsia="en-GB"/>
          <w14:ligatures w14:val="none"/>
        </w:rPr>
        <w:t>), lyties neatitikimais (</w:t>
      </w:r>
      <w:r w:rsidRPr="003D2F63">
        <w:rPr>
          <w:rFonts w:eastAsia="Times New Roman" w:cstheme="minorHAnsi"/>
          <w:i/>
          <w:iCs/>
          <w:color w:val="000000"/>
          <w:kern w:val="0"/>
          <w:sz w:val="22"/>
          <w:szCs w:val="22"/>
          <w:u w:val="single"/>
          <w:lang w:eastAsia="en-GB"/>
          <w14:ligatures w14:val="none"/>
        </w:rPr>
        <w:t>qc_badsex</w:t>
      </w:r>
      <w:r w:rsidRPr="003D2F63">
        <w:rPr>
          <w:rFonts w:eastAsia="Times New Roman" w:cstheme="minorHAnsi"/>
          <w:color w:val="000000"/>
          <w:kern w:val="0"/>
          <w:sz w:val="22"/>
          <w:szCs w:val="22"/>
          <w:lang w:eastAsia="en-GB"/>
          <w14:ligatures w14:val="none"/>
        </w:rPr>
        <w:t>) bei genetiniais artefaktais (</w:t>
      </w:r>
      <w:r w:rsidRPr="003D2F63">
        <w:rPr>
          <w:rFonts w:eastAsia="Times New Roman" w:cstheme="minorHAnsi"/>
          <w:i/>
          <w:iCs/>
          <w:color w:val="000000"/>
          <w:kern w:val="0"/>
          <w:sz w:val="22"/>
          <w:szCs w:val="22"/>
          <w:u w:val="single"/>
          <w:lang w:eastAsia="en-GB"/>
          <w14:ligatures w14:val="none"/>
        </w:rPr>
        <w:t>qc_badsnp</w:t>
      </w:r>
      <w:r w:rsidRPr="003D2F63">
        <w:rPr>
          <w:rFonts w:eastAsia="Times New Roman" w:cstheme="minorHAnsi"/>
          <w:color w:val="000000"/>
          <w:kern w:val="0"/>
          <w:sz w:val="22"/>
          <w:szCs w:val="22"/>
          <w:lang w:eastAsia="en-GB"/>
          <w14:ligatures w14:val="none"/>
        </w:rPr>
        <w:t>),galutinė imtis apėmė </w:t>
      </w:r>
      <w:r w:rsidRPr="003D2F63">
        <w:rPr>
          <w:rFonts w:eastAsia="Times New Roman" w:cstheme="minorHAnsi"/>
          <w:b/>
          <w:bCs/>
          <w:color w:val="000000"/>
          <w:kern w:val="0"/>
          <w:sz w:val="22"/>
          <w:szCs w:val="22"/>
          <w:lang w:eastAsia="en-GB"/>
          <w14:ligatures w14:val="none"/>
        </w:rPr>
        <w:t>2235 mėginius</w:t>
      </w:r>
      <w:r w:rsidRPr="003D2F63">
        <w:rPr>
          <w:rFonts w:eastAsia="Times New Roman" w:cstheme="minorHAnsi"/>
          <w:color w:val="000000"/>
          <w:kern w:val="0"/>
          <w:sz w:val="22"/>
          <w:szCs w:val="22"/>
          <w:lang w:eastAsia="en-GB"/>
          <w14:ligatures w14:val="none"/>
        </w:rPr>
        <w:t>.</w:t>
      </w:r>
      <w:r>
        <w:rPr>
          <w:rFonts w:eastAsia="Times New Roman" w:cstheme="minorHAnsi"/>
          <w:color w:val="000000"/>
          <w:kern w:val="0"/>
          <w:sz w:val="22"/>
          <w:szCs w:val="22"/>
          <w:lang w:eastAsia="en-GB"/>
          <w14:ligatures w14:val="none"/>
        </w:rPr>
        <w:t xml:space="preserve"> </w:t>
      </w:r>
      <w:r w:rsidRPr="003D2F63">
        <w:rPr>
          <w:rFonts w:eastAsia="Times New Roman" w:cstheme="minorHAnsi"/>
          <w:color w:val="000000"/>
          <w:kern w:val="0"/>
          <w:sz w:val="22"/>
          <w:szCs w:val="22"/>
          <w:lang w:eastAsia="en-GB"/>
          <w14:ligatures w14:val="none"/>
        </w:rPr>
        <w:t>Siekiant užtikrinti modelių suderinamumą, analizei palikti tik tie </w:t>
      </w:r>
      <w:r w:rsidRPr="003D2F63">
        <w:rPr>
          <w:rFonts w:eastAsia="Times New Roman" w:cstheme="minorHAnsi"/>
          <w:b/>
          <w:bCs/>
          <w:color w:val="000000"/>
          <w:kern w:val="0"/>
          <w:sz w:val="22"/>
          <w:szCs w:val="22"/>
          <w:lang w:eastAsia="en-GB"/>
          <w14:ligatures w14:val="none"/>
        </w:rPr>
        <w:t>369 543 CpG lokusai</w:t>
      </w:r>
      <w:r w:rsidRPr="003D2F63">
        <w:rPr>
          <w:rFonts w:eastAsia="Times New Roman" w:cstheme="minorHAnsi"/>
          <w:color w:val="000000"/>
          <w:kern w:val="0"/>
          <w:sz w:val="22"/>
          <w:szCs w:val="22"/>
          <w:lang w:eastAsia="en-GB"/>
          <w14:ligatures w14:val="none"/>
        </w:rPr>
        <w:t>, kurie buvo identifikuoti visose septyniose kohortose.</w:t>
      </w:r>
    </w:p>
    <w:p w14:paraId="3137F1E1" w14:textId="77777777" w:rsidR="003D2F63" w:rsidRPr="003D2F63" w:rsidRDefault="003D2F63" w:rsidP="003D2F63">
      <w:pPr>
        <w:spacing w:after="100" w:afterAutospacing="1"/>
        <w:outlineLvl w:val="2"/>
        <w:rPr>
          <w:rFonts w:eastAsia="Times New Roman" w:cstheme="minorHAnsi"/>
          <w:b/>
          <w:bCs/>
          <w:color w:val="000000"/>
          <w:kern w:val="0"/>
          <w:sz w:val="22"/>
          <w:szCs w:val="22"/>
          <w:lang w:eastAsia="en-GB"/>
          <w14:ligatures w14:val="none"/>
        </w:rPr>
      </w:pPr>
      <w:r w:rsidRPr="003D2F63">
        <w:rPr>
          <w:rFonts w:eastAsia="Times New Roman" w:cstheme="minorHAnsi"/>
          <w:b/>
          <w:bCs/>
          <w:color w:val="000000"/>
          <w:kern w:val="0"/>
          <w:sz w:val="22"/>
          <w:szCs w:val="22"/>
          <w:lang w:eastAsia="en-GB"/>
          <w14:ligatures w14:val="none"/>
        </w:rPr>
        <w:t>2.2. Duomenų transformacija</w:t>
      </w:r>
    </w:p>
    <w:p w14:paraId="335ACD88" w14:textId="7E70A860" w:rsidR="003D2F63" w:rsidRPr="003D2F63" w:rsidRDefault="003D2F63" w:rsidP="003D2F63">
      <w:pPr>
        <w:spacing w:after="100" w:afterAutospacing="1"/>
        <w:rPr>
          <w:rFonts w:eastAsia="Times New Roman" w:cstheme="minorHAnsi"/>
          <w:color w:val="000000"/>
          <w:kern w:val="0"/>
          <w:sz w:val="22"/>
          <w:szCs w:val="22"/>
          <w:lang w:eastAsia="en-GB"/>
          <w14:ligatures w14:val="none"/>
        </w:rPr>
      </w:pPr>
      <w:r w:rsidRPr="003D2F63">
        <w:rPr>
          <w:rFonts w:eastAsia="Times New Roman" w:cstheme="minorHAnsi"/>
          <w:color w:val="000000"/>
          <w:kern w:val="0"/>
          <w:sz w:val="22"/>
          <w:szCs w:val="22"/>
          <w:lang w:eastAsia="en-GB"/>
          <w14:ligatures w14:val="none"/>
        </w:rPr>
        <w:t>Dėl netolygaus amžiaus pasiskirstymo ir biologinio amžėjimo netiesiškumo</w:t>
      </w:r>
      <w:r>
        <w:rPr>
          <w:rFonts w:eastAsia="Times New Roman" w:cstheme="minorHAnsi"/>
          <w:color w:val="000000"/>
          <w:kern w:val="0"/>
          <w:sz w:val="22"/>
          <w:szCs w:val="22"/>
          <w:lang w:eastAsia="en-GB"/>
          <w14:ligatures w14:val="none"/>
        </w:rPr>
        <w:t xml:space="preserve"> </w:t>
      </w:r>
      <w:r w:rsidRPr="003D2F63">
        <w:rPr>
          <w:rFonts w:eastAsia="Times New Roman" w:cstheme="minorHAnsi"/>
          <w:color w:val="000000"/>
          <w:kern w:val="0"/>
          <w:sz w:val="22"/>
          <w:szCs w:val="22"/>
          <w:lang w:eastAsia="en-GB"/>
          <w14:ligatures w14:val="none"/>
        </w:rPr>
        <w:t>ypač ankstyvoje stadijoj, amžiaus kintamasis buvo transformuotas naudojant log1p</w:t>
      </w:r>
      <w:r>
        <w:rPr>
          <w:rFonts w:eastAsia="Times New Roman" w:cstheme="minorHAnsi"/>
          <w:color w:val="000000"/>
          <w:kern w:val="0"/>
          <w:sz w:val="22"/>
          <w:szCs w:val="22"/>
          <w:lang w:eastAsia="en-GB"/>
          <w14:ligatures w14:val="none"/>
        </w:rPr>
        <w:t xml:space="preserve"> </w:t>
      </w:r>
      <w:r w:rsidRPr="003D2F63">
        <w:rPr>
          <w:rFonts w:eastAsia="Times New Roman" w:cstheme="minorHAnsi"/>
          <w:color w:val="000000"/>
          <w:kern w:val="0"/>
          <w:sz w:val="22"/>
          <w:szCs w:val="22"/>
          <w:lang w:eastAsia="en-GB"/>
          <w14:ligatures w14:val="none"/>
        </w:rPr>
        <w:t>funkciją</w:t>
      </w:r>
      <w:r>
        <w:rPr>
          <w:rFonts w:eastAsia="Times New Roman" w:cstheme="minorHAnsi"/>
          <w:color w:val="000000"/>
          <w:kern w:val="0"/>
          <w:sz w:val="22"/>
          <w:szCs w:val="22"/>
          <w:lang w:eastAsia="en-GB"/>
          <w14:ligatures w14:val="none"/>
        </w:rPr>
        <w:t xml:space="preserve">.  </w:t>
      </w:r>
      <w:r w:rsidRPr="003D2F63">
        <w:rPr>
          <w:rFonts w:eastAsia="Times New Roman" w:cstheme="minorHAnsi"/>
          <w:color w:val="000000"/>
          <w:kern w:val="0"/>
          <w:sz w:val="22"/>
          <w:szCs w:val="22"/>
          <w:lang w:eastAsia="en-GB"/>
          <w14:ligatures w14:val="none"/>
        </w:rPr>
        <w:t>Prognozavimo etape gauti rezultatai grąžinti į pradinę skalę naudojant eksponentinę funkciją expm1.</w:t>
      </w:r>
    </w:p>
    <w:p w14:paraId="54EBEB12" w14:textId="77777777" w:rsidR="003D2F63" w:rsidRDefault="003D2F63" w:rsidP="003D2F63">
      <w:pPr>
        <w:spacing w:before="100" w:beforeAutospacing="1"/>
        <w:outlineLvl w:val="1"/>
        <w:rPr>
          <w:rFonts w:asciiTheme="majorHAnsi" w:eastAsia="Times New Roman" w:hAnsiTheme="majorHAnsi" w:cstheme="majorHAnsi"/>
          <w:b/>
          <w:bCs/>
          <w:color w:val="1F1F1F"/>
          <w:kern w:val="0"/>
          <w:sz w:val="28"/>
          <w:szCs w:val="28"/>
          <w:lang w:eastAsia="en-GB"/>
          <w14:ligatures w14:val="none"/>
        </w:rPr>
      </w:pPr>
      <w:r w:rsidRPr="003D2F63">
        <w:rPr>
          <w:rFonts w:asciiTheme="majorHAnsi" w:eastAsia="Times New Roman" w:hAnsiTheme="majorHAnsi" w:cstheme="majorHAnsi"/>
          <w:b/>
          <w:bCs/>
          <w:color w:val="1F1F1F"/>
          <w:kern w:val="0"/>
          <w:sz w:val="28"/>
          <w:szCs w:val="28"/>
          <w:lang w:eastAsia="en-GB"/>
          <w14:ligatures w14:val="none"/>
        </w:rPr>
        <w:t>3. Epigenetinių žymenų atranka</w:t>
      </w:r>
    </w:p>
    <w:p w14:paraId="15D13F00" w14:textId="7E62A512" w:rsidR="003D2F63" w:rsidRPr="00501B99" w:rsidRDefault="003D2F63" w:rsidP="00501B99">
      <w:pPr>
        <w:pStyle w:val="NormalWeb"/>
        <w:spacing w:before="0" w:beforeAutospacing="0"/>
        <w:rPr>
          <w:rFonts w:asciiTheme="minorHAnsi" w:hAnsiTheme="minorHAnsi" w:cstheme="minorHAnsi"/>
          <w:color w:val="000000"/>
          <w:sz w:val="22"/>
          <w:szCs w:val="22"/>
        </w:rPr>
      </w:pPr>
      <w:r w:rsidRPr="003D2F63">
        <w:rPr>
          <w:rFonts w:asciiTheme="minorHAnsi" w:hAnsiTheme="minorHAnsi" w:cstheme="minorHAnsi"/>
          <w:color w:val="000000"/>
          <w:sz w:val="22"/>
          <w:szCs w:val="22"/>
        </w:rPr>
        <w:t>Buvo atlikta koreliacinė analizė,</w:t>
      </w:r>
      <w:r w:rsidRPr="003D2F63">
        <w:rPr>
          <w:rStyle w:val="apple-converted-space"/>
          <w:rFonts w:asciiTheme="minorHAnsi" w:hAnsiTheme="minorHAnsi" w:cstheme="minorHAnsi"/>
          <w:color w:val="000000"/>
          <w:sz w:val="22"/>
          <w:szCs w:val="22"/>
        </w:rPr>
        <w:t> </w:t>
      </w:r>
      <w:r w:rsidRPr="003D2F63">
        <w:rPr>
          <w:rFonts w:asciiTheme="minorHAnsi" w:hAnsiTheme="minorHAnsi" w:cstheme="minorHAnsi"/>
          <w:color w:val="000000"/>
          <w:sz w:val="22"/>
          <w:szCs w:val="22"/>
        </w:rPr>
        <w:t>siekiant nustatyti CpG lokusus,</w:t>
      </w:r>
      <w:r w:rsidRPr="003D2F63">
        <w:rPr>
          <w:rStyle w:val="apple-converted-space"/>
          <w:rFonts w:asciiTheme="minorHAnsi" w:hAnsiTheme="minorHAnsi" w:cstheme="minorHAnsi"/>
          <w:color w:val="000000"/>
          <w:sz w:val="22"/>
          <w:szCs w:val="22"/>
        </w:rPr>
        <w:t> </w:t>
      </w:r>
      <w:r w:rsidRPr="003D2F63">
        <w:rPr>
          <w:rFonts w:asciiTheme="minorHAnsi" w:hAnsiTheme="minorHAnsi" w:cstheme="minorHAnsi"/>
          <w:color w:val="000000"/>
          <w:sz w:val="22"/>
          <w:szCs w:val="22"/>
        </w:rPr>
        <w:t>kurių metilinimo lygis stipriausiai kinta bėgant laikui.Galutinis CpG svoris nustatytas apskaičiuojant vidutinę koreliaciją per visas kohortas.</w:t>
      </w:r>
      <w:r>
        <w:rPr>
          <w:rFonts w:asciiTheme="minorHAnsi" w:hAnsiTheme="minorHAnsi" w:cstheme="minorHAnsi"/>
          <w:color w:val="000000"/>
          <w:sz w:val="22"/>
          <w:szCs w:val="22"/>
        </w:rPr>
        <w:t xml:space="preserve"> </w:t>
      </w:r>
      <w:r w:rsidRPr="003D2F63">
        <w:rPr>
          <w:rFonts w:asciiTheme="minorHAnsi" w:hAnsiTheme="minorHAnsi" w:cstheme="minorHAnsi"/>
          <w:b/>
          <w:bCs/>
          <w:color w:val="000000"/>
          <w:sz w:val="22"/>
          <w:szCs w:val="22"/>
        </w:rPr>
        <w:t>Stipriausi teigiami ryšiai</w:t>
      </w:r>
      <w:r w:rsidRPr="003D2F63">
        <w:rPr>
          <w:rStyle w:val="apple-converted-space"/>
          <w:rFonts w:asciiTheme="minorHAnsi" w:hAnsiTheme="minorHAnsi" w:cstheme="minorHAnsi"/>
          <w:color w:val="000000"/>
          <w:sz w:val="22"/>
          <w:szCs w:val="22"/>
        </w:rPr>
        <w:t> </w:t>
      </w:r>
      <w:r w:rsidRPr="003D2F63">
        <w:rPr>
          <w:rFonts w:asciiTheme="minorHAnsi" w:hAnsiTheme="minorHAnsi" w:cstheme="minorHAnsi"/>
          <w:color w:val="000000"/>
          <w:sz w:val="22"/>
          <w:szCs w:val="22"/>
        </w:rPr>
        <w:t>(pvz.,</w:t>
      </w:r>
      <w:r w:rsidRPr="003D2F63">
        <w:rPr>
          <w:rStyle w:val="apple-converted-space"/>
          <w:rFonts w:asciiTheme="minorHAnsi" w:hAnsiTheme="minorHAnsi" w:cstheme="minorHAnsi"/>
          <w:color w:val="000000"/>
          <w:sz w:val="22"/>
          <w:szCs w:val="22"/>
        </w:rPr>
        <w:t> </w:t>
      </w:r>
      <w:r w:rsidRPr="003D2F63">
        <w:rPr>
          <w:rStyle w:val="HTMLCode"/>
          <w:rFonts w:asciiTheme="minorHAnsi" w:hAnsiTheme="minorHAnsi" w:cstheme="minorHAnsi"/>
          <w:color w:val="000000"/>
          <w:sz w:val="22"/>
          <w:szCs w:val="22"/>
        </w:rPr>
        <w:t>cg16867657</w:t>
      </w:r>
      <w:r w:rsidRPr="003D2F63">
        <w:rPr>
          <w:rFonts w:asciiTheme="minorHAnsi" w:hAnsiTheme="minorHAnsi" w:cstheme="minorHAnsi"/>
          <w:color w:val="000000"/>
          <w:sz w:val="22"/>
          <w:szCs w:val="22"/>
        </w:rPr>
        <w:t>,</w:t>
      </w:r>
      <w:r w:rsidRPr="003D2F63">
        <w:rPr>
          <w:rStyle w:val="apple-converted-space"/>
          <w:rFonts w:asciiTheme="minorHAnsi" w:hAnsiTheme="minorHAnsi" w:cstheme="minorHAnsi"/>
          <w:color w:val="000000"/>
          <w:sz w:val="22"/>
          <w:szCs w:val="22"/>
        </w:rPr>
        <w:t> </w:t>
      </w:r>
      <w:r w:rsidRPr="003D2F63">
        <w:rPr>
          <w:rStyle w:val="math-inline"/>
          <w:rFonts w:asciiTheme="minorHAnsi" w:hAnsiTheme="minorHAnsi" w:cstheme="minorHAnsi"/>
          <w:color w:val="000000"/>
          <w:sz w:val="22"/>
          <w:szCs w:val="22"/>
        </w:rPr>
        <w:t>r = 0.853</w:t>
      </w:r>
      <w:r w:rsidRPr="003D2F63">
        <w:rPr>
          <w:rFonts w:asciiTheme="minorHAnsi" w:hAnsiTheme="minorHAnsi" w:cstheme="minorHAnsi"/>
          <w:color w:val="000000"/>
          <w:sz w:val="22"/>
          <w:szCs w:val="22"/>
        </w:rPr>
        <w:t>) rodo progresuojantį hipermetilinimą,</w:t>
      </w:r>
      <w:r w:rsidRPr="003D2F63">
        <w:rPr>
          <w:rStyle w:val="apple-converted-space"/>
          <w:rFonts w:asciiTheme="minorHAnsi" w:hAnsiTheme="minorHAnsi" w:cstheme="minorHAnsi"/>
          <w:color w:val="000000"/>
          <w:sz w:val="22"/>
          <w:szCs w:val="22"/>
        </w:rPr>
        <w:t> </w:t>
      </w:r>
      <w:r w:rsidRPr="003D2F63">
        <w:rPr>
          <w:rFonts w:asciiTheme="minorHAnsi" w:hAnsiTheme="minorHAnsi" w:cstheme="minorHAnsi"/>
          <w:color w:val="000000"/>
          <w:sz w:val="22"/>
          <w:szCs w:val="22"/>
        </w:rPr>
        <w:t>o</w:t>
      </w:r>
      <w:r w:rsidRPr="003D2F63">
        <w:rPr>
          <w:rStyle w:val="apple-converted-space"/>
          <w:rFonts w:asciiTheme="minorHAnsi" w:hAnsiTheme="minorHAnsi" w:cstheme="minorHAnsi"/>
          <w:color w:val="000000"/>
          <w:sz w:val="22"/>
          <w:szCs w:val="22"/>
        </w:rPr>
        <w:t> </w:t>
      </w:r>
      <w:r w:rsidRPr="003D2F63">
        <w:rPr>
          <w:rFonts w:asciiTheme="minorHAnsi" w:hAnsiTheme="minorHAnsi" w:cstheme="minorHAnsi"/>
          <w:b/>
          <w:bCs/>
          <w:color w:val="000000"/>
          <w:sz w:val="22"/>
          <w:szCs w:val="22"/>
        </w:rPr>
        <w:t>neigiami</w:t>
      </w:r>
      <w:r w:rsidRPr="003D2F63">
        <w:rPr>
          <w:rStyle w:val="apple-converted-space"/>
          <w:rFonts w:asciiTheme="minorHAnsi" w:hAnsiTheme="minorHAnsi" w:cstheme="minorHAnsi"/>
          <w:color w:val="000000"/>
          <w:sz w:val="22"/>
          <w:szCs w:val="22"/>
        </w:rPr>
        <w:t> </w:t>
      </w:r>
      <w:r w:rsidRPr="003D2F63">
        <w:rPr>
          <w:rFonts w:asciiTheme="minorHAnsi" w:hAnsiTheme="minorHAnsi" w:cstheme="minorHAnsi"/>
          <w:color w:val="000000"/>
          <w:sz w:val="22"/>
          <w:szCs w:val="22"/>
        </w:rPr>
        <w:t>(pvz.,</w:t>
      </w:r>
      <w:r w:rsidRPr="003D2F63">
        <w:rPr>
          <w:rStyle w:val="HTMLCode"/>
          <w:rFonts w:asciiTheme="minorHAnsi" w:hAnsiTheme="minorHAnsi" w:cstheme="minorHAnsi"/>
          <w:color w:val="000000"/>
          <w:sz w:val="22"/>
          <w:szCs w:val="22"/>
        </w:rPr>
        <w:t>cg19283806</w:t>
      </w:r>
      <w:r w:rsidRPr="003D2F63">
        <w:rPr>
          <w:rFonts w:asciiTheme="minorHAnsi" w:hAnsiTheme="minorHAnsi" w:cstheme="minorHAnsi"/>
          <w:color w:val="000000"/>
          <w:sz w:val="22"/>
          <w:szCs w:val="22"/>
        </w:rPr>
        <w:t>,</w:t>
      </w:r>
      <w:r w:rsidRPr="003D2F63">
        <w:rPr>
          <w:rStyle w:val="apple-converted-space"/>
          <w:rFonts w:asciiTheme="minorHAnsi" w:hAnsiTheme="minorHAnsi" w:cstheme="minorHAnsi"/>
          <w:color w:val="000000"/>
          <w:sz w:val="22"/>
          <w:szCs w:val="22"/>
        </w:rPr>
        <w:t> </w:t>
      </w:r>
      <w:r w:rsidRPr="003D2F63">
        <w:rPr>
          <w:rStyle w:val="math-inline"/>
          <w:rFonts w:asciiTheme="minorHAnsi" w:hAnsiTheme="minorHAnsi" w:cstheme="minorHAnsi"/>
          <w:color w:val="000000"/>
          <w:sz w:val="22"/>
          <w:szCs w:val="22"/>
        </w:rPr>
        <w:t>r = -0.779</w:t>
      </w:r>
      <w:r w:rsidRPr="003D2F63">
        <w:rPr>
          <w:rFonts w:asciiTheme="minorHAnsi" w:hAnsiTheme="minorHAnsi" w:cstheme="minorHAnsi"/>
          <w:color w:val="000000"/>
          <w:sz w:val="22"/>
          <w:szCs w:val="22"/>
        </w:rPr>
        <w:t>) – hipometilinimą senstant.</w:t>
      </w:r>
      <w:r w:rsidRPr="003D2F63">
        <w:rPr>
          <w:rStyle w:val="apple-converted-space"/>
          <w:rFonts w:asciiTheme="minorHAnsi" w:hAnsiTheme="minorHAnsi" w:cstheme="minorHAnsi"/>
          <w:color w:val="000000"/>
          <w:sz w:val="22"/>
          <w:szCs w:val="22"/>
        </w:rPr>
        <w:t> </w:t>
      </w:r>
      <w:r w:rsidRPr="003D2F63">
        <w:rPr>
          <w:rFonts w:asciiTheme="minorHAnsi" w:hAnsiTheme="minorHAnsi" w:cstheme="minorHAnsi"/>
          <w:color w:val="000000"/>
          <w:sz w:val="22"/>
          <w:szCs w:val="22"/>
        </w:rPr>
        <w:t>Tai patvirtina,</w:t>
      </w:r>
      <w:r w:rsidRPr="003D2F63">
        <w:rPr>
          <w:rStyle w:val="apple-converted-space"/>
          <w:rFonts w:asciiTheme="minorHAnsi" w:hAnsiTheme="minorHAnsi" w:cstheme="minorHAnsi"/>
          <w:color w:val="000000"/>
          <w:sz w:val="22"/>
          <w:szCs w:val="22"/>
        </w:rPr>
        <w:t> </w:t>
      </w:r>
      <w:r w:rsidRPr="003D2F63">
        <w:rPr>
          <w:rFonts w:asciiTheme="minorHAnsi" w:hAnsiTheme="minorHAnsi" w:cstheme="minorHAnsi"/>
          <w:color w:val="000000"/>
          <w:sz w:val="22"/>
          <w:szCs w:val="22"/>
        </w:rPr>
        <w:t>kad DNR metilinimas yra stabilus ir patikimas amžiaus indikatorius.</w:t>
      </w:r>
      <w:r>
        <w:rPr>
          <w:rFonts w:asciiTheme="minorHAnsi" w:hAnsiTheme="minorHAnsi" w:cstheme="minorHAnsi"/>
          <w:color w:val="000000"/>
          <w:sz w:val="22"/>
          <w:szCs w:val="22"/>
        </w:rPr>
        <w:t xml:space="preserve"> </w:t>
      </w:r>
    </w:p>
    <w:p w14:paraId="0FCA2F15" w14:textId="7AE6DE3F" w:rsidR="003D2F63" w:rsidRPr="00501B99" w:rsidRDefault="003D2F63" w:rsidP="003D2F63">
      <w:pPr>
        <w:spacing w:before="100" w:beforeAutospacing="1" w:after="100" w:afterAutospacing="1"/>
        <w:outlineLvl w:val="2"/>
        <w:rPr>
          <w:rFonts w:asciiTheme="majorHAnsi" w:eastAsia="Times New Roman" w:hAnsiTheme="majorHAnsi" w:cstheme="majorHAnsi"/>
          <w:b/>
          <w:bCs/>
          <w:color w:val="000000"/>
          <w:kern w:val="0"/>
          <w:lang w:eastAsia="en-GB"/>
          <w14:ligatures w14:val="none"/>
        </w:rPr>
      </w:pPr>
      <w:r w:rsidRPr="00501B99">
        <w:rPr>
          <w:rFonts w:asciiTheme="majorHAnsi" w:eastAsia="Times New Roman" w:hAnsiTheme="majorHAnsi" w:cstheme="majorHAnsi"/>
          <w:b/>
          <w:bCs/>
          <w:color w:val="000000"/>
          <w:kern w:val="0"/>
          <w:lang w:eastAsia="en-GB"/>
          <w14:ligatures w14:val="none"/>
        </w:rPr>
        <w:t>Lentelė 1</w:t>
      </w:r>
      <w:r w:rsidR="00501B99" w:rsidRPr="00501B99">
        <w:rPr>
          <w:rFonts w:asciiTheme="majorHAnsi" w:eastAsia="Times New Roman" w:hAnsiTheme="majorHAnsi" w:cstheme="majorHAnsi"/>
          <w:b/>
          <w:bCs/>
          <w:color w:val="000000"/>
          <w:kern w:val="0"/>
          <w:lang w:eastAsia="en-GB"/>
          <w14:ligatures w14:val="none"/>
        </w:rPr>
        <w:t xml:space="preserve"> </w:t>
      </w:r>
      <w:r w:rsidR="00501B99" w:rsidRPr="00501B99">
        <w:rPr>
          <w:rFonts w:asciiTheme="majorHAnsi" w:hAnsiTheme="majorHAnsi" w:cstheme="majorHAnsi"/>
          <w:color w:val="000000"/>
        </w:rPr>
        <w:t>10 stipriausiai su amžiumi susijusių CpG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1148"/>
      </w:tblGrid>
      <w:tr w:rsidR="00501B99" w:rsidRPr="00501B99" w14:paraId="755F2FB4" w14:textId="77777777">
        <w:trPr>
          <w:tblHeader/>
          <w:tblCellSpacing w:w="15" w:type="dxa"/>
        </w:trPr>
        <w:tc>
          <w:tcPr>
            <w:tcW w:w="0" w:type="auto"/>
            <w:vAlign w:val="center"/>
            <w:hideMark/>
          </w:tcPr>
          <w:p w14:paraId="3BE16568" w14:textId="77777777" w:rsidR="00501B99" w:rsidRPr="00501B99" w:rsidRDefault="00501B99" w:rsidP="00501B99">
            <w:pPr>
              <w:jc w:val="center"/>
              <w:rPr>
                <w:rFonts w:ascii="Aptos" w:eastAsia="Times New Roman" w:hAnsi="Aptos" w:cs="Times New Roman"/>
                <w:b/>
                <w:bCs/>
                <w:color w:val="000000"/>
                <w:kern w:val="0"/>
                <w:sz w:val="22"/>
                <w:szCs w:val="22"/>
                <w:lang w:eastAsia="en-GB"/>
                <w14:ligatures w14:val="none"/>
              </w:rPr>
            </w:pPr>
            <w:r w:rsidRPr="00501B99">
              <w:rPr>
                <w:rFonts w:ascii="Aptos" w:eastAsia="Times New Roman" w:hAnsi="Aptos" w:cs="Times New Roman"/>
                <w:b/>
                <w:bCs/>
                <w:color w:val="000000"/>
                <w:kern w:val="0"/>
                <w:sz w:val="22"/>
                <w:szCs w:val="22"/>
                <w:lang w:eastAsia="en-GB"/>
                <w14:ligatures w14:val="none"/>
              </w:rPr>
              <w:t>CpG</w:t>
            </w:r>
          </w:p>
        </w:tc>
        <w:tc>
          <w:tcPr>
            <w:tcW w:w="0" w:type="auto"/>
            <w:vAlign w:val="center"/>
            <w:hideMark/>
          </w:tcPr>
          <w:p w14:paraId="50FC2D35" w14:textId="77777777" w:rsidR="00501B99" w:rsidRPr="00501B99" w:rsidRDefault="00501B99" w:rsidP="00501B99">
            <w:pPr>
              <w:jc w:val="right"/>
              <w:rPr>
                <w:rFonts w:ascii="Aptos" w:eastAsia="Times New Roman" w:hAnsi="Aptos" w:cs="Times New Roman"/>
                <w:b/>
                <w:bCs/>
                <w:color w:val="000000"/>
                <w:kern w:val="0"/>
                <w:sz w:val="22"/>
                <w:szCs w:val="22"/>
                <w:lang w:eastAsia="en-GB"/>
                <w14:ligatures w14:val="none"/>
              </w:rPr>
            </w:pPr>
            <w:r w:rsidRPr="00501B99">
              <w:rPr>
                <w:rFonts w:ascii="Aptos" w:eastAsia="Times New Roman" w:hAnsi="Aptos" w:cs="Times New Roman"/>
                <w:b/>
                <w:bCs/>
                <w:color w:val="000000"/>
                <w:kern w:val="0"/>
                <w:sz w:val="22"/>
                <w:szCs w:val="22"/>
                <w:lang w:eastAsia="en-GB"/>
                <w14:ligatures w14:val="none"/>
              </w:rPr>
              <w:t>Koreliacija</w:t>
            </w:r>
          </w:p>
        </w:tc>
      </w:tr>
      <w:tr w:rsidR="00501B99" w:rsidRPr="00501B99" w14:paraId="543B1F5E" w14:textId="77777777">
        <w:trPr>
          <w:tblCellSpacing w:w="15" w:type="dxa"/>
        </w:trPr>
        <w:tc>
          <w:tcPr>
            <w:tcW w:w="0" w:type="auto"/>
            <w:vAlign w:val="center"/>
            <w:hideMark/>
          </w:tcPr>
          <w:p w14:paraId="5FB60A58" w14:textId="77777777" w:rsidR="00501B99" w:rsidRPr="00501B99" w:rsidRDefault="00501B99" w:rsidP="00501B99">
            <w:pPr>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cg16867657</w:t>
            </w:r>
          </w:p>
        </w:tc>
        <w:tc>
          <w:tcPr>
            <w:tcW w:w="0" w:type="auto"/>
            <w:vAlign w:val="center"/>
            <w:hideMark/>
          </w:tcPr>
          <w:p w14:paraId="65B7B8D8" w14:textId="77777777" w:rsidR="00501B99" w:rsidRPr="00501B99" w:rsidRDefault="00501B99" w:rsidP="00501B99">
            <w:pPr>
              <w:jc w:val="right"/>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0.853</w:t>
            </w:r>
          </w:p>
        </w:tc>
      </w:tr>
      <w:tr w:rsidR="00501B99" w:rsidRPr="00501B99" w14:paraId="5C1A3DE6" w14:textId="77777777">
        <w:trPr>
          <w:tblCellSpacing w:w="15" w:type="dxa"/>
        </w:trPr>
        <w:tc>
          <w:tcPr>
            <w:tcW w:w="0" w:type="auto"/>
            <w:vAlign w:val="center"/>
            <w:hideMark/>
          </w:tcPr>
          <w:p w14:paraId="7B2F3E60" w14:textId="77777777" w:rsidR="00501B99" w:rsidRPr="00501B99" w:rsidRDefault="00501B99" w:rsidP="00501B99">
            <w:pPr>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cg21572722</w:t>
            </w:r>
          </w:p>
        </w:tc>
        <w:tc>
          <w:tcPr>
            <w:tcW w:w="0" w:type="auto"/>
            <w:vAlign w:val="center"/>
            <w:hideMark/>
          </w:tcPr>
          <w:p w14:paraId="5E78D1EC" w14:textId="77777777" w:rsidR="00501B99" w:rsidRPr="00501B99" w:rsidRDefault="00501B99" w:rsidP="00501B99">
            <w:pPr>
              <w:jc w:val="right"/>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0.792</w:t>
            </w:r>
          </w:p>
        </w:tc>
      </w:tr>
      <w:tr w:rsidR="00501B99" w:rsidRPr="00501B99" w14:paraId="732DAF14" w14:textId="77777777">
        <w:trPr>
          <w:tblCellSpacing w:w="15" w:type="dxa"/>
        </w:trPr>
        <w:tc>
          <w:tcPr>
            <w:tcW w:w="0" w:type="auto"/>
            <w:vAlign w:val="center"/>
            <w:hideMark/>
          </w:tcPr>
          <w:p w14:paraId="75C5815C" w14:textId="77777777" w:rsidR="00501B99" w:rsidRPr="00501B99" w:rsidRDefault="00501B99" w:rsidP="00501B99">
            <w:pPr>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cg19283806</w:t>
            </w:r>
          </w:p>
        </w:tc>
        <w:tc>
          <w:tcPr>
            <w:tcW w:w="0" w:type="auto"/>
            <w:vAlign w:val="center"/>
            <w:hideMark/>
          </w:tcPr>
          <w:p w14:paraId="35009A56" w14:textId="77777777" w:rsidR="00501B99" w:rsidRPr="00501B99" w:rsidRDefault="00501B99" w:rsidP="00501B99">
            <w:pPr>
              <w:jc w:val="right"/>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-0.779</w:t>
            </w:r>
          </w:p>
        </w:tc>
      </w:tr>
      <w:tr w:rsidR="00501B99" w:rsidRPr="00501B99" w14:paraId="11290F03" w14:textId="77777777">
        <w:trPr>
          <w:tblCellSpacing w:w="15" w:type="dxa"/>
        </w:trPr>
        <w:tc>
          <w:tcPr>
            <w:tcW w:w="0" w:type="auto"/>
            <w:vAlign w:val="center"/>
            <w:hideMark/>
          </w:tcPr>
          <w:p w14:paraId="3AA28A4D" w14:textId="77777777" w:rsidR="00501B99" w:rsidRPr="00501B99" w:rsidRDefault="00501B99" w:rsidP="00501B99">
            <w:pPr>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cg07547549</w:t>
            </w:r>
          </w:p>
        </w:tc>
        <w:tc>
          <w:tcPr>
            <w:tcW w:w="0" w:type="auto"/>
            <w:vAlign w:val="center"/>
            <w:hideMark/>
          </w:tcPr>
          <w:p w14:paraId="08A0855E" w14:textId="77777777" w:rsidR="00501B99" w:rsidRPr="00501B99" w:rsidRDefault="00501B99" w:rsidP="00501B99">
            <w:pPr>
              <w:jc w:val="right"/>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0.771</w:t>
            </w:r>
          </w:p>
        </w:tc>
      </w:tr>
      <w:tr w:rsidR="00501B99" w:rsidRPr="00501B99" w14:paraId="3B73314C" w14:textId="77777777">
        <w:trPr>
          <w:tblCellSpacing w:w="15" w:type="dxa"/>
        </w:trPr>
        <w:tc>
          <w:tcPr>
            <w:tcW w:w="0" w:type="auto"/>
            <w:vAlign w:val="center"/>
            <w:hideMark/>
          </w:tcPr>
          <w:p w14:paraId="6F31B1D7" w14:textId="77777777" w:rsidR="00501B99" w:rsidRPr="00501B99" w:rsidRDefault="00501B99" w:rsidP="00501B99">
            <w:pPr>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cg17110586</w:t>
            </w:r>
          </w:p>
        </w:tc>
        <w:tc>
          <w:tcPr>
            <w:tcW w:w="0" w:type="auto"/>
            <w:vAlign w:val="center"/>
            <w:hideMark/>
          </w:tcPr>
          <w:p w14:paraId="60807772" w14:textId="77777777" w:rsidR="00501B99" w:rsidRPr="00501B99" w:rsidRDefault="00501B99" w:rsidP="00501B99">
            <w:pPr>
              <w:jc w:val="right"/>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0.771</w:t>
            </w:r>
          </w:p>
        </w:tc>
      </w:tr>
      <w:tr w:rsidR="00501B99" w:rsidRPr="00501B99" w14:paraId="0E0849EF" w14:textId="77777777">
        <w:trPr>
          <w:tblCellSpacing w:w="15" w:type="dxa"/>
        </w:trPr>
        <w:tc>
          <w:tcPr>
            <w:tcW w:w="0" w:type="auto"/>
            <w:vAlign w:val="center"/>
            <w:hideMark/>
          </w:tcPr>
          <w:p w14:paraId="4D370521" w14:textId="77777777" w:rsidR="00501B99" w:rsidRPr="00501B99" w:rsidRDefault="00501B99" w:rsidP="00501B99">
            <w:pPr>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cg06639320</w:t>
            </w:r>
          </w:p>
        </w:tc>
        <w:tc>
          <w:tcPr>
            <w:tcW w:w="0" w:type="auto"/>
            <w:vAlign w:val="center"/>
            <w:hideMark/>
          </w:tcPr>
          <w:p w14:paraId="52CC98A1" w14:textId="77777777" w:rsidR="00501B99" w:rsidRPr="00501B99" w:rsidRDefault="00501B99" w:rsidP="00501B99">
            <w:pPr>
              <w:jc w:val="right"/>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0.758</w:t>
            </w:r>
          </w:p>
        </w:tc>
      </w:tr>
      <w:tr w:rsidR="00501B99" w:rsidRPr="00501B99" w14:paraId="7DCA871C" w14:textId="77777777">
        <w:trPr>
          <w:tblCellSpacing w:w="15" w:type="dxa"/>
        </w:trPr>
        <w:tc>
          <w:tcPr>
            <w:tcW w:w="0" w:type="auto"/>
            <w:vAlign w:val="center"/>
            <w:hideMark/>
          </w:tcPr>
          <w:p w14:paraId="6F090973" w14:textId="77777777" w:rsidR="00501B99" w:rsidRPr="00501B99" w:rsidRDefault="00501B99" w:rsidP="00501B99">
            <w:pPr>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cg22454769</w:t>
            </w:r>
          </w:p>
        </w:tc>
        <w:tc>
          <w:tcPr>
            <w:tcW w:w="0" w:type="auto"/>
            <w:vAlign w:val="center"/>
            <w:hideMark/>
          </w:tcPr>
          <w:p w14:paraId="48BC6063" w14:textId="77777777" w:rsidR="00501B99" w:rsidRPr="00501B99" w:rsidRDefault="00501B99" w:rsidP="00501B99">
            <w:pPr>
              <w:jc w:val="right"/>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0.754</w:t>
            </w:r>
          </w:p>
        </w:tc>
      </w:tr>
      <w:tr w:rsidR="00501B99" w:rsidRPr="00501B99" w14:paraId="3BB0A31A" w14:textId="77777777">
        <w:trPr>
          <w:tblCellSpacing w:w="15" w:type="dxa"/>
        </w:trPr>
        <w:tc>
          <w:tcPr>
            <w:tcW w:w="0" w:type="auto"/>
            <w:vAlign w:val="center"/>
            <w:hideMark/>
          </w:tcPr>
          <w:p w14:paraId="5DAE3282" w14:textId="77777777" w:rsidR="00501B99" w:rsidRPr="00501B99" w:rsidRDefault="00501B99" w:rsidP="00501B99">
            <w:pPr>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cg13649056</w:t>
            </w:r>
          </w:p>
        </w:tc>
        <w:tc>
          <w:tcPr>
            <w:tcW w:w="0" w:type="auto"/>
            <w:vAlign w:val="center"/>
            <w:hideMark/>
          </w:tcPr>
          <w:p w14:paraId="7ED4904C" w14:textId="77777777" w:rsidR="00501B99" w:rsidRPr="00501B99" w:rsidRDefault="00501B99" w:rsidP="00501B99">
            <w:pPr>
              <w:jc w:val="right"/>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0.754</w:t>
            </w:r>
          </w:p>
        </w:tc>
      </w:tr>
      <w:tr w:rsidR="00501B99" w:rsidRPr="00501B99" w14:paraId="22116173" w14:textId="77777777">
        <w:trPr>
          <w:tblCellSpacing w:w="15" w:type="dxa"/>
        </w:trPr>
        <w:tc>
          <w:tcPr>
            <w:tcW w:w="0" w:type="auto"/>
            <w:vAlign w:val="center"/>
            <w:hideMark/>
          </w:tcPr>
          <w:p w14:paraId="026E0114" w14:textId="77777777" w:rsidR="00501B99" w:rsidRPr="00501B99" w:rsidRDefault="00501B99" w:rsidP="00501B99">
            <w:pPr>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cg07553761</w:t>
            </w:r>
          </w:p>
        </w:tc>
        <w:tc>
          <w:tcPr>
            <w:tcW w:w="0" w:type="auto"/>
            <w:vAlign w:val="center"/>
            <w:hideMark/>
          </w:tcPr>
          <w:p w14:paraId="512C0D91" w14:textId="77777777" w:rsidR="00501B99" w:rsidRPr="00501B99" w:rsidRDefault="00501B99" w:rsidP="00501B99">
            <w:pPr>
              <w:jc w:val="right"/>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0.753</w:t>
            </w:r>
          </w:p>
        </w:tc>
      </w:tr>
      <w:tr w:rsidR="00501B99" w:rsidRPr="00501B99" w14:paraId="449B318C" w14:textId="77777777">
        <w:trPr>
          <w:tblCellSpacing w:w="15" w:type="dxa"/>
        </w:trPr>
        <w:tc>
          <w:tcPr>
            <w:tcW w:w="0" w:type="auto"/>
            <w:vAlign w:val="center"/>
            <w:hideMark/>
          </w:tcPr>
          <w:p w14:paraId="0FD4473B" w14:textId="77777777" w:rsidR="00501B99" w:rsidRPr="00501B99" w:rsidRDefault="00501B99" w:rsidP="00501B99">
            <w:pPr>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cg14556683</w:t>
            </w:r>
          </w:p>
        </w:tc>
        <w:tc>
          <w:tcPr>
            <w:tcW w:w="0" w:type="auto"/>
            <w:vAlign w:val="center"/>
            <w:hideMark/>
          </w:tcPr>
          <w:p w14:paraId="5DBD5CBA" w14:textId="77777777" w:rsidR="00501B99" w:rsidRPr="00501B99" w:rsidRDefault="00501B99" w:rsidP="00501B99">
            <w:pPr>
              <w:jc w:val="right"/>
              <w:rPr>
                <w:rFonts w:ascii="Aptos" w:eastAsia="Times New Roman" w:hAnsi="Aptos" w:cs="Times New Roman"/>
                <w:color w:val="000000"/>
                <w:kern w:val="0"/>
                <w:sz w:val="22"/>
                <w:szCs w:val="22"/>
                <w:lang w:eastAsia="en-GB"/>
                <w14:ligatures w14:val="none"/>
              </w:rPr>
            </w:pPr>
            <w:r w:rsidRPr="00501B99">
              <w:rPr>
                <w:rFonts w:ascii="Aptos" w:eastAsia="Times New Roman" w:hAnsi="Aptos" w:cs="Times New Roman"/>
                <w:color w:val="000000"/>
                <w:kern w:val="0"/>
                <w:sz w:val="22"/>
                <w:szCs w:val="22"/>
                <w:lang w:eastAsia="en-GB"/>
                <w14:ligatures w14:val="none"/>
              </w:rPr>
              <w:t>0.743</w:t>
            </w:r>
          </w:p>
        </w:tc>
      </w:tr>
    </w:tbl>
    <w:p w14:paraId="762A5541" w14:textId="77777777" w:rsidR="00501B99" w:rsidRPr="002619EA" w:rsidRDefault="00501B99" w:rsidP="00501B99">
      <w:pPr>
        <w:spacing w:before="100" w:beforeAutospacing="1"/>
        <w:outlineLvl w:val="1"/>
        <w:rPr>
          <w:rFonts w:asciiTheme="majorHAnsi" w:eastAsia="Times New Roman" w:hAnsiTheme="majorHAnsi" w:cstheme="majorHAnsi"/>
          <w:b/>
          <w:bCs/>
          <w:color w:val="1F1F1F"/>
          <w:kern w:val="0"/>
          <w:sz w:val="28"/>
          <w:szCs w:val="28"/>
          <w:lang w:eastAsia="en-GB"/>
          <w14:ligatures w14:val="none"/>
        </w:rPr>
      </w:pPr>
      <w:r w:rsidRPr="002619EA">
        <w:rPr>
          <w:rFonts w:asciiTheme="majorHAnsi" w:eastAsia="Times New Roman" w:hAnsiTheme="majorHAnsi" w:cstheme="majorHAnsi"/>
          <w:b/>
          <w:bCs/>
          <w:color w:val="1F1F1F"/>
          <w:kern w:val="0"/>
          <w:sz w:val="28"/>
          <w:szCs w:val="28"/>
          <w:lang w:eastAsia="en-GB"/>
          <w14:ligatures w14:val="none"/>
        </w:rPr>
        <w:t>4. Mašininio mokymosi modelių lyginamoji analizė</w:t>
      </w:r>
    </w:p>
    <w:p w14:paraId="3B34C0D6" w14:textId="2765FB98" w:rsidR="003D2F63" w:rsidRPr="00501B99" w:rsidRDefault="00501B99" w:rsidP="00501B99">
      <w:pPr>
        <w:spacing w:before="100" w:beforeAutospacing="1" w:after="100" w:afterAutospacing="1"/>
        <w:outlineLvl w:val="0"/>
        <w:rPr>
          <w:rFonts w:eastAsia="Times New Roman" w:cstheme="minorHAnsi"/>
          <w:color w:val="000000"/>
          <w:kern w:val="36"/>
          <w:sz w:val="20"/>
          <w:szCs w:val="20"/>
          <w:lang w:eastAsia="en-GB"/>
          <w14:ligatures w14:val="none"/>
        </w:rPr>
      </w:pPr>
      <w:r w:rsidRPr="00501B99">
        <w:rPr>
          <w:rFonts w:cstheme="minorHAnsi"/>
          <w:color w:val="1F1F1F"/>
          <w:sz w:val="22"/>
          <w:szCs w:val="22"/>
        </w:rPr>
        <w:lastRenderedPageBreak/>
        <w:t>Modelių kūrimui duomenys buvo padalinti į mokymo (80 %) ir testavimo (20 %) aibes, išlaikant kohortų proporcijas.</w:t>
      </w:r>
      <w:r w:rsidR="003D2F63" w:rsidRPr="00501B99">
        <w:rPr>
          <w:rFonts w:eastAsia="Times New Roman" w:cstheme="minorHAnsi"/>
          <w:color w:val="000000"/>
          <w:kern w:val="0"/>
          <w:sz w:val="22"/>
          <w:szCs w:val="22"/>
          <w:lang w:eastAsia="en-GB"/>
          <w14:ligatures w14:val="none"/>
        </w:rPr>
        <w:t>Buvo išbandyti šeši modeliai:</w:t>
      </w:r>
    </w:p>
    <w:p w14:paraId="71D6AA74" w14:textId="77777777" w:rsidR="003D2F63" w:rsidRPr="00501B99" w:rsidRDefault="003D2F63" w:rsidP="003D2F63">
      <w:pPr>
        <w:numPr>
          <w:ilvl w:val="0"/>
          <w:numId w:val="3"/>
        </w:numPr>
        <w:spacing w:before="100" w:beforeAutospacing="1" w:after="100" w:afterAutospacing="1"/>
        <w:rPr>
          <w:rFonts w:eastAsia="Times New Roman" w:cstheme="minorHAnsi"/>
          <w:color w:val="000000"/>
          <w:kern w:val="0"/>
          <w:sz w:val="22"/>
          <w:szCs w:val="22"/>
          <w:lang w:eastAsia="en-GB"/>
          <w14:ligatures w14:val="none"/>
        </w:rPr>
      </w:pPr>
      <w:r w:rsidRPr="00501B99">
        <w:rPr>
          <w:rFonts w:eastAsia="Times New Roman" w:cstheme="minorHAnsi"/>
          <w:color w:val="000000"/>
          <w:kern w:val="0"/>
          <w:sz w:val="22"/>
          <w:szCs w:val="22"/>
          <w:lang w:eastAsia="en-GB"/>
          <w14:ligatures w14:val="none"/>
        </w:rPr>
        <w:t>PCA + Linear Regression</w:t>
      </w:r>
    </w:p>
    <w:p w14:paraId="535626BD" w14:textId="77777777" w:rsidR="003D2F63" w:rsidRPr="00501B99" w:rsidRDefault="003D2F63" w:rsidP="003D2F63">
      <w:pPr>
        <w:numPr>
          <w:ilvl w:val="0"/>
          <w:numId w:val="3"/>
        </w:numPr>
        <w:spacing w:before="100" w:beforeAutospacing="1" w:after="100" w:afterAutospacing="1"/>
        <w:rPr>
          <w:rFonts w:eastAsia="Times New Roman" w:cstheme="minorHAnsi"/>
          <w:color w:val="000000"/>
          <w:kern w:val="0"/>
          <w:sz w:val="22"/>
          <w:szCs w:val="22"/>
          <w:lang w:eastAsia="en-GB"/>
          <w14:ligatures w14:val="none"/>
        </w:rPr>
      </w:pPr>
      <w:r w:rsidRPr="00501B99">
        <w:rPr>
          <w:rFonts w:eastAsia="Times New Roman" w:cstheme="minorHAnsi"/>
          <w:color w:val="000000"/>
          <w:kern w:val="0"/>
          <w:sz w:val="22"/>
          <w:szCs w:val="22"/>
          <w:lang w:eastAsia="en-GB"/>
          <w14:ligatures w14:val="none"/>
        </w:rPr>
        <w:t>PCA + Linear Regression be Quinn kohortos</w:t>
      </w:r>
    </w:p>
    <w:p w14:paraId="2B191194" w14:textId="77777777" w:rsidR="003D2F63" w:rsidRPr="00501B99" w:rsidRDefault="003D2F63" w:rsidP="003D2F63">
      <w:pPr>
        <w:numPr>
          <w:ilvl w:val="0"/>
          <w:numId w:val="3"/>
        </w:numPr>
        <w:spacing w:before="100" w:beforeAutospacing="1" w:after="100" w:afterAutospacing="1"/>
        <w:rPr>
          <w:rFonts w:eastAsia="Times New Roman" w:cstheme="minorHAnsi"/>
          <w:color w:val="000000"/>
          <w:kern w:val="0"/>
          <w:sz w:val="22"/>
          <w:szCs w:val="22"/>
          <w:lang w:eastAsia="en-GB"/>
          <w14:ligatures w14:val="none"/>
        </w:rPr>
      </w:pPr>
      <w:r w:rsidRPr="00501B99">
        <w:rPr>
          <w:rFonts w:eastAsia="Times New Roman" w:cstheme="minorHAnsi"/>
          <w:color w:val="000000"/>
          <w:kern w:val="0"/>
          <w:sz w:val="22"/>
          <w:szCs w:val="22"/>
          <w:lang w:eastAsia="en-GB"/>
          <w14:ligatures w14:val="none"/>
        </w:rPr>
        <w:t>PCA + kNN Regression</w:t>
      </w:r>
    </w:p>
    <w:p w14:paraId="7BC42A56" w14:textId="77777777" w:rsidR="003D2F63" w:rsidRPr="00501B99" w:rsidRDefault="003D2F63" w:rsidP="003D2F63">
      <w:pPr>
        <w:numPr>
          <w:ilvl w:val="0"/>
          <w:numId w:val="3"/>
        </w:numPr>
        <w:spacing w:before="100" w:beforeAutospacing="1" w:after="100" w:afterAutospacing="1"/>
        <w:rPr>
          <w:rFonts w:eastAsia="Times New Roman" w:cstheme="minorHAnsi"/>
          <w:color w:val="000000"/>
          <w:kern w:val="0"/>
          <w:sz w:val="22"/>
          <w:szCs w:val="22"/>
          <w:lang w:eastAsia="en-GB"/>
          <w14:ligatures w14:val="none"/>
        </w:rPr>
      </w:pPr>
      <w:r w:rsidRPr="00501B99">
        <w:rPr>
          <w:rFonts w:eastAsia="Times New Roman" w:cstheme="minorHAnsi"/>
          <w:color w:val="000000"/>
          <w:kern w:val="0"/>
          <w:sz w:val="22"/>
          <w:szCs w:val="22"/>
          <w:lang w:eastAsia="en-GB"/>
          <w14:ligatures w14:val="none"/>
        </w:rPr>
        <w:t>Random Forest</w:t>
      </w:r>
    </w:p>
    <w:p w14:paraId="2F9921B3" w14:textId="77777777" w:rsidR="003D2F63" w:rsidRPr="00501B99" w:rsidRDefault="003D2F63" w:rsidP="003D2F63">
      <w:pPr>
        <w:numPr>
          <w:ilvl w:val="0"/>
          <w:numId w:val="3"/>
        </w:numPr>
        <w:spacing w:before="100" w:beforeAutospacing="1" w:after="100" w:afterAutospacing="1"/>
        <w:rPr>
          <w:rFonts w:eastAsia="Times New Roman" w:cstheme="minorHAnsi"/>
          <w:color w:val="000000"/>
          <w:kern w:val="0"/>
          <w:sz w:val="22"/>
          <w:szCs w:val="22"/>
          <w:lang w:eastAsia="en-GB"/>
          <w14:ligatures w14:val="none"/>
        </w:rPr>
      </w:pPr>
      <w:r w:rsidRPr="00501B99">
        <w:rPr>
          <w:rFonts w:eastAsia="Times New Roman" w:cstheme="minorHAnsi"/>
          <w:color w:val="000000"/>
          <w:kern w:val="0"/>
          <w:sz w:val="22"/>
          <w:szCs w:val="22"/>
          <w:lang w:eastAsia="en-GB"/>
          <w14:ligatures w14:val="none"/>
        </w:rPr>
        <w:t>M-value Ridge Regression</w:t>
      </w:r>
    </w:p>
    <w:p w14:paraId="20AE9EA1" w14:textId="77777777" w:rsidR="003D2F63" w:rsidRDefault="003D2F63" w:rsidP="003D2F63">
      <w:pPr>
        <w:numPr>
          <w:ilvl w:val="0"/>
          <w:numId w:val="3"/>
        </w:numPr>
        <w:spacing w:before="100" w:beforeAutospacing="1" w:after="100" w:afterAutospacing="1"/>
        <w:rPr>
          <w:rFonts w:eastAsia="Times New Roman" w:cstheme="minorHAnsi"/>
          <w:color w:val="000000"/>
          <w:kern w:val="0"/>
          <w:sz w:val="22"/>
          <w:szCs w:val="22"/>
          <w:lang w:eastAsia="en-GB"/>
          <w14:ligatures w14:val="none"/>
        </w:rPr>
      </w:pPr>
      <w:r w:rsidRPr="00501B99">
        <w:rPr>
          <w:rFonts w:eastAsia="Times New Roman" w:cstheme="minorHAnsi"/>
          <w:color w:val="000000"/>
          <w:kern w:val="0"/>
          <w:sz w:val="22"/>
          <w:szCs w:val="22"/>
          <w:lang w:eastAsia="en-GB"/>
          <w14:ligatures w14:val="none"/>
        </w:rPr>
        <w:t>Signature Kernel</w:t>
      </w:r>
    </w:p>
    <w:p w14:paraId="6E942C81" w14:textId="0522E351" w:rsidR="000F36E6" w:rsidRPr="000F36E6" w:rsidRDefault="000F36E6" w:rsidP="000F36E6">
      <w:pPr>
        <w:spacing w:before="100" w:beforeAutospacing="1" w:after="100" w:afterAutospacing="1"/>
        <w:rPr>
          <w:rFonts w:asciiTheme="majorHAnsi" w:eastAsia="Times New Roman" w:hAnsiTheme="majorHAnsi" w:cstheme="majorHAnsi"/>
          <w:color w:val="000000"/>
          <w:kern w:val="0"/>
          <w:sz w:val="21"/>
          <w:szCs w:val="21"/>
          <w:lang w:eastAsia="en-GB"/>
          <w14:ligatures w14:val="none"/>
        </w:rPr>
      </w:pPr>
      <w:r w:rsidRPr="000F36E6">
        <w:rPr>
          <w:rFonts w:asciiTheme="majorHAnsi" w:hAnsiTheme="majorHAnsi" w:cstheme="majorHAnsi"/>
          <w:b/>
          <w:bCs/>
          <w:color w:val="000000"/>
        </w:rPr>
        <w:t>Lentelė 2</w:t>
      </w:r>
      <w:r w:rsidRPr="000F36E6">
        <w:rPr>
          <w:rFonts w:asciiTheme="majorHAnsi" w:hAnsiTheme="majorHAnsi" w:cstheme="majorHAnsi"/>
          <w:color w:val="000000"/>
        </w:rPr>
        <w:t xml:space="preserve"> </w:t>
      </w:r>
      <w:r w:rsidRPr="000F36E6">
        <w:rPr>
          <w:rFonts w:asciiTheme="majorHAnsi" w:hAnsiTheme="majorHAnsi" w:cstheme="majorHAnsi"/>
          <w:color w:val="000000"/>
        </w:rPr>
        <w:t>Pagrindinė rezultatų lentelė.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1928"/>
        <w:gridCol w:w="2085"/>
        <w:gridCol w:w="1962"/>
      </w:tblGrid>
      <w:tr w:rsidR="00501B99" w:rsidRPr="00501B99" w14:paraId="43FC17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DFD94"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b/>
                <w:bCs/>
                <w:color w:val="000000"/>
                <w:kern w:val="0"/>
                <w:lang w:eastAsia="en-GB"/>
                <w14:ligatures w14:val="none"/>
              </w:rPr>
              <w:t>Modelis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5CEAA"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b/>
                <w:bCs/>
                <w:color w:val="000000"/>
                <w:kern w:val="0"/>
                <w:lang w:eastAsia="en-GB"/>
                <w14:ligatures w14:val="none"/>
              </w:rPr>
              <w:t>MAE (metais)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62D91"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b/>
                <w:bCs/>
                <w:color w:val="000000"/>
                <w:kern w:val="0"/>
                <w:lang w:eastAsia="en-GB"/>
                <w14:ligatures w14:val="none"/>
              </w:rPr>
              <w:t>RMSE (metais)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EFD67"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b/>
                <w:bCs/>
                <w:color w:val="000000"/>
                <w:kern w:val="0"/>
                <w:lang w:eastAsia="en-GB"/>
                <w14:ligatures w14:val="none"/>
              </w:rPr>
              <w:t>Koreliacija (r)</w:t>
            </w:r>
          </w:p>
        </w:tc>
      </w:tr>
      <w:tr w:rsidR="00501B99" w:rsidRPr="00501B99" w14:paraId="55669A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32E56"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b/>
                <w:bCs/>
                <w:color w:val="000000"/>
                <w:kern w:val="0"/>
                <w:lang w:eastAsia="en-GB"/>
                <w14:ligatures w14:val="none"/>
              </w:rPr>
              <w:t>M-value Ridge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56A2B"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b/>
                <w:bCs/>
                <w:color w:val="000000"/>
                <w:kern w:val="0"/>
                <w:lang w:eastAsia="en-GB"/>
                <w14:ligatures w14:val="none"/>
              </w:rPr>
              <w:t>2.603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6ADB2"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b/>
                <w:bCs/>
                <w:color w:val="000000"/>
                <w:kern w:val="0"/>
                <w:lang w:eastAsia="en-GB"/>
                <w14:ligatures w14:val="none"/>
              </w:rPr>
              <w:t>3.869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2305F"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b/>
                <w:bCs/>
                <w:color w:val="000000"/>
                <w:kern w:val="0"/>
                <w:lang w:eastAsia="en-GB"/>
                <w14:ligatures w14:val="none"/>
              </w:rPr>
              <w:t>0.986</w:t>
            </w:r>
          </w:p>
        </w:tc>
      </w:tr>
      <w:tr w:rsidR="00501B99" w:rsidRPr="00501B99" w14:paraId="60900A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098EE"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PCA + Linear (be Quinn)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7D195"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3.018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002EB"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4.161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CB748"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0.983</w:t>
            </w:r>
          </w:p>
        </w:tc>
      </w:tr>
      <w:tr w:rsidR="00501B99" w:rsidRPr="00501B99" w14:paraId="459FF7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6F15C"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PCA + Linear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60DB7"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3.043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927A1"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4.471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238F6"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0.981</w:t>
            </w:r>
          </w:p>
        </w:tc>
      </w:tr>
      <w:tr w:rsidR="00501B99" w:rsidRPr="00501B99" w14:paraId="714D95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F3F2F"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7AB5E"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3.558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5FEF4"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4.848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2AD43"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0.978</w:t>
            </w:r>
          </w:p>
        </w:tc>
      </w:tr>
      <w:tr w:rsidR="00501B99" w:rsidRPr="00501B99" w14:paraId="6B34ED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D2326"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kNN + PCA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A4D4A"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4.546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3B340"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6.244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6DE6"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0.960</w:t>
            </w:r>
          </w:p>
        </w:tc>
      </w:tr>
      <w:tr w:rsidR="00501B99" w:rsidRPr="00501B99" w14:paraId="1B9AAD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C90CD"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Signature Kernel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BF08C"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6.806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8102A"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8.847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0E4E9" w14:textId="77777777" w:rsidR="00501B99" w:rsidRPr="00501B99" w:rsidRDefault="00501B99" w:rsidP="00501B99">
            <w:pPr>
              <w:rPr>
                <w:rFonts w:ascii="Arial" w:eastAsia="Times New Roman" w:hAnsi="Arial" w:cs="Arial"/>
                <w:color w:val="000000"/>
                <w:kern w:val="0"/>
                <w:lang w:eastAsia="en-GB"/>
                <w14:ligatures w14:val="none"/>
              </w:rPr>
            </w:pPr>
            <w:r w:rsidRPr="00501B99">
              <w:rPr>
                <w:rFonts w:ascii="Arial" w:eastAsia="Times New Roman" w:hAnsi="Arial" w:cs="Arial"/>
                <w:color w:val="000000"/>
                <w:kern w:val="0"/>
                <w:lang w:eastAsia="en-GB"/>
                <w14:ligatures w14:val="none"/>
              </w:rPr>
              <w:t>0.919</w:t>
            </w:r>
          </w:p>
        </w:tc>
      </w:tr>
    </w:tbl>
    <w:p w14:paraId="66084EB8" w14:textId="4D5B2243" w:rsidR="003D2F63" w:rsidRDefault="003D2F63" w:rsidP="003D2F63">
      <w:pPr>
        <w:rPr>
          <w:rFonts w:asciiTheme="majorHAnsi" w:eastAsia="Times New Roman" w:hAnsiTheme="majorHAnsi" w:cstheme="majorHAnsi"/>
          <w:kern w:val="0"/>
          <w:sz w:val="22"/>
          <w:szCs w:val="22"/>
          <w:lang w:eastAsia="en-GB"/>
          <w14:ligatures w14:val="none"/>
        </w:rPr>
      </w:pPr>
    </w:p>
    <w:p w14:paraId="28F0FC6B" w14:textId="77777777" w:rsidR="00501B99" w:rsidRDefault="00501B99" w:rsidP="003D2F63">
      <w:pPr>
        <w:rPr>
          <w:rFonts w:asciiTheme="majorHAnsi" w:eastAsia="Times New Roman" w:hAnsiTheme="majorHAnsi" w:cstheme="majorHAnsi"/>
          <w:kern w:val="0"/>
          <w:sz w:val="22"/>
          <w:szCs w:val="22"/>
          <w:lang w:eastAsia="en-GB"/>
          <w14:ligatures w14:val="none"/>
        </w:rPr>
      </w:pPr>
    </w:p>
    <w:p w14:paraId="00C0C2F6" w14:textId="77777777" w:rsidR="00501B99" w:rsidRDefault="00501B99" w:rsidP="00501B99">
      <w:pPr>
        <w:rPr>
          <w:rFonts w:cstheme="minorHAnsi"/>
          <w:color w:val="000000"/>
          <w:sz w:val="22"/>
          <w:szCs w:val="22"/>
        </w:rPr>
      </w:pPr>
      <w:r w:rsidRPr="00501B99">
        <w:rPr>
          <w:rFonts w:cstheme="minorHAnsi"/>
          <w:color w:val="000000"/>
          <w:sz w:val="22"/>
          <w:szCs w:val="22"/>
        </w:rPr>
        <w:t>Geriausius rezultatus parodė</w:t>
      </w:r>
      <w:r w:rsidRPr="00501B99">
        <w:rPr>
          <w:rStyle w:val="apple-converted-space"/>
          <w:rFonts w:cstheme="minorHAnsi"/>
          <w:color w:val="000000"/>
          <w:sz w:val="22"/>
          <w:szCs w:val="22"/>
        </w:rPr>
        <w:t> </w:t>
      </w:r>
      <w:r w:rsidRPr="00501B99">
        <w:rPr>
          <w:rFonts w:cstheme="minorHAnsi"/>
          <w:b/>
          <w:bCs/>
          <w:color w:val="000000"/>
          <w:sz w:val="22"/>
          <w:szCs w:val="22"/>
        </w:rPr>
        <w:t>M-value Ridge regresijos modelis</w:t>
      </w:r>
      <w:r w:rsidRPr="00501B99">
        <w:rPr>
          <w:rFonts w:cstheme="minorHAnsi"/>
          <w:color w:val="000000"/>
          <w:sz w:val="22"/>
          <w:szCs w:val="22"/>
        </w:rPr>
        <w:t>.</w:t>
      </w:r>
      <w:r w:rsidRPr="00501B99">
        <w:rPr>
          <w:rStyle w:val="apple-converted-space"/>
          <w:rFonts w:cstheme="minorHAnsi"/>
          <w:color w:val="000000"/>
          <w:sz w:val="22"/>
          <w:szCs w:val="22"/>
        </w:rPr>
        <w:t> </w:t>
      </w:r>
      <w:r w:rsidRPr="00501B99">
        <w:rPr>
          <w:rFonts w:cstheme="minorHAnsi"/>
          <w:color w:val="000000"/>
          <w:sz w:val="22"/>
          <w:szCs w:val="22"/>
        </w:rPr>
        <w:t>Pasirinkus optimalius hiperparametrus (</w:t>
      </w:r>
      <w:r w:rsidRPr="00501B99">
        <w:rPr>
          <w:rStyle w:val="HTMLCode"/>
          <w:rFonts w:asciiTheme="minorHAnsi" w:eastAsiaTheme="minorHAnsi" w:hAnsiTheme="minorHAnsi" w:cstheme="minorHAnsi"/>
          <w:i/>
          <w:iCs/>
          <w:color w:val="000000"/>
          <w:sz w:val="22"/>
          <w:szCs w:val="22"/>
          <w:u w:val="single"/>
        </w:rPr>
        <w:t>top_n = 10000</w:t>
      </w:r>
      <w:r w:rsidRPr="00501B99">
        <w:rPr>
          <w:rFonts w:cstheme="minorHAnsi"/>
          <w:i/>
          <w:iCs/>
          <w:color w:val="000000"/>
          <w:sz w:val="22"/>
          <w:szCs w:val="22"/>
          <w:u w:val="single"/>
        </w:rPr>
        <w:t>,</w:t>
      </w:r>
      <w:r w:rsidRPr="00501B99">
        <w:rPr>
          <w:rStyle w:val="HTMLCode"/>
          <w:rFonts w:asciiTheme="minorHAnsi" w:eastAsiaTheme="minorHAnsi" w:hAnsiTheme="minorHAnsi" w:cstheme="minorHAnsi"/>
          <w:i/>
          <w:iCs/>
          <w:color w:val="000000"/>
          <w:sz w:val="22"/>
          <w:szCs w:val="22"/>
          <w:u w:val="single"/>
        </w:rPr>
        <w:t>lambda = 100</w:t>
      </w:r>
      <w:r w:rsidRPr="00501B99">
        <w:rPr>
          <w:rFonts w:cstheme="minorHAnsi"/>
          <w:color w:val="000000"/>
          <w:sz w:val="22"/>
          <w:szCs w:val="22"/>
        </w:rPr>
        <w:t>),</w:t>
      </w:r>
      <w:r w:rsidRPr="00501B99">
        <w:rPr>
          <w:rStyle w:val="apple-converted-space"/>
          <w:rFonts w:cstheme="minorHAnsi"/>
          <w:color w:val="000000"/>
          <w:sz w:val="22"/>
          <w:szCs w:val="22"/>
        </w:rPr>
        <w:t> </w:t>
      </w:r>
      <w:r w:rsidRPr="00501B99">
        <w:rPr>
          <w:rFonts w:cstheme="minorHAnsi"/>
          <w:color w:val="000000"/>
          <w:sz w:val="22"/>
          <w:szCs w:val="22"/>
        </w:rPr>
        <w:t>modelis pasiekė itin aukštą tikslumą:</w:t>
      </w:r>
      <w:r w:rsidRPr="00501B99">
        <w:rPr>
          <w:rStyle w:val="apple-converted-space"/>
          <w:rFonts w:cstheme="minorHAnsi"/>
          <w:color w:val="000000"/>
          <w:sz w:val="22"/>
          <w:szCs w:val="22"/>
        </w:rPr>
        <w:t> </w:t>
      </w:r>
      <w:r w:rsidRPr="00501B99">
        <w:rPr>
          <w:rFonts w:cstheme="minorHAnsi"/>
          <w:color w:val="000000"/>
          <w:sz w:val="22"/>
          <w:szCs w:val="22"/>
        </w:rPr>
        <w:t>vidutinė absoliutinė paklaida (MAE) siekė tik</w:t>
      </w:r>
      <w:r w:rsidRPr="00501B99">
        <w:rPr>
          <w:rStyle w:val="apple-converted-space"/>
          <w:rFonts w:cstheme="minorHAnsi"/>
          <w:color w:val="000000"/>
          <w:sz w:val="22"/>
          <w:szCs w:val="22"/>
        </w:rPr>
        <w:t> </w:t>
      </w:r>
      <w:r w:rsidRPr="00501B99">
        <w:rPr>
          <w:rFonts w:cstheme="minorHAnsi"/>
          <w:b/>
          <w:bCs/>
          <w:color w:val="000000"/>
          <w:sz w:val="22"/>
          <w:szCs w:val="22"/>
        </w:rPr>
        <w:t>2.60 metų</w:t>
      </w:r>
      <w:r w:rsidRPr="00501B99">
        <w:rPr>
          <w:rFonts w:cstheme="minorHAnsi"/>
          <w:color w:val="000000"/>
          <w:sz w:val="22"/>
          <w:szCs w:val="22"/>
        </w:rPr>
        <w:t>,</w:t>
      </w:r>
      <w:r w:rsidRPr="00501B99">
        <w:rPr>
          <w:rStyle w:val="apple-converted-space"/>
          <w:rFonts w:cstheme="minorHAnsi"/>
          <w:color w:val="000000"/>
          <w:sz w:val="22"/>
          <w:szCs w:val="22"/>
        </w:rPr>
        <w:t> </w:t>
      </w:r>
      <w:r w:rsidRPr="00501B99">
        <w:rPr>
          <w:rFonts w:cstheme="minorHAnsi"/>
          <w:color w:val="000000"/>
          <w:sz w:val="22"/>
          <w:szCs w:val="22"/>
        </w:rPr>
        <w:t>o ryšys tarp prognozuoto ir tikro amžiaus buvo beveik idealus (</w:t>
      </w:r>
      <w:r w:rsidRPr="00501B99">
        <w:rPr>
          <w:rStyle w:val="math-inline"/>
          <w:rFonts w:cstheme="minorHAnsi"/>
          <w:color w:val="000000"/>
          <w:sz w:val="22"/>
          <w:szCs w:val="22"/>
        </w:rPr>
        <w:t>r = 0.986</w:t>
      </w:r>
      <w:r w:rsidRPr="00501B99">
        <w:rPr>
          <w:rFonts w:cstheme="minorHAnsi"/>
          <w:color w:val="000000"/>
          <w:sz w:val="22"/>
          <w:szCs w:val="22"/>
        </w:rPr>
        <w:t>).</w:t>
      </w:r>
    </w:p>
    <w:p w14:paraId="283E3F02" w14:textId="77777777" w:rsidR="000F36E6" w:rsidRDefault="000F36E6" w:rsidP="00501B99">
      <w:pPr>
        <w:rPr>
          <w:rFonts w:cstheme="minorHAnsi"/>
          <w:color w:val="000000"/>
          <w:sz w:val="22"/>
          <w:szCs w:val="22"/>
        </w:rPr>
      </w:pPr>
    </w:p>
    <w:p w14:paraId="7411CD49" w14:textId="10953D0A" w:rsidR="000F36E6" w:rsidRPr="000F36E6" w:rsidRDefault="000F36E6" w:rsidP="00501B99">
      <w:pPr>
        <w:rPr>
          <w:rFonts w:asciiTheme="majorHAnsi" w:hAnsiTheme="majorHAnsi" w:cstheme="majorHAnsi"/>
          <w:color w:val="000000"/>
          <w:sz w:val="21"/>
          <w:szCs w:val="21"/>
        </w:rPr>
      </w:pPr>
      <w:r w:rsidRPr="000F36E6">
        <w:rPr>
          <w:rFonts w:asciiTheme="majorHAnsi" w:hAnsiTheme="majorHAnsi" w:cstheme="majorHAnsi"/>
          <w:b/>
          <w:bCs/>
          <w:color w:val="000000"/>
        </w:rPr>
        <w:t>Paveikslas 1.</w:t>
      </w:r>
      <w:r w:rsidRPr="000F36E6">
        <w:rPr>
          <w:rFonts w:asciiTheme="majorHAnsi" w:hAnsiTheme="majorHAnsi" w:cstheme="majorHAnsi"/>
          <w:color w:val="000000"/>
        </w:rPr>
        <w:t xml:space="preserve"> Tikro ir prognozuoto amžiaus palyginimas naudojant M-value Ridge modelį.</w:t>
      </w:r>
    </w:p>
    <w:p w14:paraId="44870486" w14:textId="1137A1A4" w:rsidR="000F36E6" w:rsidRDefault="000F36E6" w:rsidP="00501B99">
      <w:pPr>
        <w:rPr>
          <w:rFonts w:cstheme="minorHAnsi"/>
          <w:color w:val="000000"/>
          <w:sz w:val="22"/>
          <w:szCs w:val="22"/>
        </w:rPr>
      </w:pPr>
      <w:r>
        <w:rPr>
          <w:rFonts w:cstheme="minorHAnsi"/>
          <w:noProof/>
          <w:color w:val="000000"/>
          <w:sz w:val="22"/>
          <w:szCs w:val="22"/>
        </w:rPr>
        <w:lastRenderedPageBreak/>
        <w:drawing>
          <wp:inline distT="0" distB="0" distL="0" distR="0" wp14:anchorId="1E40D776" wp14:editId="051BF38D">
            <wp:extent cx="5715000" cy="4445000"/>
            <wp:effectExtent l="0" t="0" r="0" b="0"/>
            <wp:docPr id="136103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33970" name="Picture 1361033970"/>
                    <pic:cNvPicPr/>
                  </pic:nvPicPr>
                  <pic:blipFill>
                    <a:blip r:embed="rId5">
                      <a:extLst>
                        <a:ext uri="{28A0092B-C50C-407E-A947-70E740481C1C}">
                          <a14:useLocalDpi xmlns:a14="http://schemas.microsoft.com/office/drawing/2010/main" val="0"/>
                        </a:ext>
                      </a:extLst>
                    </a:blip>
                    <a:stretch>
                      <a:fillRect/>
                    </a:stretch>
                  </pic:blipFill>
                  <pic:spPr>
                    <a:xfrm>
                      <a:off x="0" y="0"/>
                      <a:ext cx="5715000" cy="4445000"/>
                    </a:xfrm>
                    <a:prstGeom prst="rect">
                      <a:avLst/>
                    </a:prstGeom>
                  </pic:spPr>
                </pic:pic>
              </a:graphicData>
            </a:graphic>
          </wp:inline>
        </w:drawing>
      </w:r>
    </w:p>
    <w:p w14:paraId="682ED2EC" w14:textId="77FF5736" w:rsidR="000F36E6" w:rsidRPr="000F36E6" w:rsidRDefault="000F36E6" w:rsidP="00501B99">
      <w:pPr>
        <w:rPr>
          <w:rFonts w:cstheme="minorHAnsi"/>
          <w:color w:val="000000"/>
          <w:sz w:val="20"/>
          <w:szCs w:val="20"/>
        </w:rPr>
      </w:pPr>
      <w:r w:rsidRPr="000F36E6">
        <w:rPr>
          <w:rFonts w:cstheme="minorHAnsi"/>
          <w:color w:val="000000"/>
          <w:sz w:val="22"/>
          <w:szCs w:val="22"/>
        </w:rPr>
        <w:t>Matyti stiprus ryšys tarp prognozuoto ir tikrojo amžiaus. Dauguma taškų išsidėstę arti diagonalės, todėl modelis pasižymi aukštu tikslumu. Šis modelis pasiekė geriausius rezultatus iš visų tirtų metodų (MAE = 2.60 metų, RMSE = 3.87 metų, koreliacija = 0.986).</w:t>
      </w:r>
    </w:p>
    <w:p w14:paraId="72CB534E" w14:textId="77777777" w:rsidR="000F36E6" w:rsidRDefault="000F36E6" w:rsidP="00501B99">
      <w:pPr>
        <w:rPr>
          <w:rFonts w:eastAsia="Times New Roman" w:cstheme="minorHAnsi"/>
          <w:kern w:val="0"/>
          <w:sz w:val="22"/>
          <w:szCs w:val="22"/>
          <w:lang w:eastAsia="en-GB"/>
          <w14:ligatures w14:val="none"/>
        </w:rPr>
      </w:pPr>
    </w:p>
    <w:p w14:paraId="698EFE85" w14:textId="2EFED1BB" w:rsidR="003D2F63" w:rsidRPr="00501B99" w:rsidRDefault="003D2F63" w:rsidP="00501B99">
      <w:pPr>
        <w:rPr>
          <w:rFonts w:eastAsia="Times New Roman" w:cstheme="minorHAnsi"/>
          <w:kern w:val="0"/>
          <w:sz w:val="22"/>
          <w:szCs w:val="22"/>
          <w:lang w:eastAsia="en-GB"/>
          <w14:ligatures w14:val="none"/>
        </w:rPr>
      </w:pPr>
      <w:r w:rsidRPr="00501B99">
        <w:rPr>
          <w:rFonts w:eastAsia="Times New Roman" w:cstheme="minorHAnsi"/>
          <w:color w:val="000000"/>
          <w:kern w:val="0"/>
          <w:sz w:val="22"/>
          <w:szCs w:val="22"/>
          <w:lang w:eastAsia="en-GB"/>
          <w14:ligatures w14:val="none"/>
        </w:rPr>
        <w:t>Modeliai buvo vertinami naudojant:</w:t>
      </w:r>
    </w:p>
    <w:p w14:paraId="2DC71D98" w14:textId="77777777" w:rsidR="003D2F63" w:rsidRPr="00501B99" w:rsidRDefault="003D2F63" w:rsidP="003D2F63">
      <w:pPr>
        <w:numPr>
          <w:ilvl w:val="0"/>
          <w:numId w:val="4"/>
        </w:numPr>
        <w:spacing w:before="100" w:beforeAutospacing="1" w:after="100" w:afterAutospacing="1"/>
        <w:rPr>
          <w:rFonts w:eastAsia="Times New Roman" w:cstheme="minorHAnsi"/>
          <w:color w:val="000000"/>
          <w:kern w:val="0"/>
          <w:sz w:val="22"/>
          <w:szCs w:val="22"/>
          <w:lang w:eastAsia="en-GB"/>
          <w14:ligatures w14:val="none"/>
        </w:rPr>
      </w:pPr>
      <w:r w:rsidRPr="00501B99">
        <w:rPr>
          <w:rFonts w:eastAsia="Times New Roman" w:cstheme="minorHAnsi"/>
          <w:color w:val="000000"/>
          <w:kern w:val="0"/>
          <w:sz w:val="22"/>
          <w:szCs w:val="22"/>
          <w:lang w:eastAsia="en-GB"/>
          <w14:ligatures w14:val="none"/>
        </w:rPr>
        <w:t>MAE (Mean Absolute Error)</w:t>
      </w:r>
    </w:p>
    <w:p w14:paraId="4AC70B90" w14:textId="77777777" w:rsidR="003D2F63" w:rsidRPr="00501B99" w:rsidRDefault="003D2F63" w:rsidP="003D2F63">
      <w:pPr>
        <w:numPr>
          <w:ilvl w:val="0"/>
          <w:numId w:val="4"/>
        </w:numPr>
        <w:spacing w:before="100" w:beforeAutospacing="1" w:after="100" w:afterAutospacing="1"/>
        <w:rPr>
          <w:rFonts w:eastAsia="Times New Roman" w:cstheme="minorHAnsi"/>
          <w:color w:val="000000"/>
          <w:kern w:val="0"/>
          <w:sz w:val="22"/>
          <w:szCs w:val="22"/>
          <w:lang w:eastAsia="en-GB"/>
          <w14:ligatures w14:val="none"/>
        </w:rPr>
      </w:pPr>
      <w:r w:rsidRPr="00501B99">
        <w:rPr>
          <w:rFonts w:eastAsia="Times New Roman" w:cstheme="minorHAnsi"/>
          <w:color w:val="000000"/>
          <w:kern w:val="0"/>
          <w:sz w:val="22"/>
          <w:szCs w:val="22"/>
          <w:lang w:eastAsia="en-GB"/>
          <w14:ligatures w14:val="none"/>
        </w:rPr>
        <w:t>RMSE (Root Mean Squared Error)</w:t>
      </w:r>
    </w:p>
    <w:p w14:paraId="5057D135" w14:textId="60EB24E0" w:rsidR="002619EA" w:rsidRDefault="003D2F63" w:rsidP="002619EA">
      <w:pPr>
        <w:numPr>
          <w:ilvl w:val="0"/>
          <w:numId w:val="4"/>
        </w:numPr>
        <w:spacing w:before="100" w:beforeAutospacing="1" w:after="100" w:afterAutospacing="1"/>
        <w:rPr>
          <w:rFonts w:eastAsia="Times New Roman" w:cstheme="minorHAnsi"/>
          <w:color w:val="000000"/>
          <w:kern w:val="0"/>
          <w:sz w:val="22"/>
          <w:szCs w:val="22"/>
          <w:lang w:eastAsia="en-GB"/>
          <w14:ligatures w14:val="none"/>
        </w:rPr>
      </w:pPr>
      <w:r w:rsidRPr="00501B99">
        <w:rPr>
          <w:rFonts w:eastAsia="Times New Roman" w:cstheme="minorHAnsi"/>
          <w:color w:val="000000"/>
          <w:kern w:val="0"/>
          <w:sz w:val="22"/>
          <w:szCs w:val="22"/>
          <w:lang w:eastAsia="en-GB"/>
          <w14:ligatures w14:val="none"/>
        </w:rPr>
        <w:t>Pearson koreliaciją</w:t>
      </w:r>
    </w:p>
    <w:p w14:paraId="6EA24028" w14:textId="77777777" w:rsidR="002619EA" w:rsidRPr="002619EA" w:rsidRDefault="002619EA" w:rsidP="002619EA">
      <w:pPr>
        <w:spacing w:before="100" w:beforeAutospacing="1" w:after="100" w:afterAutospacing="1"/>
        <w:rPr>
          <w:rFonts w:eastAsia="Times New Roman" w:cstheme="minorHAnsi"/>
          <w:color w:val="000000"/>
          <w:kern w:val="0"/>
          <w:sz w:val="22"/>
          <w:szCs w:val="22"/>
          <w:lang w:eastAsia="en-GB"/>
          <w14:ligatures w14:val="none"/>
        </w:rPr>
      </w:pPr>
    </w:p>
    <w:p w14:paraId="5A592B58" w14:textId="3C2E1E93" w:rsidR="002619EA" w:rsidRDefault="002619EA" w:rsidP="002619EA">
      <w:pPr>
        <w:spacing w:before="100" w:beforeAutospacing="1" w:after="100" w:afterAutospacing="1"/>
        <w:rPr>
          <w:rFonts w:asciiTheme="majorHAnsi" w:eastAsia="Times New Roman" w:hAnsiTheme="majorHAnsi" w:cstheme="majorHAnsi"/>
          <w:b/>
          <w:bCs/>
          <w:color w:val="1F1F1F"/>
          <w:kern w:val="0"/>
          <w:sz w:val="28"/>
          <w:szCs w:val="28"/>
          <w:lang w:eastAsia="en-GB"/>
          <w14:ligatures w14:val="none"/>
        </w:rPr>
      </w:pPr>
      <w:r w:rsidRPr="002619EA">
        <w:rPr>
          <w:rFonts w:asciiTheme="majorHAnsi" w:eastAsia="Times New Roman" w:hAnsiTheme="majorHAnsi" w:cstheme="majorHAnsi"/>
          <w:b/>
          <w:bCs/>
          <w:color w:val="1F1F1F"/>
          <w:kern w:val="0"/>
          <w:sz w:val="28"/>
          <w:szCs w:val="28"/>
          <w:lang w:eastAsia="en-GB"/>
          <w14:ligatures w14:val="none"/>
        </w:rPr>
        <w:t>5. Specifinė analizė: Quinn kohorta (Kūdikystė)</w:t>
      </w:r>
    </w:p>
    <w:p w14:paraId="676D43E1" w14:textId="362F644F" w:rsidR="002619EA" w:rsidRPr="002619EA" w:rsidRDefault="002619EA" w:rsidP="002619EA">
      <w:pPr>
        <w:spacing w:before="100" w:beforeAutospacing="1" w:after="100" w:afterAutospacing="1"/>
        <w:rPr>
          <w:rFonts w:eastAsia="Times New Roman" w:cstheme="minorHAnsi"/>
          <w:color w:val="000000"/>
          <w:kern w:val="0"/>
          <w:sz w:val="22"/>
          <w:szCs w:val="22"/>
          <w:lang w:eastAsia="en-GB"/>
          <w14:ligatures w14:val="none"/>
        </w:rPr>
      </w:pPr>
      <w:r w:rsidRPr="002619EA">
        <w:rPr>
          <w:rFonts w:eastAsia="Times New Roman" w:cstheme="minorHAnsi"/>
          <w:color w:val="000000"/>
          <w:kern w:val="0"/>
          <w:sz w:val="22"/>
          <w:szCs w:val="22"/>
          <w:lang w:eastAsia="en-GB"/>
          <w14:ligatures w14:val="none"/>
        </w:rPr>
        <w:t>Ypatingo dėmesio verti rezultatai, gauti analizuojant ankstyvo amžiaus kohortą (Quinn kohorta, 0–3 metų tiriamieji). Šioje kohortoje geriausias modelis (</w:t>
      </w:r>
      <w:r w:rsidRPr="002619EA">
        <w:rPr>
          <w:rFonts w:eastAsia="Times New Roman" w:cstheme="minorHAnsi"/>
          <w:b/>
          <w:bCs/>
          <w:color w:val="000000"/>
          <w:kern w:val="0"/>
          <w:sz w:val="22"/>
          <w:szCs w:val="22"/>
          <w:lang w:eastAsia="en-GB"/>
          <w14:ligatures w14:val="none"/>
        </w:rPr>
        <w:t>M-value Ridge</w:t>
      </w:r>
      <w:r w:rsidRPr="002619EA">
        <w:rPr>
          <w:rFonts w:eastAsia="Times New Roman" w:cstheme="minorHAnsi"/>
          <w:color w:val="000000"/>
          <w:kern w:val="0"/>
          <w:sz w:val="22"/>
          <w:szCs w:val="22"/>
          <w:lang w:eastAsia="en-GB"/>
          <w14:ligatures w14:val="none"/>
        </w:rPr>
        <w:t>) pasiekė vos </w:t>
      </w:r>
      <w:r w:rsidRPr="002619EA">
        <w:rPr>
          <w:rFonts w:eastAsia="Times New Roman" w:cstheme="minorHAnsi"/>
          <w:b/>
          <w:bCs/>
          <w:color w:val="000000"/>
          <w:kern w:val="0"/>
          <w:sz w:val="22"/>
          <w:szCs w:val="22"/>
          <w:lang w:eastAsia="en-GB"/>
          <w14:ligatures w14:val="none"/>
        </w:rPr>
        <w:t>0,155 metų</w:t>
      </w:r>
      <w:r w:rsidRPr="002619EA">
        <w:rPr>
          <w:rFonts w:eastAsia="Times New Roman" w:cstheme="minorHAnsi"/>
          <w:color w:val="000000"/>
          <w:kern w:val="0"/>
          <w:sz w:val="22"/>
          <w:szCs w:val="22"/>
          <w:lang w:eastAsia="en-GB"/>
          <w14:ligatures w14:val="none"/>
        </w:rPr>
        <w:t> vidutinę absoliučią paklaidą (MAE), kas atitinka maždaug </w:t>
      </w:r>
      <w:r w:rsidRPr="002619EA">
        <w:rPr>
          <w:rFonts w:eastAsia="Times New Roman" w:cstheme="minorHAnsi"/>
          <w:b/>
          <w:bCs/>
          <w:color w:val="000000"/>
          <w:kern w:val="0"/>
          <w:sz w:val="22"/>
          <w:szCs w:val="22"/>
          <w:lang w:eastAsia="en-GB"/>
          <w14:ligatures w14:val="none"/>
        </w:rPr>
        <w:t>57 dienų</w:t>
      </w:r>
      <w:r w:rsidRPr="002619EA">
        <w:rPr>
          <w:rFonts w:eastAsia="Times New Roman" w:cstheme="minorHAnsi"/>
          <w:color w:val="000000"/>
          <w:kern w:val="0"/>
          <w:sz w:val="22"/>
          <w:szCs w:val="22"/>
          <w:lang w:eastAsia="en-GB"/>
          <w14:ligatures w14:val="none"/>
        </w:rPr>
        <w:t> paklaidą. Tokie rezultatai rodo, kad ankstyvoje vaikystėje vykstantys epigenetiniai pokyčiai yra labai stipriai susiję su chronologiniu amžiumi ir gali būti tiksliai aptinkami naudojant DNR metilinimo duomenis.</w:t>
      </w:r>
      <w:r>
        <w:rPr>
          <w:rFonts w:eastAsia="Times New Roman" w:cstheme="minorHAnsi"/>
          <w:color w:val="000000"/>
          <w:kern w:val="0"/>
          <w:sz w:val="22"/>
          <w:szCs w:val="22"/>
          <w:lang w:eastAsia="en-GB"/>
          <w14:ligatures w14:val="none"/>
        </w:rPr>
        <w:t xml:space="preserve"> </w:t>
      </w:r>
      <w:r w:rsidRPr="002619EA">
        <w:rPr>
          <w:rFonts w:eastAsia="Times New Roman" w:cstheme="minorHAnsi"/>
          <w:color w:val="000000"/>
          <w:kern w:val="0"/>
          <w:sz w:val="22"/>
          <w:szCs w:val="22"/>
          <w:lang w:eastAsia="en-GB"/>
          <w14:ligatures w14:val="none"/>
        </w:rPr>
        <w:t>Taip pat pastebėta, kad visi modeliai šioje kohortoje pasiekė itin aukštą tikslumą. Mažiausią paklaidą demonstravo kNN modelis (MAE = 0,148), tačiau bendrame testiniame rinkinyje geriausius rezultatus vis tiek pasiekė M-value Ridge modelis. Tai rodo, kad nors kai kurie metodai gali būti labai tikslūs siaurose amžiaus grupėse, universalesni modeliai geriau apibendrina skirtingų kohortų duomenis.</w:t>
      </w:r>
    </w:p>
    <w:p w14:paraId="65D1EB33" w14:textId="129B76A9" w:rsidR="002619EA" w:rsidRPr="002619EA" w:rsidRDefault="002619EA" w:rsidP="002619EA">
      <w:pPr>
        <w:spacing w:before="100" w:beforeAutospacing="1" w:after="100" w:afterAutospacing="1"/>
        <w:outlineLvl w:val="2"/>
        <w:rPr>
          <w:rFonts w:asciiTheme="majorHAnsi" w:eastAsia="Times New Roman" w:hAnsiTheme="majorHAnsi" w:cstheme="majorHAnsi"/>
          <w:color w:val="000000"/>
          <w:kern w:val="0"/>
          <w:lang w:eastAsia="en-GB"/>
          <w14:ligatures w14:val="none"/>
        </w:rPr>
      </w:pPr>
      <w:r w:rsidRPr="002619EA">
        <w:rPr>
          <w:rFonts w:asciiTheme="majorHAnsi" w:eastAsia="Times New Roman" w:hAnsiTheme="majorHAnsi" w:cstheme="majorHAnsi"/>
          <w:b/>
          <w:bCs/>
          <w:color w:val="000000"/>
          <w:kern w:val="0"/>
          <w:lang w:eastAsia="en-GB"/>
          <w14:ligatures w14:val="none"/>
        </w:rPr>
        <w:t xml:space="preserve">Lentelė </w:t>
      </w:r>
      <w:r w:rsidRPr="002619EA">
        <w:rPr>
          <w:rFonts w:asciiTheme="majorHAnsi" w:eastAsia="Times New Roman" w:hAnsiTheme="majorHAnsi" w:cstheme="majorHAnsi"/>
          <w:b/>
          <w:bCs/>
          <w:color w:val="000000"/>
          <w:kern w:val="0"/>
          <w:lang w:eastAsia="en-GB"/>
          <w14:ligatures w14:val="none"/>
        </w:rPr>
        <w:t>3</w:t>
      </w:r>
      <w:r w:rsidRPr="002619EA">
        <w:rPr>
          <w:rFonts w:asciiTheme="majorHAnsi" w:eastAsia="Times New Roman" w:hAnsiTheme="majorHAnsi" w:cstheme="majorHAnsi"/>
          <w:color w:val="000000"/>
          <w:kern w:val="0"/>
          <w:lang w:eastAsia="en-GB"/>
          <w14:ligatures w14:val="none"/>
        </w:rPr>
        <w:t xml:space="preserve"> Modelių tikslumas Quinn kohortoje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635"/>
      </w:tblGrid>
      <w:tr w:rsidR="002619EA" w:rsidRPr="002619EA" w14:paraId="66655D96" w14:textId="77777777">
        <w:trPr>
          <w:tblHeader/>
          <w:tblCellSpacing w:w="15" w:type="dxa"/>
        </w:trPr>
        <w:tc>
          <w:tcPr>
            <w:tcW w:w="0" w:type="auto"/>
            <w:vAlign w:val="center"/>
            <w:hideMark/>
          </w:tcPr>
          <w:p w14:paraId="4138E2E9" w14:textId="77777777" w:rsidR="002619EA" w:rsidRPr="002619EA" w:rsidRDefault="002619EA" w:rsidP="002619EA">
            <w:pPr>
              <w:jc w:val="center"/>
              <w:rPr>
                <w:rFonts w:ascii="Times New Roman" w:eastAsia="Times New Roman" w:hAnsi="Times New Roman" w:cs="Times New Roman"/>
                <w:b/>
                <w:bCs/>
                <w:kern w:val="0"/>
                <w:lang w:eastAsia="en-GB"/>
                <w14:ligatures w14:val="none"/>
              </w:rPr>
            </w:pPr>
            <w:r w:rsidRPr="002619EA">
              <w:rPr>
                <w:rFonts w:ascii="Times New Roman" w:eastAsia="Times New Roman" w:hAnsi="Times New Roman" w:cs="Times New Roman"/>
                <w:b/>
                <w:bCs/>
                <w:kern w:val="0"/>
                <w:lang w:eastAsia="en-GB"/>
                <w14:ligatures w14:val="none"/>
              </w:rPr>
              <w:lastRenderedPageBreak/>
              <w:t>Modelis</w:t>
            </w:r>
          </w:p>
        </w:tc>
        <w:tc>
          <w:tcPr>
            <w:tcW w:w="0" w:type="auto"/>
            <w:vAlign w:val="center"/>
            <w:hideMark/>
          </w:tcPr>
          <w:p w14:paraId="3E65E740" w14:textId="77777777" w:rsidR="002619EA" w:rsidRPr="002619EA" w:rsidRDefault="002619EA" w:rsidP="002619EA">
            <w:pPr>
              <w:jc w:val="center"/>
              <w:rPr>
                <w:rFonts w:ascii="Times New Roman" w:eastAsia="Times New Roman" w:hAnsi="Times New Roman" w:cs="Times New Roman"/>
                <w:b/>
                <w:bCs/>
                <w:kern w:val="0"/>
                <w:lang w:eastAsia="en-GB"/>
                <w14:ligatures w14:val="none"/>
              </w:rPr>
            </w:pPr>
            <w:r w:rsidRPr="002619EA">
              <w:rPr>
                <w:rFonts w:ascii="Times New Roman" w:eastAsia="Times New Roman" w:hAnsi="Times New Roman" w:cs="Times New Roman"/>
                <w:b/>
                <w:bCs/>
                <w:kern w:val="0"/>
                <w:lang w:eastAsia="en-GB"/>
                <w14:ligatures w14:val="none"/>
              </w:rPr>
              <w:t>MAE</w:t>
            </w:r>
          </w:p>
        </w:tc>
      </w:tr>
      <w:tr w:rsidR="002619EA" w:rsidRPr="002619EA" w14:paraId="4305441B" w14:textId="77777777">
        <w:trPr>
          <w:tblCellSpacing w:w="15" w:type="dxa"/>
        </w:trPr>
        <w:tc>
          <w:tcPr>
            <w:tcW w:w="0" w:type="auto"/>
            <w:vAlign w:val="center"/>
            <w:hideMark/>
          </w:tcPr>
          <w:p w14:paraId="59C42D71"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kNN + PCA</w:t>
            </w:r>
          </w:p>
        </w:tc>
        <w:tc>
          <w:tcPr>
            <w:tcW w:w="0" w:type="auto"/>
            <w:vAlign w:val="center"/>
            <w:hideMark/>
          </w:tcPr>
          <w:p w14:paraId="56101BBF"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b/>
                <w:bCs/>
                <w:kern w:val="0"/>
                <w:lang w:eastAsia="en-GB"/>
                <w14:ligatures w14:val="none"/>
              </w:rPr>
              <w:t>0.148</w:t>
            </w:r>
          </w:p>
        </w:tc>
      </w:tr>
      <w:tr w:rsidR="002619EA" w:rsidRPr="002619EA" w14:paraId="501DB995" w14:textId="77777777">
        <w:trPr>
          <w:tblCellSpacing w:w="15" w:type="dxa"/>
        </w:trPr>
        <w:tc>
          <w:tcPr>
            <w:tcW w:w="0" w:type="auto"/>
            <w:vAlign w:val="center"/>
            <w:hideMark/>
          </w:tcPr>
          <w:p w14:paraId="3C1291DB"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M-value Ridge</w:t>
            </w:r>
          </w:p>
        </w:tc>
        <w:tc>
          <w:tcPr>
            <w:tcW w:w="0" w:type="auto"/>
            <w:vAlign w:val="center"/>
            <w:hideMark/>
          </w:tcPr>
          <w:p w14:paraId="2F72546E"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0.155</w:t>
            </w:r>
          </w:p>
        </w:tc>
      </w:tr>
      <w:tr w:rsidR="002619EA" w:rsidRPr="002619EA" w14:paraId="4EB2ED6A" w14:textId="77777777">
        <w:trPr>
          <w:tblCellSpacing w:w="15" w:type="dxa"/>
        </w:trPr>
        <w:tc>
          <w:tcPr>
            <w:tcW w:w="0" w:type="auto"/>
            <w:vAlign w:val="center"/>
            <w:hideMark/>
          </w:tcPr>
          <w:p w14:paraId="1F6556C2"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PCA Linear</w:t>
            </w:r>
          </w:p>
        </w:tc>
        <w:tc>
          <w:tcPr>
            <w:tcW w:w="0" w:type="auto"/>
            <w:vAlign w:val="center"/>
            <w:hideMark/>
          </w:tcPr>
          <w:p w14:paraId="0DBE0AD9"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0.224</w:t>
            </w:r>
          </w:p>
        </w:tc>
      </w:tr>
      <w:tr w:rsidR="002619EA" w:rsidRPr="002619EA" w14:paraId="065A1ADA" w14:textId="77777777">
        <w:trPr>
          <w:tblCellSpacing w:w="15" w:type="dxa"/>
        </w:trPr>
        <w:tc>
          <w:tcPr>
            <w:tcW w:w="0" w:type="auto"/>
            <w:vAlign w:val="center"/>
            <w:hideMark/>
          </w:tcPr>
          <w:p w14:paraId="414AD965"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Random Forest</w:t>
            </w:r>
          </w:p>
        </w:tc>
        <w:tc>
          <w:tcPr>
            <w:tcW w:w="0" w:type="auto"/>
            <w:vAlign w:val="center"/>
            <w:hideMark/>
          </w:tcPr>
          <w:p w14:paraId="6F82C205"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0.246</w:t>
            </w:r>
          </w:p>
        </w:tc>
      </w:tr>
      <w:tr w:rsidR="002619EA" w:rsidRPr="002619EA" w14:paraId="13A75B3E" w14:textId="77777777">
        <w:trPr>
          <w:tblCellSpacing w:w="15" w:type="dxa"/>
        </w:trPr>
        <w:tc>
          <w:tcPr>
            <w:tcW w:w="0" w:type="auto"/>
            <w:vAlign w:val="center"/>
            <w:hideMark/>
          </w:tcPr>
          <w:p w14:paraId="49C4D95D"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Signature Kernel</w:t>
            </w:r>
          </w:p>
        </w:tc>
        <w:tc>
          <w:tcPr>
            <w:tcW w:w="0" w:type="auto"/>
            <w:vAlign w:val="center"/>
            <w:hideMark/>
          </w:tcPr>
          <w:p w14:paraId="1FD39928"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0.819</w:t>
            </w:r>
          </w:p>
        </w:tc>
      </w:tr>
      <w:tr w:rsidR="002619EA" w:rsidRPr="002619EA" w14:paraId="010DC564" w14:textId="77777777">
        <w:trPr>
          <w:tblCellSpacing w:w="15" w:type="dxa"/>
        </w:trPr>
        <w:tc>
          <w:tcPr>
            <w:tcW w:w="0" w:type="auto"/>
            <w:vAlign w:val="center"/>
            <w:hideMark/>
          </w:tcPr>
          <w:p w14:paraId="1664067C"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PCA Linear be Quinn</w:t>
            </w:r>
          </w:p>
        </w:tc>
        <w:tc>
          <w:tcPr>
            <w:tcW w:w="0" w:type="auto"/>
            <w:vAlign w:val="center"/>
            <w:hideMark/>
          </w:tcPr>
          <w:p w14:paraId="165975ED" w14:textId="77777777" w:rsidR="002619EA" w:rsidRPr="002619EA" w:rsidRDefault="002619EA" w:rsidP="002619EA">
            <w:pPr>
              <w:rPr>
                <w:rFonts w:ascii="Times New Roman" w:eastAsia="Times New Roman" w:hAnsi="Times New Roman" w:cs="Times New Roman"/>
                <w:kern w:val="0"/>
                <w:lang w:eastAsia="en-GB"/>
                <w14:ligatures w14:val="none"/>
              </w:rPr>
            </w:pPr>
            <w:r w:rsidRPr="002619EA">
              <w:rPr>
                <w:rFonts w:ascii="Times New Roman" w:eastAsia="Times New Roman" w:hAnsi="Times New Roman" w:cs="Times New Roman"/>
                <w:kern w:val="0"/>
                <w:lang w:eastAsia="en-GB"/>
                <w14:ligatures w14:val="none"/>
              </w:rPr>
              <w:t>5.573</w:t>
            </w:r>
          </w:p>
        </w:tc>
      </w:tr>
    </w:tbl>
    <w:p w14:paraId="1887DF93" w14:textId="6A0BC2E9" w:rsidR="002619EA" w:rsidRPr="000116EF" w:rsidRDefault="000116EF" w:rsidP="002619EA">
      <w:pPr>
        <w:spacing w:before="100" w:beforeAutospacing="1" w:after="100" w:afterAutospacing="1"/>
        <w:rPr>
          <w:rFonts w:eastAsia="Times New Roman" w:cstheme="minorHAnsi"/>
          <w:color w:val="000000"/>
          <w:kern w:val="0"/>
          <w:sz w:val="18"/>
          <w:szCs w:val="18"/>
          <w:lang w:eastAsia="en-GB"/>
          <w14:ligatures w14:val="none"/>
        </w:rPr>
      </w:pPr>
      <w:r w:rsidRPr="000116EF">
        <w:rPr>
          <w:rFonts w:cstheme="minorHAnsi"/>
          <w:color w:val="000000"/>
        </w:rPr>
        <w:t>Quinn kohorta buvo analizuojama atskirai, nes joje tiriamųjų amžius buvo 0–3 metai. Šioje kohortoje mažiausią paklaidą pasiekė kNN + PCA modelis (MAE = 0,148), o M-value Ridge modelio paklaida buvo labai panaši (MAE = 0,155). Vis dėlto bendrame testiniame rinkinyje geriausias modelis buvo M-value Ridge, todėl jis laikomas pagrindiniu galutiniu epigenetiniu laikrodžiu</w:t>
      </w:r>
      <w:r>
        <w:rPr>
          <w:rFonts w:cstheme="minorHAnsi"/>
          <w:color w:val="000000"/>
        </w:rPr>
        <w:t xml:space="preserve">. </w:t>
      </w:r>
    </w:p>
    <w:p w14:paraId="4AF8C0E3" w14:textId="77777777" w:rsidR="002619EA" w:rsidRPr="00501B99" w:rsidRDefault="002619EA" w:rsidP="003D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kern w:val="0"/>
          <w:sz w:val="22"/>
          <w:szCs w:val="22"/>
          <w:lang w:eastAsia="en-GB"/>
          <w14:ligatures w14:val="none"/>
        </w:rPr>
      </w:pPr>
    </w:p>
    <w:p w14:paraId="167CF314" w14:textId="6990D34A" w:rsidR="000116EF" w:rsidRPr="000116EF" w:rsidRDefault="000116EF" w:rsidP="000116EF">
      <w:pPr>
        <w:spacing w:before="100" w:beforeAutospacing="1" w:after="100" w:afterAutospacing="1"/>
        <w:outlineLvl w:val="1"/>
        <w:rPr>
          <w:rFonts w:asciiTheme="majorHAnsi" w:eastAsia="Times New Roman" w:hAnsiTheme="majorHAnsi" w:cstheme="majorHAnsi"/>
          <w:b/>
          <w:bCs/>
          <w:color w:val="000000"/>
          <w:kern w:val="0"/>
          <w:sz w:val="28"/>
          <w:szCs w:val="28"/>
          <w:lang w:eastAsia="en-GB"/>
          <w14:ligatures w14:val="none"/>
        </w:rPr>
      </w:pPr>
      <w:r w:rsidRPr="000116EF">
        <w:rPr>
          <w:rFonts w:asciiTheme="majorHAnsi" w:eastAsia="Times New Roman" w:hAnsiTheme="majorHAnsi" w:cstheme="majorHAnsi"/>
          <w:b/>
          <w:bCs/>
          <w:color w:val="000000"/>
          <w:kern w:val="0"/>
          <w:sz w:val="28"/>
          <w:szCs w:val="28"/>
          <w:lang w:eastAsia="en-GB"/>
          <w14:ligatures w14:val="none"/>
        </w:rPr>
        <w:t>6</w:t>
      </w:r>
      <w:r w:rsidRPr="000116EF">
        <w:rPr>
          <w:rFonts w:asciiTheme="majorHAnsi" w:eastAsia="Times New Roman" w:hAnsiTheme="majorHAnsi" w:cstheme="majorHAnsi"/>
          <w:b/>
          <w:bCs/>
          <w:color w:val="000000"/>
          <w:kern w:val="0"/>
          <w:sz w:val="28"/>
          <w:szCs w:val="28"/>
          <w:lang w:eastAsia="en-GB"/>
          <w14:ligatures w14:val="none"/>
        </w:rPr>
        <w:t>. Išvados</w:t>
      </w:r>
    </w:p>
    <w:p w14:paraId="5285F758" w14:textId="77777777" w:rsidR="000116EF" w:rsidRPr="000116EF" w:rsidRDefault="000116EF" w:rsidP="000116EF">
      <w:pPr>
        <w:numPr>
          <w:ilvl w:val="0"/>
          <w:numId w:val="12"/>
        </w:numPr>
        <w:spacing w:before="100" w:beforeAutospacing="1" w:after="100" w:afterAutospacing="1"/>
        <w:rPr>
          <w:rFonts w:eastAsia="Times New Roman" w:cstheme="minorHAnsi"/>
          <w:color w:val="000000"/>
          <w:kern w:val="0"/>
          <w:sz w:val="22"/>
          <w:szCs w:val="22"/>
          <w:lang w:eastAsia="en-GB"/>
          <w14:ligatures w14:val="none"/>
        </w:rPr>
      </w:pPr>
      <w:r w:rsidRPr="000116EF">
        <w:rPr>
          <w:rFonts w:eastAsia="Times New Roman" w:cstheme="minorHAnsi"/>
          <w:b/>
          <w:bCs/>
          <w:color w:val="000000"/>
          <w:kern w:val="0"/>
          <w:sz w:val="22"/>
          <w:szCs w:val="22"/>
          <w:lang w:eastAsia="en-GB"/>
          <w14:ligatures w14:val="none"/>
        </w:rPr>
        <w:t>Duomenų homogeniškumas:</w:t>
      </w:r>
      <w:r w:rsidRPr="000116EF">
        <w:rPr>
          <w:rFonts w:eastAsia="Times New Roman" w:cstheme="minorHAnsi"/>
          <w:color w:val="000000"/>
          <w:kern w:val="0"/>
          <w:sz w:val="22"/>
          <w:szCs w:val="22"/>
          <w:lang w:eastAsia="en-GB"/>
          <w14:ligatures w14:val="none"/>
        </w:rPr>
        <w:t> Sėkmingai atlikus 7 nepriklausomų kohortų kokybės kontrolę ir atranką, suformuotas vieningas 2235 mėginių ir 369 543 bendrų CpG lokusų duomenų rinkinys, tinkamas universalaus epigenetinio laikrodžio modeliavimui.</w:t>
      </w:r>
    </w:p>
    <w:p w14:paraId="786EC3D5" w14:textId="77777777" w:rsidR="000116EF" w:rsidRPr="000116EF" w:rsidRDefault="000116EF" w:rsidP="000116EF">
      <w:pPr>
        <w:numPr>
          <w:ilvl w:val="0"/>
          <w:numId w:val="12"/>
        </w:numPr>
        <w:spacing w:before="100" w:beforeAutospacing="1" w:after="100" w:afterAutospacing="1"/>
        <w:rPr>
          <w:rFonts w:eastAsia="Times New Roman" w:cstheme="minorHAnsi"/>
          <w:color w:val="000000"/>
          <w:kern w:val="0"/>
          <w:sz w:val="22"/>
          <w:szCs w:val="22"/>
          <w:lang w:eastAsia="en-GB"/>
          <w14:ligatures w14:val="none"/>
        </w:rPr>
      </w:pPr>
      <w:r w:rsidRPr="000116EF">
        <w:rPr>
          <w:rFonts w:eastAsia="Times New Roman" w:cstheme="minorHAnsi"/>
          <w:b/>
          <w:bCs/>
          <w:color w:val="000000"/>
          <w:kern w:val="0"/>
          <w:sz w:val="22"/>
          <w:szCs w:val="22"/>
          <w:lang w:eastAsia="en-GB"/>
          <w14:ligatures w14:val="none"/>
        </w:rPr>
        <w:t>Koreliacinė analizė:</w:t>
      </w:r>
      <w:r w:rsidRPr="000116EF">
        <w:rPr>
          <w:rFonts w:eastAsia="Times New Roman" w:cstheme="minorHAnsi"/>
          <w:color w:val="000000"/>
          <w:kern w:val="0"/>
          <w:sz w:val="22"/>
          <w:szCs w:val="22"/>
          <w:lang w:eastAsia="en-GB"/>
          <w14:ligatures w14:val="none"/>
        </w:rPr>
        <w:t> Nustatyta, kad specifiniai genomo lokusai pasižymi itin stipria tiesine koreliacija su chronologiniu amžiumi (stipriausia teigiama koreliacija , neigiama ), kas įrodo DNR metilinimo stabilumą ir tinkamumą amžiaus prognozei.</w:t>
      </w:r>
    </w:p>
    <w:p w14:paraId="4C5BAC8D" w14:textId="0B495D98" w:rsidR="000116EF" w:rsidRPr="000116EF" w:rsidRDefault="000116EF" w:rsidP="000116EF">
      <w:pPr>
        <w:numPr>
          <w:ilvl w:val="0"/>
          <w:numId w:val="12"/>
        </w:numPr>
        <w:spacing w:before="100" w:beforeAutospacing="1" w:after="100" w:afterAutospacing="1"/>
        <w:rPr>
          <w:rFonts w:eastAsia="Times New Roman" w:cstheme="minorHAnsi"/>
          <w:color w:val="000000"/>
          <w:kern w:val="0"/>
          <w:sz w:val="22"/>
          <w:szCs w:val="22"/>
          <w:lang w:eastAsia="en-GB"/>
          <w14:ligatures w14:val="none"/>
        </w:rPr>
      </w:pPr>
      <w:r w:rsidRPr="000116EF">
        <w:rPr>
          <w:rFonts w:eastAsia="Times New Roman" w:cstheme="minorHAnsi"/>
          <w:b/>
          <w:bCs/>
          <w:color w:val="000000"/>
          <w:kern w:val="0"/>
          <w:sz w:val="22"/>
          <w:szCs w:val="22"/>
          <w:lang w:eastAsia="en-GB"/>
          <w14:ligatures w14:val="none"/>
        </w:rPr>
        <w:t>Optimalus algoritmas:</w:t>
      </w:r>
      <w:r w:rsidRPr="000116EF">
        <w:rPr>
          <w:rFonts w:eastAsia="Times New Roman" w:cstheme="minorHAnsi"/>
          <w:color w:val="000000"/>
          <w:kern w:val="0"/>
          <w:sz w:val="22"/>
          <w:szCs w:val="22"/>
          <w:lang w:eastAsia="en-GB"/>
          <w14:ligatures w14:val="none"/>
        </w:rPr>
        <w:t> Išbandius šešis mašininio mokymosi algoritmus, tiksliausiu pripažintas </w:t>
      </w:r>
      <w:r w:rsidRPr="000116EF">
        <w:rPr>
          <w:rFonts w:eastAsia="Times New Roman" w:cstheme="minorHAnsi"/>
          <w:b/>
          <w:bCs/>
          <w:color w:val="000000"/>
          <w:kern w:val="0"/>
          <w:sz w:val="22"/>
          <w:szCs w:val="22"/>
          <w:lang w:eastAsia="en-GB"/>
          <w14:ligatures w14:val="none"/>
        </w:rPr>
        <w:t>M-value Ridge regresijos</w:t>
      </w:r>
      <w:r w:rsidRPr="000116EF">
        <w:rPr>
          <w:rFonts w:eastAsia="Times New Roman" w:cstheme="minorHAnsi"/>
          <w:color w:val="000000"/>
          <w:kern w:val="0"/>
          <w:sz w:val="22"/>
          <w:szCs w:val="22"/>
          <w:lang w:eastAsia="en-GB"/>
          <w14:ligatures w14:val="none"/>
        </w:rPr>
        <w:t> modelis testinėje aibėje pasiekęs vidutinę absoliučią paklaidą (</w:t>
      </w:r>
      <w:r w:rsidR="007E0764">
        <w:rPr>
          <w:rFonts w:eastAsia="Times New Roman" w:cstheme="minorHAnsi"/>
          <w:color w:val="000000"/>
          <w:kern w:val="0"/>
          <w:sz w:val="22"/>
          <w:szCs w:val="22"/>
          <w:lang w:eastAsia="en-GB"/>
          <w14:ligatures w14:val="none"/>
        </w:rPr>
        <w:t>MAE</w:t>
      </w:r>
      <w:r w:rsidRPr="000116EF">
        <w:rPr>
          <w:rFonts w:eastAsia="Times New Roman" w:cstheme="minorHAnsi"/>
          <w:color w:val="000000"/>
          <w:kern w:val="0"/>
          <w:sz w:val="22"/>
          <w:szCs w:val="22"/>
          <w:lang w:eastAsia="en-GB"/>
          <w14:ligatures w14:val="none"/>
        </w:rPr>
        <w:t>) </w:t>
      </w:r>
      <w:r w:rsidRPr="000116EF">
        <w:rPr>
          <w:rFonts w:eastAsia="Times New Roman" w:cstheme="minorHAnsi"/>
          <w:b/>
          <w:bCs/>
          <w:color w:val="000000"/>
          <w:kern w:val="0"/>
          <w:sz w:val="22"/>
          <w:szCs w:val="22"/>
          <w:lang w:eastAsia="en-GB"/>
          <w14:ligatures w14:val="none"/>
        </w:rPr>
        <w:t>2.603 metų</w:t>
      </w:r>
      <w:r w:rsidRPr="000116EF">
        <w:rPr>
          <w:rFonts w:eastAsia="Times New Roman" w:cstheme="minorHAnsi"/>
          <w:color w:val="000000"/>
          <w:kern w:val="0"/>
          <w:sz w:val="22"/>
          <w:szCs w:val="22"/>
          <w:lang w:eastAsia="en-GB"/>
          <w14:ligatures w14:val="none"/>
        </w:rPr>
        <w:t> ir </w:t>
      </w:r>
      <w:r w:rsidRPr="000116EF">
        <w:rPr>
          <w:rFonts w:eastAsia="Times New Roman" w:cstheme="minorHAnsi"/>
          <w:b/>
          <w:bCs/>
          <w:color w:val="000000"/>
          <w:kern w:val="0"/>
          <w:sz w:val="22"/>
          <w:szCs w:val="22"/>
          <w:lang w:eastAsia="en-GB"/>
          <w14:ligatures w14:val="none"/>
        </w:rPr>
        <w:t>0.986</w:t>
      </w:r>
      <w:r w:rsidRPr="000116EF">
        <w:rPr>
          <w:rFonts w:eastAsia="Times New Roman" w:cstheme="minorHAnsi"/>
          <w:color w:val="000000"/>
          <w:kern w:val="0"/>
          <w:sz w:val="22"/>
          <w:szCs w:val="22"/>
          <w:lang w:eastAsia="en-GB"/>
          <w14:ligatures w14:val="none"/>
        </w:rPr>
        <w:t> Pearson koreliaciją su tikruoju amžiumi.</w:t>
      </w:r>
    </w:p>
    <w:p w14:paraId="73F785E5" w14:textId="77777777" w:rsidR="000116EF" w:rsidRPr="000116EF" w:rsidRDefault="000116EF" w:rsidP="000116EF">
      <w:pPr>
        <w:numPr>
          <w:ilvl w:val="0"/>
          <w:numId w:val="12"/>
        </w:numPr>
        <w:spacing w:before="100" w:beforeAutospacing="1" w:after="100" w:afterAutospacing="1"/>
        <w:rPr>
          <w:rFonts w:eastAsia="Times New Roman" w:cstheme="minorHAnsi"/>
          <w:color w:val="000000"/>
          <w:kern w:val="0"/>
          <w:sz w:val="22"/>
          <w:szCs w:val="22"/>
          <w:lang w:eastAsia="en-GB"/>
          <w14:ligatures w14:val="none"/>
        </w:rPr>
      </w:pPr>
      <w:r w:rsidRPr="000116EF">
        <w:rPr>
          <w:rFonts w:eastAsia="Times New Roman" w:cstheme="minorHAnsi"/>
          <w:b/>
          <w:bCs/>
          <w:color w:val="000000"/>
          <w:kern w:val="0"/>
          <w:sz w:val="22"/>
          <w:szCs w:val="22"/>
          <w:lang w:eastAsia="en-GB"/>
          <w14:ligatures w14:val="none"/>
        </w:rPr>
        <w:t>Ankstyvojo amžiaus modeliavimas:</w:t>
      </w:r>
      <w:r w:rsidRPr="000116EF">
        <w:rPr>
          <w:rFonts w:eastAsia="Times New Roman" w:cstheme="minorHAnsi"/>
          <w:color w:val="000000"/>
          <w:kern w:val="0"/>
          <w:sz w:val="22"/>
          <w:szCs w:val="22"/>
          <w:lang w:eastAsia="en-GB"/>
          <w14:ligatures w14:val="none"/>
        </w:rPr>
        <w:t> Sukurtas epigenetinis laikrodis pademonstravo išskirtinį preciziškumą labai jaunų individų (0–3 m.) Quinn kohortoje, kur prognozės paklaida siekė vos </w:t>
      </w:r>
      <w:r w:rsidRPr="000116EF">
        <w:rPr>
          <w:rFonts w:eastAsia="Times New Roman" w:cstheme="minorHAnsi"/>
          <w:b/>
          <w:bCs/>
          <w:color w:val="000000"/>
          <w:kern w:val="0"/>
          <w:sz w:val="22"/>
          <w:szCs w:val="22"/>
          <w:lang w:eastAsia="en-GB"/>
          <w14:ligatures w14:val="none"/>
        </w:rPr>
        <w:t>0.155 metų (~57 dienas)</w:t>
      </w:r>
      <w:r w:rsidRPr="000116EF">
        <w:rPr>
          <w:rFonts w:eastAsia="Times New Roman" w:cstheme="minorHAnsi"/>
          <w:color w:val="000000"/>
          <w:kern w:val="0"/>
          <w:sz w:val="22"/>
          <w:szCs w:val="22"/>
          <w:lang w:eastAsia="en-GB"/>
          <w14:ligatures w14:val="none"/>
        </w:rPr>
        <w:t>. Tai patvirtina intensyvią ir dėsningą epigenetinę dinamiką ankstyvojo vystymosi stadijoje.</w:t>
      </w:r>
    </w:p>
    <w:p w14:paraId="79D898E0" w14:textId="77777777" w:rsidR="000116EF" w:rsidRPr="000116EF" w:rsidRDefault="000116EF" w:rsidP="000116EF">
      <w:pPr>
        <w:numPr>
          <w:ilvl w:val="0"/>
          <w:numId w:val="12"/>
        </w:numPr>
        <w:spacing w:before="100" w:beforeAutospacing="1" w:after="100" w:afterAutospacing="1"/>
        <w:rPr>
          <w:rFonts w:eastAsia="Times New Roman" w:cstheme="minorHAnsi"/>
          <w:color w:val="000000"/>
          <w:kern w:val="0"/>
          <w:sz w:val="22"/>
          <w:szCs w:val="22"/>
          <w:lang w:eastAsia="en-GB"/>
          <w14:ligatures w14:val="none"/>
        </w:rPr>
      </w:pPr>
      <w:r w:rsidRPr="000116EF">
        <w:rPr>
          <w:rFonts w:eastAsia="Times New Roman" w:cstheme="minorHAnsi"/>
          <w:b/>
          <w:bCs/>
          <w:color w:val="000000"/>
          <w:kern w:val="0"/>
          <w:sz w:val="22"/>
          <w:szCs w:val="22"/>
          <w:lang w:eastAsia="en-GB"/>
          <w14:ligatures w14:val="none"/>
        </w:rPr>
        <w:t>Praktinis pritaikomumas:</w:t>
      </w:r>
      <w:r w:rsidRPr="000116EF">
        <w:rPr>
          <w:rFonts w:eastAsia="Times New Roman" w:cstheme="minorHAnsi"/>
          <w:color w:val="000000"/>
          <w:kern w:val="0"/>
          <w:sz w:val="22"/>
          <w:szCs w:val="22"/>
          <w:lang w:eastAsia="en-GB"/>
          <w14:ligatures w14:val="none"/>
        </w:rPr>
        <w:t> Gauti rezultatai rodo aukštą modelio patikimumą ir universalumą. Sukurtas įrankis gali būti taikomas teismo medicinoje (amžiaus nustatymui iš kraujo pėdsakų) bei biomedicininiuose tyrimuose, analizuojant biologinio amžiaus nuokrypius (epigenetinį pagreitį) dėl patologijų ar išorinių aplinkos veiksnių.</w:t>
      </w:r>
    </w:p>
    <w:p w14:paraId="1A8733A6" w14:textId="77777777" w:rsidR="000A0878" w:rsidRPr="003D2F63" w:rsidRDefault="000A0878">
      <w:pPr>
        <w:rPr>
          <w:rFonts w:asciiTheme="majorHAnsi" w:hAnsiTheme="majorHAnsi" w:cstheme="majorHAnsi"/>
          <w:sz w:val="22"/>
          <w:szCs w:val="22"/>
        </w:rPr>
      </w:pPr>
    </w:p>
    <w:sectPr w:rsidR="000A0878" w:rsidRPr="003D2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75F"/>
    <w:multiLevelType w:val="multilevel"/>
    <w:tmpl w:val="4EA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D31E0"/>
    <w:multiLevelType w:val="hybridMultilevel"/>
    <w:tmpl w:val="446E9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2C106B"/>
    <w:multiLevelType w:val="multilevel"/>
    <w:tmpl w:val="F6F81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C7F58"/>
    <w:multiLevelType w:val="hybridMultilevel"/>
    <w:tmpl w:val="20EC614E"/>
    <w:lvl w:ilvl="0" w:tplc="E7147C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6354B9"/>
    <w:multiLevelType w:val="multilevel"/>
    <w:tmpl w:val="0AA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A43D1"/>
    <w:multiLevelType w:val="hybridMultilevel"/>
    <w:tmpl w:val="3DBE0C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D577AF"/>
    <w:multiLevelType w:val="multilevel"/>
    <w:tmpl w:val="7832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A6082"/>
    <w:multiLevelType w:val="multilevel"/>
    <w:tmpl w:val="39C6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9F49CC"/>
    <w:multiLevelType w:val="multilevel"/>
    <w:tmpl w:val="C3D4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FD3B8E"/>
    <w:multiLevelType w:val="multilevel"/>
    <w:tmpl w:val="D0D2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40169"/>
    <w:multiLevelType w:val="hybridMultilevel"/>
    <w:tmpl w:val="D7FC75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A6672FD"/>
    <w:multiLevelType w:val="hybridMultilevel"/>
    <w:tmpl w:val="FE5A88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6234715">
    <w:abstractNumId w:val="0"/>
  </w:num>
  <w:num w:numId="2" w16cid:durableId="597182318">
    <w:abstractNumId w:val="6"/>
  </w:num>
  <w:num w:numId="3" w16cid:durableId="613367613">
    <w:abstractNumId w:val="7"/>
  </w:num>
  <w:num w:numId="4" w16cid:durableId="472605174">
    <w:abstractNumId w:val="9"/>
  </w:num>
  <w:num w:numId="5" w16cid:durableId="1087654264">
    <w:abstractNumId w:val="4"/>
  </w:num>
  <w:num w:numId="6" w16cid:durableId="2104955973">
    <w:abstractNumId w:val="2"/>
  </w:num>
  <w:num w:numId="7" w16cid:durableId="1690983330">
    <w:abstractNumId w:val="5"/>
  </w:num>
  <w:num w:numId="8" w16cid:durableId="1571237032">
    <w:abstractNumId w:val="10"/>
  </w:num>
  <w:num w:numId="9" w16cid:durableId="578561497">
    <w:abstractNumId w:val="1"/>
  </w:num>
  <w:num w:numId="10" w16cid:durableId="863399048">
    <w:abstractNumId w:val="11"/>
  </w:num>
  <w:num w:numId="11" w16cid:durableId="830632793">
    <w:abstractNumId w:val="3"/>
  </w:num>
  <w:num w:numId="12" w16cid:durableId="17524326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F63"/>
    <w:rsid w:val="000116EF"/>
    <w:rsid w:val="000A0878"/>
    <w:rsid w:val="000D0287"/>
    <w:rsid w:val="000F36E6"/>
    <w:rsid w:val="002619EA"/>
    <w:rsid w:val="003D2F63"/>
    <w:rsid w:val="004A6C02"/>
    <w:rsid w:val="00501B99"/>
    <w:rsid w:val="006E6198"/>
    <w:rsid w:val="007E0764"/>
    <w:rsid w:val="00807FA8"/>
    <w:rsid w:val="00A37A2C"/>
    <w:rsid w:val="00AD220E"/>
  </w:rsids>
  <m:mathPr>
    <m:mathFont m:val="Cambria Math"/>
    <m:brkBin m:val="before"/>
    <m:brkBinSub m:val="--"/>
    <m:smallFrac m:val="0"/>
    <m:dispDef/>
    <m:lMargin m:val="0"/>
    <m:rMargin m:val="0"/>
    <m:defJc m:val="centerGroup"/>
    <m:wrapIndent m:val="1440"/>
    <m:intLim m:val="subSup"/>
    <m:naryLim m:val="undOvr"/>
  </m:mathPr>
  <w:themeFontLang w:val="en-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08335"/>
  <w15:chartTrackingRefBased/>
  <w15:docId w15:val="{8C20E496-4672-6C42-8513-1DA19C403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F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2F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2F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F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F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F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F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F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F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F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2F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2F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F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F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F63"/>
    <w:rPr>
      <w:rFonts w:eastAsiaTheme="majorEastAsia" w:cstheme="majorBidi"/>
      <w:color w:val="272727" w:themeColor="text1" w:themeTint="D8"/>
    </w:rPr>
  </w:style>
  <w:style w:type="paragraph" w:styleId="Title">
    <w:name w:val="Title"/>
    <w:basedOn w:val="Normal"/>
    <w:next w:val="Normal"/>
    <w:link w:val="TitleChar"/>
    <w:uiPriority w:val="10"/>
    <w:qFormat/>
    <w:rsid w:val="003D2F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F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F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2F63"/>
    <w:rPr>
      <w:i/>
      <w:iCs/>
      <w:color w:val="404040" w:themeColor="text1" w:themeTint="BF"/>
    </w:rPr>
  </w:style>
  <w:style w:type="paragraph" w:styleId="ListParagraph">
    <w:name w:val="List Paragraph"/>
    <w:basedOn w:val="Normal"/>
    <w:uiPriority w:val="34"/>
    <w:qFormat/>
    <w:rsid w:val="003D2F63"/>
    <w:pPr>
      <w:ind w:left="720"/>
      <w:contextualSpacing/>
    </w:pPr>
  </w:style>
  <w:style w:type="character" w:styleId="IntenseEmphasis">
    <w:name w:val="Intense Emphasis"/>
    <w:basedOn w:val="DefaultParagraphFont"/>
    <w:uiPriority w:val="21"/>
    <w:qFormat/>
    <w:rsid w:val="003D2F63"/>
    <w:rPr>
      <w:i/>
      <w:iCs/>
      <w:color w:val="2F5496" w:themeColor="accent1" w:themeShade="BF"/>
    </w:rPr>
  </w:style>
  <w:style w:type="paragraph" w:styleId="IntenseQuote">
    <w:name w:val="Intense Quote"/>
    <w:basedOn w:val="Normal"/>
    <w:next w:val="Normal"/>
    <w:link w:val="IntenseQuoteChar"/>
    <w:uiPriority w:val="30"/>
    <w:qFormat/>
    <w:rsid w:val="003D2F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F63"/>
    <w:rPr>
      <w:i/>
      <w:iCs/>
      <w:color w:val="2F5496" w:themeColor="accent1" w:themeShade="BF"/>
    </w:rPr>
  </w:style>
  <w:style w:type="character" w:styleId="IntenseReference">
    <w:name w:val="Intense Reference"/>
    <w:basedOn w:val="DefaultParagraphFont"/>
    <w:uiPriority w:val="32"/>
    <w:qFormat/>
    <w:rsid w:val="003D2F63"/>
    <w:rPr>
      <w:b/>
      <w:bCs/>
      <w:smallCaps/>
      <w:color w:val="2F5496" w:themeColor="accent1" w:themeShade="BF"/>
      <w:spacing w:val="5"/>
    </w:rPr>
  </w:style>
  <w:style w:type="paragraph" w:styleId="NormalWeb">
    <w:name w:val="Normal (Web)"/>
    <w:basedOn w:val="Normal"/>
    <w:uiPriority w:val="99"/>
    <w:unhideWhenUsed/>
    <w:rsid w:val="003D2F6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3D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D2F63"/>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3D2F63"/>
    <w:rPr>
      <w:rFonts w:ascii="Courier New" w:eastAsia="Times New Roman" w:hAnsi="Courier New" w:cs="Courier New"/>
      <w:sz w:val="20"/>
      <w:szCs w:val="20"/>
    </w:rPr>
  </w:style>
  <w:style w:type="character" w:customStyle="1" w:styleId="m">
    <w:name w:val="ͼm"/>
    <w:basedOn w:val="DefaultParagraphFont"/>
    <w:rsid w:val="003D2F63"/>
  </w:style>
  <w:style w:type="character" w:styleId="Strong">
    <w:name w:val="Strong"/>
    <w:basedOn w:val="DefaultParagraphFont"/>
    <w:uiPriority w:val="22"/>
    <w:qFormat/>
    <w:rsid w:val="003D2F63"/>
    <w:rPr>
      <w:b/>
      <w:bCs/>
    </w:rPr>
  </w:style>
  <w:style w:type="character" w:customStyle="1" w:styleId="apple-converted-space">
    <w:name w:val="apple-converted-space"/>
    <w:basedOn w:val="DefaultParagraphFont"/>
    <w:rsid w:val="003D2F63"/>
  </w:style>
  <w:style w:type="character" w:customStyle="1" w:styleId="math-inline">
    <w:name w:val="math-inline"/>
    <w:basedOn w:val="DefaultParagraphFont"/>
    <w:rsid w:val="003D2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Volčak</dc:creator>
  <cp:keywords/>
  <dc:description/>
  <cp:lastModifiedBy>Daniel Volčak</cp:lastModifiedBy>
  <cp:revision>2</cp:revision>
  <cp:lastPrinted>2026-06-03T17:15:00Z</cp:lastPrinted>
  <dcterms:created xsi:type="dcterms:W3CDTF">2026-06-03T16:21:00Z</dcterms:created>
  <dcterms:modified xsi:type="dcterms:W3CDTF">2026-06-04T21:47:00Z</dcterms:modified>
</cp:coreProperties>
</file>