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>Differential methylation summary by cell type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86"/>
        <w:gridCol w:w="1938"/>
        <w:gridCol w:w="2651"/>
        <w:gridCol w:w="6042"/>
        <w:gridCol w:w="7298"/>
        <w:gridCol w:w="2724"/>
        <w:gridCol w:w="6571"/>
      </w:tblGrid>
      <w:tr>
        <w:trPr>
          <w:trHeight w:val="607" w:hRule="auto"/>
          <w:tblHeader/>
        </w:trPr>
        <w:tc>
          <w:tcPr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Cell type</w:t>
            </w:r>
          </w:p>
        </w:tc>
        <w:tc>
          <w:tcPr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CpGs with raw P &lt; 0.05</w:t>
            </w:r>
          </w:p>
        </w:tc>
        <w:tc>
          <w:tcPr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CpGs with absolute median methylation difference of &gt;10%</w:t>
            </w:r>
          </w:p>
        </w:tc>
        <w:tc>
          <w:tcPr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CpGs with absolute median methylation difference between 1% and 10%</w:t>
            </w:r>
          </w:p>
        </w:tc>
        <w:tc>
          <w:tcPr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CpGs with FDR q &lt; 0.05</w:t>
            </w:r>
          </w:p>
        </w:tc>
        <w:tc>
          <w:tcPr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CpGs with FDR q &lt; 0.05 and median methylation difference &gt;1%</w:t>
            </w:r>
          </w:p>
        </w:tc>
      </w:tr>
      <w:tr>
        <w:trPr>
          <w:trHeight w:val="611" w:hRule="auto"/>
        </w:trPr>
        <w:tc>
          <w:tcPr>
            <w:vMerge w:val="restart"/>
            <w:tcBorders>
              <w:bottom w:val="single" w:sz="6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CD14+ monocytes</w:t>
            </w:r>
          </w:p>
        </w:tc>
        <w:tc>
          <w:tcPr>
            <w:tcBorders>
              <w:bottom w:val="none" w:sz="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Hypomethylated</w:t>
            </w:r>
          </w:p>
        </w:tc>
        <w:tc>
          <w:tcPr>
            <w:tcBorders>
              <w:bottom w:val="none" w:sz="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5,799</w:t>
            </w:r>
          </w:p>
        </w:tc>
        <w:tc>
          <w:tcPr>
            <w:tcBorders>
              <w:bottom w:val="none" w:sz="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</w:t>
            </w:r>
          </w:p>
        </w:tc>
        <w:tc>
          <w:tcPr>
            <w:tcBorders>
              <w:bottom w:val="none" w:sz="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3,089</w:t>
            </w:r>
          </w:p>
        </w:tc>
        <w:tc>
          <w:tcPr>
            <w:tcBorders>
              <w:bottom w:val="none" w:sz="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1" w:hRule="auto"/>
        </w:trPr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Hypermethylated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33,922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9,038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1" w:hRule="auto"/>
        </w:trPr>
        <w:tc>
          <w:tcPr>
            <w:vMerge w:val="restart"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CD19+ B cells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Hypomethylated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9,098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1" w:hRule="auto"/>
        </w:trPr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Hypermethylated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43,421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14,414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1" w:hRule="auto"/>
        </w:trPr>
        <w:tc>
          <w:tcPr>
            <w:vMerge w:val="restart"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CD4+ memory T cells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Hypomethylated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3,036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1,992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1" w:hRule="auto"/>
        </w:trPr>
        <w:tc>
          <w:tcPr>
            <w:vMerge/>
            <w:tcBorders>
              <w:bottom w:val="single" w:sz="6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Hypermethylated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26,744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9,202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11" w:hRule="auto"/>
        </w:trPr>
        <w:tc>
          <w:tcPr>
            <w:vMerge w:val="restart"/>
            <w:tcBorders>
              <w:bottom w:val="single" w:sz="1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CD4+ naive T cells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Hypomethylated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26,098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2,006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10,040</w:t>
            </w:r>
          </w:p>
        </w:tc>
        <w:tc>
          <w:tcPr>
            <w:tcBorders>
              <w:bottom w:val="none" w:sz="0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496</w:t>
            </w:r>
          </w:p>
        </w:tc>
      </w:tr>
      <w:tr>
        <w:trPr>
          <w:trHeight w:val="611" w:hRule="auto"/>
        </w:trPr>
        <w:tc>
          <w:tcPr>
            <w:vMerge/>
            <w:tcBorders>
              <w:bottom w:val="single" w:sz="10" w:space="0" w:color="000000"/>
              <w:top w:val="single" w:sz="1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Hypermethylated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146,578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108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60,819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74,376</w:t>
            </w:r>
          </w:p>
        </w:tc>
        <w:tc>
          <w:tcPr>
            <w:tcBorders>
              <w:bottom w:val="single" w:sz="1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33,725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vartotojas</cp:lastModifiedBy>
  <cp:revision>9</cp:revision>
  <dcterms:created xsi:type="dcterms:W3CDTF">2017-02-28T11:18:00Z</dcterms:created>
  <dcterms:modified xsi:type="dcterms:W3CDTF">2026-03-29T23:47:10Z</dcterms:modified>
  <cp:category/>
</cp:coreProperties>
</file>