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1: II-VI quantum dots as a tool to manipulate individual spins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Diluted Magnetic Semiconductor nano-structure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Band structure of CdTe/ZnTe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Exchange interaction in a confined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Energy levels of a single spin in a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Effect of strain on the emission of a DMS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Lattice mismatch modelisation: the Bir-Pikus Hamiltonian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II.2 – Strain-induced fine structure </w:t>
      </w:r>
      <w:r>
        <w:rPr>
          <w:rFonts w:ascii="Times New Roman" w:hAnsi="Times New Roman"/>
          <w:sz w:val="24"/>
          <w:szCs w:val="24"/>
          <w:u w:val="none"/>
        </w:rPr>
        <w:t>of</w:t>
      </w:r>
      <w:r>
        <w:rPr>
          <w:rFonts w:ascii="Times New Roman" w:hAnsi="Times New Roman"/>
          <w:sz w:val="24"/>
          <w:szCs w:val="24"/>
          <w:u w:val="none"/>
        </w:rPr>
        <w:t xml:space="preserve"> a magnetic atom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II.3 – Jahn-Teller effect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2 : Coherent dynamics of Mn-doped positively charged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Mn in a II-VI positively charged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Energy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I.2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Time evolution of a Mn spin coupled to carrier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 induced coherent dynamics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III.3 – Polarization rate evolution under magnetic field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3 : Cr embedded in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Cr structure in CdTe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Growth of Cr-doped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Tsukuba machine specification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II.2 – Strained dots: CdTe/ZnTe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II.3 – Charged controlled SK dots samples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II.4 – Strain-free dots: CdTe/CdMgTe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4 : Optical study of Cr-doped </w:t>
      </w:r>
      <w:r>
        <w:rPr>
          <w:rFonts w:ascii="Times New Roman" w:hAnsi="Times New Roman"/>
          <w:sz w:val="24"/>
          <w:szCs w:val="24"/>
          <w:u w:val="single"/>
        </w:rPr>
        <w:t>Cd</w:t>
      </w:r>
      <w:r>
        <w:rPr>
          <w:rFonts w:ascii="Times New Roman" w:hAnsi="Times New Roman"/>
          <w:sz w:val="24"/>
          <w:szCs w:val="24"/>
          <w:u w:val="single"/>
        </w:rPr>
        <w:t>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