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1: </w:t>
      </w:r>
      <w:r>
        <w:rPr>
          <w:rFonts w:ascii="Times New Roman" w:hAnsi="Times New Roman"/>
          <w:sz w:val="24"/>
          <w:szCs w:val="24"/>
          <w:u w:val="single"/>
        </w:rPr>
        <w:t>II-VI quantum dots as a tool to manipulate individual spins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2 : Coherent dynamics of Mn-doped </w:t>
      </w:r>
      <w:r>
        <w:rPr>
          <w:rFonts w:ascii="Times New Roman" w:hAnsi="Times New Roman"/>
          <w:sz w:val="24"/>
          <w:szCs w:val="24"/>
          <w:u w:val="single"/>
        </w:rPr>
        <w:t>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3 : </w:t>
      </w:r>
      <w:r>
        <w:rPr>
          <w:rFonts w:ascii="Times New Roman" w:hAnsi="Times New Roman"/>
          <w:sz w:val="24"/>
          <w:szCs w:val="24"/>
          <w:u w:val="single"/>
        </w:rPr>
        <w:t>Cr embedded in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4 : Optical study of Cr-doped ZnTe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