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F2A" w:rsidRPr="00DB03D0" w:rsidRDefault="004F0F2A" w:rsidP="004F0F2A">
      <w:pPr>
        <w:rPr>
          <w:rFonts w:ascii="Times New Roman" w:eastAsia="標楷體" w:hAnsi="Times New Roman"/>
        </w:rPr>
      </w:pPr>
    </w:p>
    <w:p w:rsidR="004F0F2A" w:rsidRPr="0065225F" w:rsidRDefault="004F0F2A" w:rsidP="004F0F2A">
      <w:pPr>
        <w:rPr>
          <w:rFonts w:ascii="Times New Roman" w:eastAsia="標楷體" w:hAnsi="Times New Roman"/>
          <w:bdr w:val="single" w:sz="4" w:space="0" w:color="auto"/>
        </w:rPr>
      </w:pPr>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Pr="004F0F2A">
        <w:rPr>
          <w:rFonts w:ascii="Times New Roman" w:eastAsia="標楷體" w:hAnsi="Times New Roman" w:hint="eastAsia"/>
          <w:highlight w:val="yellow"/>
          <w:bdr w:val="single" w:sz="4" w:space="0" w:color="auto"/>
        </w:rPr>
        <w:t>7</w:t>
      </w:r>
    </w:p>
    <w:p w:rsidR="004F0F2A" w:rsidRPr="004F0F2A" w:rsidRDefault="004F0F2A" w:rsidP="004F0F2A">
      <w:pPr>
        <w:rPr>
          <w:rFonts w:ascii="Times New Roman" w:eastAsia="標楷體" w:hAnsi="Times New Roman"/>
          <w:szCs w:val="24"/>
        </w:rPr>
      </w:pPr>
      <w:r w:rsidRPr="004F0F2A">
        <w:rPr>
          <w:rFonts w:ascii="Times New Roman" w:eastAsia="標楷體" w:hAnsi="Times New Roman" w:hint="eastAsia"/>
          <w:szCs w:val="24"/>
        </w:rPr>
        <w:t>甲案：</w:t>
      </w:r>
    </w:p>
    <w:p w:rsidR="004F0F2A" w:rsidRPr="004F0F2A" w:rsidRDefault="004F0F2A" w:rsidP="004F0F2A">
      <w:pPr>
        <w:rPr>
          <w:rFonts w:ascii="Times New Roman" w:eastAsia="標楷體" w:hAnsi="Times New Roman"/>
          <w:szCs w:val="24"/>
        </w:rPr>
      </w:pPr>
      <w:r w:rsidRPr="004F0F2A">
        <w:rPr>
          <w:rFonts w:ascii="Times New Roman" w:eastAsia="標楷體" w:hAnsi="Times New Roman" w:hint="eastAsia"/>
          <w:szCs w:val="24"/>
        </w:rPr>
        <w:t>公司得依第一五六條第一項規定發行面額股或選擇發行無面額股。</w:t>
      </w:r>
    </w:p>
    <w:p w:rsidR="004F0F2A" w:rsidRPr="004F0F2A" w:rsidRDefault="004F0F2A" w:rsidP="004F0F2A">
      <w:pPr>
        <w:rPr>
          <w:rFonts w:ascii="Times New Roman" w:eastAsia="標楷體" w:hAnsi="Times New Roman"/>
          <w:szCs w:val="24"/>
        </w:rPr>
      </w:pPr>
      <w:r w:rsidRPr="004F0F2A">
        <w:rPr>
          <w:rFonts w:ascii="Times New Roman" w:eastAsia="標楷體" w:hAnsi="Times New Roman" w:hint="eastAsia"/>
          <w:szCs w:val="24"/>
        </w:rPr>
        <w:t>公司發行面額股者，其發行價格不得低於票面金額。</w:t>
      </w:r>
    </w:p>
    <w:p w:rsidR="004F0F2A" w:rsidRPr="004F0F2A" w:rsidRDefault="004F0F2A" w:rsidP="004F0F2A">
      <w:pPr>
        <w:rPr>
          <w:rFonts w:ascii="Times New Roman" w:eastAsia="標楷體" w:hAnsi="Times New Roman"/>
          <w:szCs w:val="24"/>
        </w:rPr>
      </w:pPr>
      <w:r w:rsidRPr="004F0F2A">
        <w:rPr>
          <w:rFonts w:ascii="Times New Roman" w:eastAsia="標楷體" w:hAnsi="Times New Roman" w:hint="eastAsia"/>
          <w:szCs w:val="24"/>
        </w:rPr>
        <w:t>公司發行無面額股者，公司章程中無須</w:t>
      </w:r>
      <w:proofErr w:type="gramStart"/>
      <w:r w:rsidRPr="004F0F2A">
        <w:rPr>
          <w:rFonts w:ascii="Times New Roman" w:eastAsia="標楷體" w:hAnsi="Times New Roman" w:hint="eastAsia"/>
          <w:szCs w:val="24"/>
        </w:rPr>
        <w:t>載明每股</w:t>
      </w:r>
      <w:proofErr w:type="gramEnd"/>
      <w:r w:rsidRPr="004F0F2A">
        <w:rPr>
          <w:rFonts w:ascii="Times New Roman" w:eastAsia="標楷體" w:hAnsi="Times New Roman" w:hint="eastAsia"/>
          <w:szCs w:val="24"/>
        </w:rPr>
        <w:t>金額；其所得之股款應全數撥充資本，不適用第二四一條第一項第一款之規定。</w:t>
      </w:r>
    </w:p>
    <w:p w:rsidR="003C5C39" w:rsidRDefault="003C5C39" w:rsidP="004F0F2A">
      <w:pPr>
        <w:rPr>
          <w:rFonts w:ascii="Times New Roman" w:eastAsia="標楷體" w:hAnsi="Times New Roman" w:hint="eastAsia"/>
          <w:szCs w:val="24"/>
        </w:rPr>
      </w:pPr>
    </w:p>
    <w:p w:rsidR="004F0F2A" w:rsidRPr="004F0F2A" w:rsidRDefault="004F0F2A" w:rsidP="004F0F2A">
      <w:pPr>
        <w:rPr>
          <w:rFonts w:ascii="Times New Roman" w:eastAsia="標楷體" w:hAnsi="Times New Roman"/>
          <w:szCs w:val="24"/>
        </w:rPr>
      </w:pPr>
      <w:r w:rsidRPr="004F0F2A">
        <w:rPr>
          <w:rFonts w:ascii="Times New Roman" w:eastAsia="標楷體" w:hAnsi="Times New Roman" w:hint="eastAsia"/>
          <w:szCs w:val="24"/>
        </w:rPr>
        <w:t>乙案：</w:t>
      </w:r>
    </w:p>
    <w:p w:rsidR="004F0F2A" w:rsidRPr="004F0F2A" w:rsidRDefault="004F0F2A" w:rsidP="004F0F2A">
      <w:pPr>
        <w:rPr>
          <w:rFonts w:ascii="Times New Roman" w:eastAsia="標楷體" w:hAnsi="Times New Roman"/>
          <w:szCs w:val="24"/>
        </w:rPr>
      </w:pPr>
      <w:r w:rsidRPr="004F0F2A">
        <w:rPr>
          <w:rFonts w:ascii="Times New Roman" w:eastAsia="標楷體" w:hAnsi="Times New Roman" w:hint="eastAsia"/>
          <w:szCs w:val="24"/>
        </w:rPr>
        <w:t>公司得依第一五六條第一項規定發行面額股或選擇發行無面額股。</w:t>
      </w:r>
    </w:p>
    <w:p w:rsidR="004F0F2A" w:rsidRPr="004F0F2A" w:rsidRDefault="004F0F2A" w:rsidP="004F0F2A">
      <w:pPr>
        <w:rPr>
          <w:rFonts w:ascii="Times New Roman" w:eastAsia="標楷體" w:hAnsi="Times New Roman"/>
          <w:szCs w:val="24"/>
        </w:rPr>
      </w:pPr>
      <w:r w:rsidRPr="004F0F2A">
        <w:rPr>
          <w:rFonts w:ascii="Times New Roman" w:eastAsia="標楷體" w:hAnsi="Times New Roman" w:hint="eastAsia"/>
          <w:szCs w:val="24"/>
        </w:rPr>
        <w:t>公司發行面額股者，其發行價格不得低於票面金額；公司發行無面額股者，章程中應</w:t>
      </w:r>
      <w:proofErr w:type="gramStart"/>
      <w:r w:rsidRPr="004F0F2A">
        <w:rPr>
          <w:rFonts w:ascii="Times New Roman" w:eastAsia="標楷體" w:hAnsi="Times New Roman" w:hint="eastAsia"/>
          <w:szCs w:val="24"/>
        </w:rPr>
        <w:t>載明每股</w:t>
      </w:r>
      <w:proofErr w:type="gramEnd"/>
      <w:r w:rsidRPr="004F0F2A">
        <w:rPr>
          <w:rFonts w:ascii="Times New Roman" w:eastAsia="標楷體" w:hAnsi="Times New Roman" w:hint="eastAsia"/>
          <w:szCs w:val="24"/>
        </w:rPr>
        <w:t>最低發行價格。</w:t>
      </w:r>
    </w:p>
    <w:p w:rsidR="004F0F2A" w:rsidRDefault="004F0F2A" w:rsidP="004F0F2A">
      <w:pPr>
        <w:rPr>
          <w:rFonts w:ascii="Times New Roman" w:eastAsia="標楷體" w:hAnsi="Times New Roman" w:hint="eastAsia"/>
          <w:szCs w:val="24"/>
        </w:rPr>
      </w:pPr>
      <w:r w:rsidRPr="004F0F2A">
        <w:rPr>
          <w:rFonts w:ascii="Times New Roman" w:eastAsia="標楷體" w:hAnsi="Times New Roman" w:hint="eastAsia"/>
          <w:szCs w:val="24"/>
        </w:rPr>
        <w:t>公司發行無面額股時，第二四一條第一項第一款之票面金額，應依章程規定之最低發行價格計之。</w:t>
      </w:r>
    </w:p>
    <w:p w:rsidR="003C5C39" w:rsidRPr="003C5C39" w:rsidRDefault="003C5C39" w:rsidP="004F0F2A">
      <w:pPr>
        <w:rPr>
          <w:rFonts w:ascii="Times New Roman" w:eastAsia="標楷體" w:hAnsi="Times New Roman"/>
          <w:szCs w:val="24"/>
        </w:rPr>
      </w:pPr>
    </w:p>
    <w:p w:rsidR="004F0F2A" w:rsidRPr="00DB03D0" w:rsidRDefault="004F0F2A" w:rsidP="004F0F2A">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F32F8B" w:rsidRDefault="000F6A58" w:rsidP="000F6A58">
      <w:pPr>
        <w:pStyle w:val="a3"/>
        <w:numPr>
          <w:ilvl w:val="0"/>
          <w:numId w:val="3"/>
        </w:numPr>
        <w:ind w:leftChars="0"/>
        <w:rPr>
          <w:rFonts w:ascii="Times New Roman" w:eastAsia="標楷體" w:hAnsi="Times New Roman"/>
        </w:rPr>
      </w:pPr>
      <w:r w:rsidRPr="00F32F8B">
        <w:rPr>
          <w:rFonts w:ascii="Times New Roman" w:eastAsia="標楷體" w:hAnsi="Times New Roman" w:hint="eastAsia"/>
        </w:rPr>
        <w:t>股票都有票面金額的規定且發行股票的價格也不得低於這個票面金額。雖然票面金額已不再只有拾元為唯一選項，公司可以自行決定一律採取壹圓、伍元等金額只是仍然不得用低於這個票面金額來發行，但對於微型企業或新創事業，投入的人</w:t>
      </w:r>
      <w:r w:rsidR="00657BA9" w:rsidRPr="00F32F8B">
        <w:rPr>
          <w:rFonts w:ascii="Times New Roman" w:eastAsia="標楷體" w:hAnsi="Times New Roman" w:hint="eastAsia"/>
        </w:rPr>
        <w:t>員</w:t>
      </w:r>
      <w:r w:rsidRPr="00F32F8B">
        <w:rPr>
          <w:rFonts w:ascii="Times New Roman" w:eastAsia="標楷體" w:hAnsi="Times New Roman" w:hint="eastAsia"/>
        </w:rPr>
        <w:t>往往</w:t>
      </w:r>
      <w:r w:rsidR="00657BA9" w:rsidRPr="00F32F8B">
        <w:rPr>
          <w:rFonts w:ascii="Times New Roman" w:eastAsia="標楷體" w:hAnsi="Times New Roman" w:hint="eastAsia"/>
        </w:rPr>
        <w:t>只有滿腔熱血而沒有足夠資金，</w:t>
      </w:r>
      <w:r w:rsidR="00E04EF8">
        <w:rPr>
          <w:rFonts w:ascii="Times New Roman" w:eastAsia="標楷體" w:hAnsi="Times New Roman" w:hint="eastAsia"/>
        </w:rPr>
        <w:t>若他們想要取得多一些的股份，</w:t>
      </w:r>
      <w:bookmarkStart w:id="0" w:name="_GoBack"/>
      <w:bookmarkEnd w:id="0"/>
      <w:r w:rsidR="00F32F8B">
        <w:rPr>
          <w:rFonts w:ascii="Times New Roman" w:eastAsia="標楷體" w:hAnsi="Times New Roman" w:hint="eastAsia"/>
        </w:rPr>
        <w:t>即使是壹元的票面金額可能還是會造成新創公司規劃上的障礙</w:t>
      </w:r>
      <w:r w:rsidR="00657BA9" w:rsidRPr="00F32F8B">
        <w:rPr>
          <w:rFonts w:ascii="Times New Roman" w:eastAsia="標楷體" w:hAnsi="Times New Roman" w:hint="eastAsia"/>
        </w:rPr>
        <w:t>。</w:t>
      </w:r>
    </w:p>
    <w:p w:rsidR="00657BA9" w:rsidRPr="00F32F8B" w:rsidRDefault="00844F91" w:rsidP="000F6A58">
      <w:pPr>
        <w:pStyle w:val="a3"/>
        <w:numPr>
          <w:ilvl w:val="0"/>
          <w:numId w:val="3"/>
        </w:numPr>
        <w:ind w:leftChars="0"/>
        <w:rPr>
          <w:rFonts w:ascii="Times New Roman" w:eastAsia="標楷體" w:hAnsi="Times New Roman"/>
        </w:rPr>
      </w:pPr>
      <w:r w:rsidRPr="00F32F8B">
        <w:rPr>
          <w:rFonts w:ascii="Times New Roman" w:eastAsia="標楷體" w:hAnsi="Times New Roman" w:hint="eastAsia"/>
        </w:rPr>
        <w:t>無票面金額在世界各國漸漸成為主流趨勢，更甚至連上市公司都有適用，因此適用在閉鎖性公司上應屬合理。</w:t>
      </w:r>
    </w:p>
    <w:p w:rsidR="004F0F2A" w:rsidRPr="00107D12" w:rsidRDefault="00107D12" w:rsidP="004F0F2A">
      <w:pPr>
        <w:pStyle w:val="a3"/>
        <w:numPr>
          <w:ilvl w:val="0"/>
          <w:numId w:val="3"/>
        </w:numPr>
        <w:ind w:leftChars="0"/>
        <w:rPr>
          <w:rFonts w:ascii="Times New Roman" w:eastAsia="標楷體" w:hAnsi="Times New Roman"/>
        </w:rPr>
      </w:pPr>
      <w:r w:rsidRPr="00107D12">
        <w:rPr>
          <w:rFonts w:ascii="Times New Roman" w:eastAsia="標楷體" w:hAnsi="Times New Roman" w:hint="eastAsia"/>
        </w:rPr>
        <w:t>甲：</w:t>
      </w:r>
      <w:r w:rsidR="00844F91" w:rsidRPr="00107D12">
        <w:rPr>
          <w:rFonts w:ascii="Times New Roman" w:eastAsia="標楷體" w:hAnsi="Times New Roman" w:hint="eastAsia"/>
        </w:rPr>
        <w:t>公司若用超過股票面額的價格發行股票，這個溢價的部分依現行法規定是可以轉為公司的增資</w:t>
      </w:r>
      <w:r w:rsidRPr="00107D12">
        <w:rPr>
          <w:rFonts w:ascii="Times New Roman" w:eastAsia="標楷體" w:hAnsi="Times New Roman" w:hint="eastAsia"/>
        </w:rPr>
        <w:t>或以現金發給股東</w:t>
      </w:r>
      <w:r w:rsidR="00844F91" w:rsidRPr="00107D12">
        <w:rPr>
          <w:rFonts w:ascii="Times New Roman" w:eastAsia="標楷體" w:hAnsi="Times New Roman" w:hint="eastAsia"/>
        </w:rPr>
        <w:t>，但</w:t>
      </w:r>
      <w:r w:rsidRPr="00107D12">
        <w:rPr>
          <w:rFonts w:ascii="Times New Roman" w:eastAsia="標楷體" w:hAnsi="Times New Roman" w:hint="eastAsia"/>
        </w:rPr>
        <w:t>是</w:t>
      </w:r>
      <w:r w:rsidR="00844F91" w:rsidRPr="00107D12">
        <w:rPr>
          <w:rFonts w:ascii="Times New Roman" w:eastAsia="標楷體" w:hAnsi="Times New Roman" w:hint="eastAsia"/>
        </w:rPr>
        <w:t>若實施無面額股</w:t>
      </w:r>
      <w:r w:rsidRPr="00107D12">
        <w:rPr>
          <w:rFonts w:ascii="Times New Roman" w:eastAsia="標楷體" w:hAnsi="Times New Roman" w:hint="eastAsia"/>
        </w:rPr>
        <w:t>就不會有所謂的「溢價」，所以就不能依同樣的規定增資或發給股東。</w:t>
      </w:r>
      <w:r w:rsidRPr="00107D12">
        <w:rPr>
          <w:rFonts w:ascii="Times New Roman" w:eastAsia="標楷體" w:hAnsi="Times New Roman"/>
        </w:rPr>
        <w:br/>
      </w:r>
      <w:r w:rsidRPr="00107D12">
        <w:rPr>
          <w:rFonts w:ascii="Times New Roman" w:eastAsia="標楷體" w:hAnsi="Times New Roman" w:hint="eastAsia"/>
        </w:rPr>
        <w:t>乙：公司若用超過股票面額的價格發行股票，這個溢價的部分依現行法規定是可以轉為公司的增資或以現金發給股東，但是若實施無面額股就不會有所謂的「溢價」，所以似乎不能依同樣的規定增資或發給股東。然而這個</w:t>
      </w:r>
      <w:r>
        <w:rPr>
          <w:rFonts w:ascii="Times New Roman" w:eastAsia="標楷體" w:hAnsi="Times New Roman" w:hint="eastAsia"/>
        </w:rPr>
        <w:t>規定</w:t>
      </w:r>
      <w:r w:rsidRPr="00107D12">
        <w:rPr>
          <w:rFonts w:ascii="Times New Roman" w:eastAsia="標楷體" w:hAnsi="Times New Roman" w:hint="eastAsia"/>
        </w:rPr>
        <w:t>在實務上公司時常</w:t>
      </w:r>
      <w:r>
        <w:rPr>
          <w:rFonts w:ascii="Times New Roman" w:eastAsia="標楷體" w:hAnsi="Times New Roman" w:hint="eastAsia"/>
        </w:rPr>
        <w:t>被</w:t>
      </w:r>
      <w:r w:rsidRPr="00107D12">
        <w:rPr>
          <w:rFonts w:ascii="Times New Roman" w:eastAsia="標楷體" w:hAnsi="Times New Roman" w:hint="eastAsia"/>
        </w:rPr>
        <w:t>使用，為了使公司在無溢價下仍然可以相同方法增資或發給股東</w:t>
      </w:r>
      <w:r>
        <w:rPr>
          <w:rFonts w:ascii="Times New Roman" w:eastAsia="標楷體" w:hAnsi="Times New Roman" w:hint="eastAsia"/>
        </w:rPr>
        <w:t>，特別規定閉鎖型公司的章程需要規定一個最低發行價格數字，而所發行的無面額股價格若超過這個數字就成為所謂的「溢價」部分。</w:t>
      </w:r>
    </w:p>
    <w:p w:rsidR="004F0F2A" w:rsidRDefault="004F0F2A" w:rsidP="004F0F2A">
      <w:pPr>
        <w:rPr>
          <w:rFonts w:ascii="Times New Roman" w:eastAsia="標楷體" w:hAnsi="Times New Roman"/>
        </w:rPr>
      </w:pPr>
    </w:p>
    <w:p w:rsidR="004F0F2A" w:rsidRPr="00CD7BAE" w:rsidRDefault="004F0F2A" w:rsidP="004F0F2A">
      <w:pPr>
        <w:rPr>
          <w:rFonts w:ascii="Times New Roman" w:eastAsia="標楷體" w:hAnsi="Times New Roman"/>
          <w:bdr w:val="single" w:sz="4" w:space="0" w:color="auto"/>
        </w:rPr>
      </w:pPr>
      <w:r w:rsidRPr="00CD7BAE">
        <w:rPr>
          <w:rFonts w:ascii="Times New Roman" w:eastAsia="標楷體" w:hAnsi="Times New Roman" w:hint="eastAsia"/>
          <w:highlight w:val="yellow"/>
          <w:bdr w:val="single" w:sz="4" w:space="0" w:color="auto"/>
        </w:rPr>
        <w:t>參考條</w:t>
      </w:r>
      <w:r w:rsidRPr="002B124B">
        <w:rPr>
          <w:rFonts w:ascii="Times New Roman" w:eastAsia="標楷體" w:hAnsi="Times New Roman" w:hint="eastAsia"/>
          <w:highlight w:val="yellow"/>
          <w:bdr w:val="single" w:sz="4" w:space="0" w:color="auto"/>
        </w:rPr>
        <w:t>文及資料</w:t>
      </w:r>
    </w:p>
    <w:p w:rsidR="004F0F2A" w:rsidRDefault="004F0F2A" w:rsidP="004F0F2A">
      <w:pPr>
        <w:pStyle w:val="a3"/>
        <w:numPr>
          <w:ilvl w:val="0"/>
          <w:numId w:val="2"/>
        </w:numPr>
        <w:ind w:leftChars="0"/>
        <w:rPr>
          <w:rFonts w:ascii="Times New Roman" w:eastAsia="標楷體" w:hAnsi="Times New Roman"/>
        </w:rPr>
      </w:pPr>
      <w:r w:rsidRPr="004F0F2A">
        <w:rPr>
          <w:rFonts w:ascii="Times New Roman" w:eastAsia="標楷體" w:hAnsi="Times New Roman" w:hint="eastAsia"/>
        </w:rPr>
        <w:t>公司法第</w:t>
      </w:r>
      <w:r w:rsidR="003C5C39">
        <w:rPr>
          <w:rFonts w:ascii="Times New Roman" w:eastAsia="標楷體" w:hAnsi="Times New Roman" w:hint="eastAsia"/>
        </w:rPr>
        <w:t>129</w:t>
      </w:r>
      <w:r w:rsidRPr="004F0F2A">
        <w:rPr>
          <w:rFonts w:ascii="Times New Roman" w:eastAsia="標楷體" w:hAnsi="Times New Roman" w:hint="eastAsia"/>
        </w:rPr>
        <w:t>條：</w:t>
      </w:r>
      <w:r>
        <w:rPr>
          <w:rFonts w:ascii="Times New Roman" w:eastAsia="標楷體" w:hAnsi="Times New Roman" w:hint="eastAsia"/>
        </w:rPr>
        <w:t>「</w:t>
      </w:r>
      <w:r w:rsidRPr="004F0F2A">
        <w:rPr>
          <w:rFonts w:ascii="Times New Roman" w:eastAsia="標楷體" w:hAnsi="Times New Roman" w:hint="eastAsia"/>
        </w:rPr>
        <w:t>發起人應以全體之同意訂立章程，</w:t>
      </w:r>
      <w:proofErr w:type="gramStart"/>
      <w:r w:rsidRPr="004F0F2A">
        <w:rPr>
          <w:rFonts w:ascii="Times New Roman" w:eastAsia="標楷體" w:hAnsi="Times New Roman" w:hint="eastAsia"/>
        </w:rPr>
        <w:t>載明左列</w:t>
      </w:r>
      <w:proofErr w:type="gramEnd"/>
      <w:r w:rsidRPr="004F0F2A">
        <w:rPr>
          <w:rFonts w:ascii="Times New Roman" w:eastAsia="標楷體" w:hAnsi="Times New Roman" w:hint="eastAsia"/>
        </w:rPr>
        <w:t>各款事項，並簽名或蓋章：一、…三、股份總數及每股金額。…。</w:t>
      </w:r>
      <w:r>
        <w:rPr>
          <w:rFonts w:ascii="Times New Roman" w:eastAsia="標楷體" w:hAnsi="Times New Roman" w:hint="eastAsia"/>
        </w:rPr>
        <w:t>」</w:t>
      </w:r>
    </w:p>
    <w:p w:rsidR="004F0F2A" w:rsidRDefault="003C5C39" w:rsidP="004F0F2A">
      <w:pPr>
        <w:pStyle w:val="a3"/>
        <w:numPr>
          <w:ilvl w:val="0"/>
          <w:numId w:val="2"/>
        </w:numPr>
        <w:ind w:leftChars="0"/>
        <w:rPr>
          <w:rFonts w:ascii="Times New Roman" w:eastAsia="標楷體" w:hAnsi="Times New Roman"/>
        </w:rPr>
      </w:pPr>
      <w:r>
        <w:rPr>
          <w:rFonts w:ascii="Times New Roman" w:eastAsia="標楷體" w:hAnsi="Times New Roman" w:hint="eastAsia"/>
        </w:rPr>
        <w:t>公司法第</w:t>
      </w:r>
      <w:r>
        <w:rPr>
          <w:rFonts w:ascii="Times New Roman" w:eastAsia="標楷體" w:hAnsi="Times New Roman" w:hint="eastAsia"/>
        </w:rPr>
        <w:t>140</w:t>
      </w:r>
      <w:r w:rsidR="004F0F2A" w:rsidRPr="004F0F2A">
        <w:rPr>
          <w:rFonts w:ascii="Times New Roman" w:eastAsia="標楷體" w:hAnsi="Times New Roman" w:hint="eastAsia"/>
        </w:rPr>
        <w:t>條：</w:t>
      </w:r>
      <w:r w:rsidR="004F0F2A">
        <w:rPr>
          <w:rFonts w:ascii="Times New Roman" w:eastAsia="標楷體" w:hAnsi="Times New Roman" w:hint="eastAsia"/>
        </w:rPr>
        <w:t>「</w:t>
      </w:r>
      <w:r w:rsidR="004F0F2A" w:rsidRPr="004F0F2A">
        <w:rPr>
          <w:rFonts w:ascii="Times New Roman" w:eastAsia="標楷體" w:hAnsi="Times New Roman" w:hint="eastAsia"/>
        </w:rPr>
        <w:t>股票之發行價格，不得低於票面金額。但公開發行股票之公司，證券管理機關另有規定者，不在此限。</w:t>
      </w:r>
      <w:r w:rsidR="004F0F2A">
        <w:rPr>
          <w:rFonts w:ascii="Times New Roman" w:eastAsia="標楷體" w:hAnsi="Times New Roman" w:hint="eastAsia"/>
        </w:rPr>
        <w:t>」</w:t>
      </w:r>
    </w:p>
    <w:p w:rsidR="004F0F2A" w:rsidRDefault="003C5C39" w:rsidP="004F0F2A">
      <w:pPr>
        <w:pStyle w:val="a3"/>
        <w:numPr>
          <w:ilvl w:val="0"/>
          <w:numId w:val="2"/>
        </w:numPr>
        <w:ind w:leftChars="0"/>
        <w:rPr>
          <w:rFonts w:ascii="Times New Roman" w:eastAsia="標楷體" w:hAnsi="Times New Roman"/>
        </w:rPr>
      </w:pPr>
      <w:r>
        <w:rPr>
          <w:rFonts w:ascii="Times New Roman" w:eastAsia="標楷體" w:hAnsi="Times New Roman" w:hint="eastAsia"/>
        </w:rPr>
        <w:lastRenderedPageBreak/>
        <w:t>公司法第</w:t>
      </w:r>
      <w:r>
        <w:rPr>
          <w:rFonts w:ascii="Times New Roman" w:eastAsia="標楷體" w:hAnsi="Times New Roman" w:hint="eastAsia"/>
        </w:rPr>
        <w:t>241</w:t>
      </w:r>
      <w:r w:rsidR="004F0F2A" w:rsidRPr="004F0F2A">
        <w:rPr>
          <w:rFonts w:ascii="Times New Roman" w:eastAsia="標楷體" w:hAnsi="Times New Roman" w:hint="eastAsia"/>
        </w:rPr>
        <w:t>條：</w:t>
      </w:r>
    </w:p>
    <w:p w:rsidR="004F0F2A" w:rsidRPr="004F0F2A" w:rsidRDefault="004F0F2A" w:rsidP="004F0F2A">
      <w:pPr>
        <w:pStyle w:val="a3"/>
        <w:ind w:leftChars="0" w:left="360"/>
        <w:rPr>
          <w:rFonts w:ascii="Times New Roman" w:eastAsia="標楷體" w:hAnsi="Times New Roman"/>
        </w:rPr>
      </w:pPr>
      <w:r>
        <w:rPr>
          <w:rFonts w:ascii="Times New Roman" w:eastAsia="標楷體" w:hAnsi="Times New Roman" w:hint="eastAsia"/>
        </w:rPr>
        <w:t>「</w:t>
      </w:r>
      <w:r w:rsidRPr="004F0F2A">
        <w:rPr>
          <w:rFonts w:ascii="Times New Roman" w:eastAsia="標楷體" w:hAnsi="Times New Roman" w:hint="eastAsia"/>
        </w:rPr>
        <w:t>公司無虧損者，得依前條規定股東會決議之方法，將法定盈餘公積及下列資本公積之全部或一部，按股東原有股份之比例發給新股或現金：</w:t>
      </w:r>
    </w:p>
    <w:p w:rsidR="004F0F2A" w:rsidRPr="004F0F2A" w:rsidRDefault="004F0F2A" w:rsidP="004F0F2A">
      <w:pPr>
        <w:ind w:firstLine="360"/>
        <w:rPr>
          <w:rFonts w:ascii="Times New Roman" w:eastAsia="標楷體" w:hAnsi="Times New Roman"/>
        </w:rPr>
      </w:pPr>
      <w:r w:rsidRPr="004F0F2A">
        <w:rPr>
          <w:rFonts w:ascii="Times New Roman" w:eastAsia="標楷體" w:hAnsi="Times New Roman" w:hint="eastAsia"/>
        </w:rPr>
        <w:t>一、超過票面金額發行股票所得</w:t>
      </w:r>
      <w:proofErr w:type="gramStart"/>
      <w:r w:rsidRPr="004F0F2A">
        <w:rPr>
          <w:rFonts w:ascii="Times New Roman" w:eastAsia="標楷體" w:hAnsi="Times New Roman" w:hint="eastAsia"/>
        </w:rPr>
        <w:t>之溢額</w:t>
      </w:r>
      <w:proofErr w:type="gramEnd"/>
      <w:r w:rsidRPr="004F0F2A">
        <w:rPr>
          <w:rFonts w:ascii="Times New Roman" w:eastAsia="標楷體" w:hAnsi="Times New Roman" w:hint="eastAsia"/>
        </w:rPr>
        <w:t>。</w:t>
      </w:r>
    </w:p>
    <w:p w:rsidR="004F0F2A" w:rsidRPr="004F0F2A" w:rsidRDefault="004F0F2A" w:rsidP="004F0F2A">
      <w:pPr>
        <w:ind w:firstLine="360"/>
        <w:rPr>
          <w:rFonts w:ascii="Times New Roman" w:eastAsia="標楷體" w:hAnsi="Times New Roman"/>
        </w:rPr>
      </w:pPr>
      <w:r w:rsidRPr="004F0F2A">
        <w:rPr>
          <w:rFonts w:ascii="Times New Roman" w:eastAsia="標楷體" w:hAnsi="Times New Roman" w:hint="eastAsia"/>
        </w:rPr>
        <w:t>二、受領贈與之所得。</w:t>
      </w:r>
    </w:p>
    <w:p w:rsidR="004F0F2A" w:rsidRPr="004F0F2A" w:rsidRDefault="004F0F2A" w:rsidP="004F0F2A">
      <w:pPr>
        <w:ind w:firstLine="360"/>
        <w:rPr>
          <w:rFonts w:ascii="Times New Roman" w:eastAsia="標楷體" w:hAnsi="Times New Roman"/>
        </w:rPr>
      </w:pPr>
      <w:r w:rsidRPr="004F0F2A">
        <w:rPr>
          <w:rFonts w:ascii="Times New Roman" w:eastAsia="標楷體" w:hAnsi="Times New Roman" w:hint="eastAsia"/>
        </w:rPr>
        <w:t>前條第五項、第六項規定，於前項</w:t>
      </w:r>
      <w:proofErr w:type="gramStart"/>
      <w:r w:rsidRPr="004F0F2A">
        <w:rPr>
          <w:rFonts w:ascii="Times New Roman" w:eastAsia="標楷體" w:hAnsi="Times New Roman" w:hint="eastAsia"/>
        </w:rPr>
        <w:t>準</w:t>
      </w:r>
      <w:proofErr w:type="gramEnd"/>
      <w:r w:rsidRPr="004F0F2A">
        <w:rPr>
          <w:rFonts w:ascii="Times New Roman" w:eastAsia="標楷體" w:hAnsi="Times New Roman" w:hint="eastAsia"/>
        </w:rPr>
        <w:t>用之。</w:t>
      </w:r>
    </w:p>
    <w:p w:rsidR="004F0F2A" w:rsidRPr="004F0F2A" w:rsidRDefault="004F0F2A" w:rsidP="004F0F2A">
      <w:pPr>
        <w:ind w:left="360"/>
        <w:rPr>
          <w:rFonts w:ascii="Times New Roman" w:eastAsia="標楷體" w:hAnsi="Times New Roman"/>
        </w:rPr>
      </w:pPr>
      <w:r w:rsidRPr="004F0F2A">
        <w:rPr>
          <w:rFonts w:ascii="Times New Roman" w:eastAsia="標楷體" w:hAnsi="Times New Roman" w:hint="eastAsia"/>
        </w:rPr>
        <w:t>以法定盈餘公積發給新股或現金者，以該項公積超過實收資本額百分之二十五之部分為限。</w:t>
      </w:r>
      <w:r>
        <w:rPr>
          <w:rFonts w:ascii="Times New Roman" w:eastAsia="標楷體" w:hAnsi="Times New Roman" w:hint="eastAsia"/>
        </w:rPr>
        <w:t>」</w:t>
      </w:r>
    </w:p>
    <w:p w:rsidR="004F0F2A" w:rsidRPr="004F0F2A" w:rsidRDefault="004F0F2A" w:rsidP="004F0F2A">
      <w:pPr>
        <w:pStyle w:val="a3"/>
        <w:numPr>
          <w:ilvl w:val="0"/>
          <w:numId w:val="2"/>
        </w:numPr>
        <w:ind w:leftChars="0"/>
        <w:rPr>
          <w:rFonts w:ascii="Times New Roman" w:eastAsia="標楷體" w:hAnsi="Times New Roman"/>
        </w:rPr>
      </w:pPr>
      <w:r w:rsidRPr="004F0F2A">
        <w:rPr>
          <w:rFonts w:ascii="Times New Roman" w:eastAsia="標楷體" w:hAnsi="Times New Roman" w:hint="eastAsia"/>
        </w:rPr>
        <w:t>經濟部</w:t>
      </w:r>
      <w:r w:rsidRPr="004F0F2A">
        <w:rPr>
          <w:rFonts w:ascii="Times New Roman" w:eastAsia="標楷體" w:hAnsi="Times New Roman" w:hint="eastAsia"/>
        </w:rPr>
        <w:t>92.12.1</w:t>
      </w:r>
      <w:r w:rsidRPr="004F0F2A">
        <w:rPr>
          <w:rFonts w:ascii="Times New Roman" w:eastAsia="標楷體" w:hAnsi="Times New Roman" w:hint="eastAsia"/>
        </w:rPr>
        <w:t>經商字第</w:t>
      </w:r>
      <w:r w:rsidRPr="004F0F2A">
        <w:rPr>
          <w:rFonts w:ascii="Times New Roman" w:eastAsia="標楷體" w:hAnsi="Times New Roman" w:hint="eastAsia"/>
        </w:rPr>
        <w:t xml:space="preserve"> 092022442000</w:t>
      </w:r>
      <w:r w:rsidRPr="004F0F2A">
        <w:rPr>
          <w:rFonts w:ascii="Times New Roman" w:eastAsia="標楷體" w:hAnsi="Times New Roman" w:hint="eastAsia"/>
        </w:rPr>
        <w:t>號：按公司法第一百五十六條第一項規定略</w:t>
      </w:r>
      <w:proofErr w:type="gramStart"/>
      <w:r w:rsidRPr="004F0F2A">
        <w:rPr>
          <w:rFonts w:ascii="Times New Roman" w:eastAsia="標楷體" w:hAnsi="Times New Roman" w:hint="eastAsia"/>
        </w:rPr>
        <w:t>以</w:t>
      </w:r>
      <w:proofErr w:type="gramEnd"/>
      <w:r w:rsidRPr="004F0F2A">
        <w:rPr>
          <w:rFonts w:ascii="Times New Roman" w:eastAsia="標楷體" w:hAnsi="Times New Roman" w:hint="eastAsia"/>
        </w:rPr>
        <w:t>：「股份有限公司之資本，應分為股份，每股金額應歸一律…」。又依商業會計處理準則第十二條規定「記帳以元為單位」是</w:t>
      </w:r>
      <w:proofErr w:type="gramStart"/>
      <w:r w:rsidRPr="004F0F2A">
        <w:rPr>
          <w:rFonts w:ascii="Times New Roman" w:eastAsia="標楷體" w:hAnsi="Times New Roman" w:hint="eastAsia"/>
        </w:rPr>
        <w:t>以</w:t>
      </w:r>
      <w:proofErr w:type="gramEnd"/>
      <w:r w:rsidRPr="004F0F2A">
        <w:rPr>
          <w:rFonts w:ascii="Times New Roman" w:eastAsia="標楷體" w:hAnsi="Times New Roman" w:hint="eastAsia"/>
        </w:rPr>
        <w:t>，每股金額應以壹元、</w:t>
      </w:r>
      <w:proofErr w:type="gramStart"/>
      <w:r w:rsidRPr="004F0F2A">
        <w:rPr>
          <w:rFonts w:ascii="Times New Roman" w:eastAsia="標楷體" w:hAnsi="Times New Roman" w:hint="eastAsia"/>
        </w:rPr>
        <w:t>貳元</w:t>
      </w:r>
      <w:proofErr w:type="gramEnd"/>
      <w:r w:rsidRPr="004F0F2A">
        <w:rPr>
          <w:rFonts w:ascii="Times New Roman" w:eastAsia="標楷體" w:hAnsi="Times New Roman" w:hint="eastAsia"/>
        </w:rPr>
        <w:t>、參元…等為單位。</w:t>
      </w:r>
    </w:p>
    <w:p w:rsidR="004F0F2A" w:rsidRPr="00DB03D0" w:rsidRDefault="004F0F2A" w:rsidP="004F0F2A">
      <w:pPr>
        <w:rPr>
          <w:rFonts w:ascii="Times New Roman" w:eastAsia="標楷體" w:hAnsi="Times New Roman"/>
        </w:rPr>
      </w:pPr>
    </w:p>
    <w:p w:rsidR="004F0F2A" w:rsidRPr="00CD7BAE" w:rsidRDefault="004F0F2A" w:rsidP="004F0F2A">
      <w:pPr>
        <w:rPr>
          <w:rFonts w:ascii="Times New Roman" w:eastAsia="標楷體" w:hAnsi="Times New Roman"/>
          <w:bdr w:val="single" w:sz="4" w:space="0" w:color="auto"/>
        </w:rPr>
      </w:pPr>
    </w:p>
    <w:p w:rsidR="00F16808" w:rsidRPr="004F0F2A" w:rsidRDefault="00F16808"/>
    <w:sectPr w:rsidR="00F16808" w:rsidRPr="004F0F2A" w:rsidSect="00C00B7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67C" w:rsidRDefault="0067067C" w:rsidP="00F32F8B">
      <w:r>
        <w:separator/>
      </w:r>
    </w:p>
  </w:endnote>
  <w:endnote w:type="continuationSeparator" w:id="0">
    <w:p w:rsidR="0067067C" w:rsidRDefault="0067067C" w:rsidP="00F32F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67C" w:rsidRDefault="0067067C" w:rsidP="00F32F8B">
      <w:r>
        <w:separator/>
      </w:r>
    </w:p>
  </w:footnote>
  <w:footnote w:type="continuationSeparator" w:id="0">
    <w:p w:rsidR="0067067C" w:rsidRDefault="0067067C" w:rsidP="00F32F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4282A"/>
    <w:multiLevelType w:val="hybridMultilevel"/>
    <w:tmpl w:val="ECCC05E8"/>
    <w:lvl w:ilvl="0" w:tplc="CBEC9F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A637805"/>
    <w:multiLevelType w:val="hybridMultilevel"/>
    <w:tmpl w:val="F81E2B2E"/>
    <w:lvl w:ilvl="0" w:tplc="02BE8D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0F2A"/>
    <w:rsid w:val="00022639"/>
    <w:rsid w:val="0005660A"/>
    <w:rsid w:val="0007562C"/>
    <w:rsid w:val="000D1481"/>
    <w:rsid w:val="000D7E06"/>
    <w:rsid w:val="000F6A58"/>
    <w:rsid w:val="0010105A"/>
    <w:rsid w:val="00107D12"/>
    <w:rsid w:val="001226F3"/>
    <w:rsid w:val="001256FF"/>
    <w:rsid w:val="001361EF"/>
    <w:rsid w:val="00140C1A"/>
    <w:rsid w:val="001520FA"/>
    <w:rsid w:val="001B349F"/>
    <w:rsid w:val="001E76D7"/>
    <w:rsid w:val="002C3DC9"/>
    <w:rsid w:val="003C5C39"/>
    <w:rsid w:val="003D08ED"/>
    <w:rsid w:val="003E62AE"/>
    <w:rsid w:val="003E72FC"/>
    <w:rsid w:val="00434B2D"/>
    <w:rsid w:val="004735C6"/>
    <w:rsid w:val="004A1C58"/>
    <w:rsid w:val="004F0F2A"/>
    <w:rsid w:val="005271A1"/>
    <w:rsid w:val="00542713"/>
    <w:rsid w:val="005A557C"/>
    <w:rsid w:val="005D22C3"/>
    <w:rsid w:val="005D473D"/>
    <w:rsid w:val="006127F1"/>
    <w:rsid w:val="00657BA9"/>
    <w:rsid w:val="0067067C"/>
    <w:rsid w:val="006E2B05"/>
    <w:rsid w:val="006F5527"/>
    <w:rsid w:val="007316AC"/>
    <w:rsid w:val="00793123"/>
    <w:rsid w:val="007B3083"/>
    <w:rsid w:val="007C2BE6"/>
    <w:rsid w:val="0080418D"/>
    <w:rsid w:val="00844F91"/>
    <w:rsid w:val="00853361"/>
    <w:rsid w:val="008F3456"/>
    <w:rsid w:val="00946E0C"/>
    <w:rsid w:val="00957C1A"/>
    <w:rsid w:val="009709E8"/>
    <w:rsid w:val="00970C98"/>
    <w:rsid w:val="009F5CBF"/>
    <w:rsid w:val="00A800F3"/>
    <w:rsid w:val="00AC086C"/>
    <w:rsid w:val="00B50B3F"/>
    <w:rsid w:val="00B7652D"/>
    <w:rsid w:val="00B85464"/>
    <w:rsid w:val="00BB4F86"/>
    <w:rsid w:val="00BD08C7"/>
    <w:rsid w:val="00BE4715"/>
    <w:rsid w:val="00BE7133"/>
    <w:rsid w:val="00CC0ADB"/>
    <w:rsid w:val="00D12783"/>
    <w:rsid w:val="00D50885"/>
    <w:rsid w:val="00DB50BA"/>
    <w:rsid w:val="00DB5924"/>
    <w:rsid w:val="00E04EF8"/>
    <w:rsid w:val="00E564FA"/>
    <w:rsid w:val="00E77934"/>
    <w:rsid w:val="00E901EF"/>
    <w:rsid w:val="00F16808"/>
    <w:rsid w:val="00F31407"/>
    <w:rsid w:val="00F322FB"/>
    <w:rsid w:val="00F32F8B"/>
    <w:rsid w:val="00F37B42"/>
    <w:rsid w:val="00F506D8"/>
    <w:rsid w:val="00F51DE8"/>
    <w:rsid w:val="00F70C32"/>
    <w:rsid w:val="00F75832"/>
    <w:rsid w:val="00F76676"/>
    <w:rsid w:val="00F82127"/>
    <w:rsid w:val="00F845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F2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F2A"/>
    <w:pPr>
      <w:ind w:leftChars="200" w:left="480"/>
    </w:pPr>
  </w:style>
  <w:style w:type="paragraph" w:styleId="a4">
    <w:name w:val="header"/>
    <w:basedOn w:val="a"/>
    <w:link w:val="a5"/>
    <w:uiPriority w:val="99"/>
    <w:unhideWhenUsed/>
    <w:rsid w:val="00F32F8B"/>
    <w:pPr>
      <w:tabs>
        <w:tab w:val="center" w:pos="4153"/>
        <w:tab w:val="right" w:pos="8306"/>
      </w:tabs>
      <w:snapToGrid w:val="0"/>
    </w:pPr>
    <w:rPr>
      <w:sz w:val="20"/>
      <w:szCs w:val="20"/>
    </w:rPr>
  </w:style>
  <w:style w:type="character" w:customStyle="1" w:styleId="a5">
    <w:name w:val="頁首 字元"/>
    <w:basedOn w:val="a0"/>
    <w:link w:val="a4"/>
    <w:uiPriority w:val="99"/>
    <w:rsid w:val="00F32F8B"/>
    <w:rPr>
      <w:sz w:val="20"/>
      <w:szCs w:val="20"/>
    </w:rPr>
  </w:style>
  <w:style w:type="paragraph" w:styleId="a6">
    <w:name w:val="footer"/>
    <w:basedOn w:val="a"/>
    <w:link w:val="a7"/>
    <w:uiPriority w:val="99"/>
    <w:unhideWhenUsed/>
    <w:rsid w:val="00F32F8B"/>
    <w:pPr>
      <w:tabs>
        <w:tab w:val="center" w:pos="4153"/>
        <w:tab w:val="right" w:pos="8306"/>
      </w:tabs>
      <w:snapToGrid w:val="0"/>
    </w:pPr>
    <w:rPr>
      <w:sz w:val="20"/>
      <w:szCs w:val="20"/>
    </w:rPr>
  </w:style>
  <w:style w:type="character" w:customStyle="1" w:styleId="a7">
    <w:name w:val="頁尾 字元"/>
    <w:basedOn w:val="a0"/>
    <w:link w:val="a6"/>
    <w:uiPriority w:val="99"/>
    <w:rsid w:val="00F32F8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F2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F2A"/>
    <w:pPr>
      <w:ind w:leftChars="200" w:left="480"/>
    </w:pPr>
  </w:style>
  <w:style w:type="paragraph" w:styleId="a4">
    <w:name w:val="header"/>
    <w:basedOn w:val="a"/>
    <w:link w:val="a5"/>
    <w:uiPriority w:val="99"/>
    <w:unhideWhenUsed/>
    <w:rsid w:val="00F32F8B"/>
    <w:pPr>
      <w:tabs>
        <w:tab w:val="center" w:pos="4153"/>
        <w:tab w:val="right" w:pos="8306"/>
      </w:tabs>
      <w:snapToGrid w:val="0"/>
    </w:pPr>
    <w:rPr>
      <w:sz w:val="20"/>
      <w:szCs w:val="20"/>
    </w:rPr>
  </w:style>
  <w:style w:type="character" w:customStyle="1" w:styleId="a5">
    <w:name w:val="頁首 字元"/>
    <w:basedOn w:val="a0"/>
    <w:link w:val="a4"/>
    <w:uiPriority w:val="99"/>
    <w:rsid w:val="00F32F8B"/>
    <w:rPr>
      <w:sz w:val="20"/>
      <w:szCs w:val="20"/>
    </w:rPr>
  </w:style>
  <w:style w:type="paragraph" w:styleId="a6">
    <w:name w:val="footer"/>
    <w:basedOn w:val="a"/>
    <w:link w:val="a7"/>
    <w:uiPriority w:val="99"/>
    <w:unhideWhenUsed/>
    <w:rsid w:val="00F32F8B"/>
    <w:pPr>
      <w:tabs>
        <w:tab w:val="center" w:pos="4153"/>
        <w:tab w:val="right" w:pos="8306"/>
      </w:tabs>
      <w:snapToGrid w:val="0"/>
    </w:pPr>
    <w:rPr>
      <w:sz w:val="20"/>
      <w:szCs w:val="20"/>
    </w:rPr>
  </w:style>
  <w:style w:type="character" w:customStyle="1" w:styleId="a7">
    <w:name w:val="頁尾 字元"/>
    <w:basedOn w:val="a0"/>
    <w:link w:val="a6"/>
    <w:uiPriority w:val="99"/>
    <w:rsid w:val="00F32F8B"/>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周芳如</dc:creator>
  <cp:lastModifiedBy>Ching-Ping Shao</cp:lastModifiedBy>
  <cp:revision>2</cp:revision>
  <dcterms:created xsi:type="dcterms:W3CDTF">2015-02-14T00:39:00Z</dcterms:created>
  <dcterms:modified xsi:type="dcterms:W3CDTF">2015-02-14T00:39:00Z</dcterms:modified>
</cp:coreProperties>
</file>