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3D0" w:rsidRPr="0065225F" w:rsidRDefault="00DB03D0">
      <w:pPr>
        <w:rPr>
          <w:rFonts w:ascii="Times New Roman" w:eastAsia="標楷體" w:hAnsi="Times New Roman"/>
          <w:bdr w:val="single" w:sz="4" w:space="0" w:color="auto"/>
        </w:rPr>
      </w:pP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第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356</w:t>
      </w:r>
      <w:r w:rsidRPr="0065225F">
        <w:rPr>
          <w:rFonts w:ascii="Times New Roman" w:eastAsia="標楷體" w:hAnsi="Times New Roman" w:hint="eastAsia"/>
          <w:highlight w:val="yellow"/>
          <w:bdr w:val="single" w:sz="4" w:space="0" w:color="auto"/>
        </w:rPr>
        <w:t>條之</w:t>
      </w:r>
      <w:r w:rsidR="005F3A5A">
        <w:rPr>
          <w:rFonts w:ascii="Times New Roman" w:eastAsia="標楷體" w:hAnsi="Times New Roman" w:hint="eastAsia"/>
          <w:highlight w:val="yellow"/>
          <w:bdr w:val="single" w:sz="4" w:space="0" w:color="auto"/>
        </w:rPr>
        <w:t>8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公司發行特別股時，</w:t>
      </w:r>
      <w:proofErr w:type="gramStart"/>
      <w:r w:rsidRPr="005F3A5A">
        <w:rPr>
          <w:rFonts w:ascii="Times New Roman" w:eastAsia="標楷體" w:hAnsi="Times New Roman" w:hint="eastAsia"/>
          <w:szCs w:val="24"/>
        </w:rPr>
        <w:t>應就左列</w:t>
      </w:r>
      <w:proofErr w:type="gramEnd"/>
      <w:r w:rsidRPr="005F3A5A">
        <w:rPr>
          <w:rFonts w:ascii="Times New Roman" w:eastAsia="標楷體" w:hAnsi="Times New Roman" w:hint="eastAsia"/>
          <w:szCs w:val="24"/>
        </w:rPr>
        <w:t>各款於章程中定之：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一、特別股分派股息及紅利之順序、定額或定率。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二、特別股分派公司賸餘財產之順序、定額或定率。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三、特別股之股東行使表決權之順序、限制、無表決權、複數表決權或對於特定事項之否決權。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四、特別股股東被選舉為董事、監察人權利之剝奪或限制。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五、特別股轉換成普通股或其他具股權性質有價證券之轉換股數、方法或轉換公式。</w:t>
      </w:r>
    </w:p>
    <w:p w:rsidR="005F3A5A" w:rsidRPr="005F3A5A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六、特別股轉讓之限制。</w:t>
      </w:r>
    </w:p>
    <w:p w:rsidR="007E6CA9" w:rsidRDefault="005F3A5A" w:rsidP="005F3A5A">
      <w:pPr>
        <w:rPr>
          <w:rFonts w:ascii="Times New Roman" w:eastAsia="標楷體" w:hAnsi="Times New Roman"/>
          <w:szCs w:val="24"/>
        </w:rPr>
      </w:pPr>
      <w:r w:rsidRPr="005F3A5A">
        <w:rPr>
          <w:rFonts w:ascii="Times New Roman" w:eastAsia="標楷體" w:hAnsi="Times New Roman" w:hint="eastAsia"/>
          <w:szCs w:val="24"/>
        </w:rPr>
        <w:t>七、其他特別股權利義務相關之事項。</w:t>
      </w:r>
    </w:p>
    <w:p w:rsidR="005F3A5A" w:rsidRPr="007E6CA9" w:rsidRDefault="005F3A5A" w:rsidP="005F3A5A">
      <w:pPr>
        <w:rPr>
          <w:rFonts w:ascii="Times New Roman" w:eastAsia="標楷體" w:hAnsi="Times New Roman"/>
        </w:rPr>
      </w:pPr>
    </w:p>
    <w:p w:rsidR="00DB03D0" w:rsidRPr="00DB03D0" w:rsidRDefault="00DB03D0" w:rsidP="00DB03D0">
      <w:pPr>
        <w:rPr>
          <w:rFonts w:ascii="Times New Roman" w:eastAsia="標楷體" w:hAnsi="Times New Roman"/>
          <w:bdr w:val="single" w:sz="4" w:space="0" w:color="auto"/>
        </w:rPr>
      </w:pPr>
      <w:r w:rsidRPr="00DB03D0">
        <w:rPr>
          <w:rFonts w:ascii="Times New Roman" w:eastAsia="標楷體" w:hAnsi="Times New Roman" w:hint="eastAsia"/>
          <w:highlight w:val="yellow"/>
          <w:bdr w:val="single" w:sz="4" w:space="0" w:color="auto"/>
        </w:rPr>
        <w:t>你知道嗎？</w:t>
      </w:r>
    </w:p>
    <w:p w:rsidR="00DB03D0" w:rsidRPr="008038DB" w:rsidRDefault="00755335" w:rsidP="00680D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hint="eastAsia"/>
        </w:rPr>
      </w:pPr>
      <w:r>
        <w:rPr>
          <w:rFonts w:ascii="Times New Roman" w:eastAsia="標楷體" w:hint="eastAsia"/>
        </w:rPr>
        <w:t>科技新創事業有高風險、高報酬的特性，創業家為了吸引創投或天使投資人等金主，或</w:t>
      </w:r>
      <w:r w:rsidRPr="00680DB2">
        <w:rPr>
          <w:rFonts w:ascii="Times New Roman" w:eastAsia="標楷體" w:hint="eastAsia"/>
        </w:rPr>
        <w:t>是對於不同</w:t>
      </w:r>
      <w:r>
        <w:rPr>
          <w:rFonts w:ascii="Times New Roman" w:eastAsia="標楷體" w:hint="eastAsia"/>
        </w:rPr>
        <w:t>階段出資的認股人</w:t>
      </w:r>
      <w:proofErr w:type="gramStart"/>
      <w:r>
        <w:rPr>
          <w:rFonts w:ascii="Times New Roman" w:eastAsia="標楷體" w:hint="eastAsia"/>
        </w:rPr>
        <w:t>之間，</w:t>
      </w:r>
      <w:proofErr w:type="gramEnd"/>
      <w:r>
        <w:rPr>
          <w:rFonts w:ascii="Times New Roman" w:eastAsia="標楷體" w:hint="eastAsia"/>
        </w:rPr>
        <w:t>常需要更彈性、更符合企業特質的權利義務安排，在國外常透過各種形式、有不同權利義務設定的特別股方式來達成投資人與創業家彼此</w:t>
      </w:r>
      <w:r w:rsidR="001E7841">
        <w:rPr>
          <w:rFonts w:ascii="Times New Roman" w:eastAsia="標楷體" w:hint="eastAsia"/>
        </w:rPr>
        <w:t>談判、協商下的成果；但是在我國，雖然有容許發行特別股的條文以及概括條款，在實際運作上，卻受到主管機關函釋的諸多限制，而無法安排真正適合企業特性的</w:t>
      </w:r>
      <w:proofErr w:type="gramStart"/>
      <w:r w:rsidR="001E7841">
        <w:rPr>
          <w:rFonts w:ascii="Times New Roman" w:eastAsia="標楷體" w:hint="eastAsia"/>
        </w:rPr>
        <w:t>規</w:t>
      </w:r>
      <w:proofErr w:type="gramEnd"/>
      <w:r w:rsidR="001E7841">
        <w:rPr>
          <w:rFonts w:ascii="Times New Roman" w:eastAsia="標楷體" w:hint="eastAsia"/>
        </w:rPr>
        <w:t>畫，例如，為了吸引投資人</w:t>
      </w:r>
      <w:proofErr w:type="gramStart"/>
      <w:r w:rsidR="001E7841">
        <w:rPr>
          <w:rFonts w:ascii="Times New Roman" w:eastAsia="標楷體" w:hint="eastAsia"/>
        </w:rPr>
        <w:t>挹</w:t>
      </w:r>
      <w:proofErr w:type="gramEnd"/>
      <w:r w:rsidR="001E7841">
        <w:rPr>
          <w:rFonts w:ascii="Times New Roman" w:eastAsia="標楷體" w:hint="eastAsia"/>
        </w:rPr>
        <w:t>注資金，公司願意付出多一點誘因，像是給予多一點的表決權、就特定事項擁有絕對否決權、可以轉換多一點的普通股等，</w:t>
      </w:r>
      <w:r w:rsidR="008642DD">
        <w:rPr>
          <w:rFonts w:ascii="Times New Roman" w:eastAsia="標楷體" w:hint="eastAsia"/>
        </w:rPr>
        <w:t>即使</w:t>
      </w:r>
      <w:r w:rsidR="008642DD" w:rsidRPr="008642DD">
        <w:rPr>
          <w:rFonts w:ascii="Times New Roman" w:eastAsia="標楷體" w:hint="eastAsia"/>
        </w:rPr>
        <w:t>股東彼此之間能達成共識、創業家與投資人相互談判而取得雙方都能接受的條件</w:t>
      </w:r>
      <w:r w:rsidR="008642DD">
        <w:rPr>
          <w:rFonts w:ascii="Times New Roman" w:eastAsia="標楷體" w:hint="eastAsia"/>
        </w:rPr>
        <w:t>，</w:t>
      </w:r>
      <w:r w:rsidR="008642DD" w:rsidRPr="008642DD">
        <w:rPr>
          <w:rFonts w:ascii="Times New Roman" w:eastAsia="標楷體" w:hint="eastAsia"/>
        </w:rPr>
        <w:t>現行法制下通通不行，</w:t>
      </w:r>
      <w:r w:rsidR="008642DD">
        <w:rPr>
          <w:rFonts w:ascii="Times New Roman" w:eastAsia="標楷體" w:hint="eastAsia"/>
        </w:rPr>
        <w:t>這樣大幅限制新創事業與投資人談判的彈性空間，公司無法給予不同條件的誘因獲得資金，導致新創事業的發展更為</w:t>
      </w:r>
      <w:r w:rsidR="000E7EFE">
        <w:rPr>
          <w:rFonts w:ascii="Times New Roman" w:eastAsia="標楷體" w:hint="eastAsia"/>
        </w:rPr>
        <w:t>艱辛。這樣的情況下，若雙方都能接受各自開出的條件、利益，</w:t>
      </w:r>
      <w:r w:rsidR="008642DD">
        <w:rPr>
          <w:rFonts w:ascii="Times New Roman" w:eastAsia="標楷體" w:hint="eastAsia"/>
        </w:rPr>
        <w:t>應該允許閉鎖性公司有充足的自治空間，</w:t>
      </w:r>
      <w:r w:rsidR="000E7EFE">
        <w:rPr>
          <w:rFonts w:ascii="Times New Roman" w:eastAsia="標楷體" w:hint="eastAsia"/>
        </w:rPr>
        <w:t>增加股東權利義務規劃的彈性，給予符合公司與投資人各自需求的</w:t>
      </w:r>
      <w:proofErr w:type="gramStart"/>
      <w:r w:rsidR="000E7EFE">
        <w:rPr>
          <w:rFonts w:ascii="Times New Roman" w:eastAsia="標楷體" w:hint="eastAsia"/>
        </w:rPr>
        <w:t>規</w:t>
      </w:r>
      <w:proofErr w:type="gramEnd"/>
      <w:r w:rsidR="000E7EFE">
        <w:rPr>
          <w:rFonts w:ascii="Times New Roman" w:eastAsia="標楷體" w:hint="eastAsia"/>
        </w:rPr>
        <w:t>畫安排。</w:t>
      </w:r>
    </w:p>
    <w:p w:rsidR="008038DB" w:rsidRPr="00680DB2" w:rsidRDefault="008038DB" w:rsidP="00680D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int="eastAsia"/>
        </w:rPr>
        <w:t>再舉一個例子：依現行公司法第</w:t>
      </w:r>
      <w:r>
        <w:rPr>
          <w:rFonts w:ascii="Times New Roman" w:eastAsia="標楷體" w:hint="eastAsia"/>
        </w:rPr>
        <w:t>267</w:t>
      </w:r>
      <w:r>
        <w:rPr>
          <w:rFonts w:ascii="Times New Roman" w:eastAsia="標楷體" w:hint="eastAsia"/>
        </w:rPr>
        <w:t>條規定，公開發行公司（大公司）可以發行限制員工權利新股，常見的安排是：給員工股份，但限制他一定期間不能轉讓；若離職，則需收回。這種作法可以讓員工享受股價上漲的利益，給員工加薪，員工更可以全心全力為公司、為自己打拼。其實，科技新創事業或中小企業也需要這種機制，但在現行法下完全做不到！若根據上述草案規定，小公司可以更自由地約定其特別股的權利義務，就可以發這種「限制權利新股」給員工。</w:t>
      </w:r>
    </w:p>
    <w:p w:rsidR="00DB03D0" w:rsidRPr="008038DB" w:rsidRDefault="00DB03D0" w:rsidP="00DB03D0">
      <w:pPr>
        <w:rPr>
          <w:rFonts w:ascii="Times New Roman" w:eastAsia="標楷體" w:hAnsi="Times New Roman"/>
        </w:rPr>
      </w:pPr>
      <w:bookmarkStart w:id="0" w:name="_GoBack"/>
      <w:bookmarkEnd w:id="0"/>
    </w:p>
    <w:p w:rsidR="00CD7BAE" w:rsidRPr="00CD7BAE" w:rsidRDefault="00CD7BAE" w:rsidP="00CD7BAE">
      <w:pPr>
        <w:rPr>
          <w:rFonts w:ascii="Times New Roman" w:eastAsia="標楷體" w:hAnsi="Times New Roman"/>
          <w:bdr w:val="single" w:sz="4" w:space="0" w:color="auto"/>
        </w:rPr>
      </w:pPr>
      <w:r w:rsidRPr="00CD7BAE">
        <w:rPr>
          <w:rFonts w:ascii="Times New Roman" w:eastAsia="標楷體" w:hAnsi="Times New Roman" w:hint="eastAsia"/>
          <w:highlight w:val="yellow"/>
          <w:bdr w:val="single" w:sz="4" w:space="0" w:color="auto"/>
        </w:rPr>
        <w:t>參考條文</w:t>
      </w:r>
      <w:r w:rsidR="00020420">
        <w:rPr>
          <w:rFonts w:ascii="Times New Roman" w:eastAsia="標楷體" w:hAnsi="Times New Roman" w:hint="eastAsia"/>
          <w:highlight w:val="yellow"/>
          <w:bdr w:val="single" w:sz="4" w:space="0" w:color="auto"/>
        </w:rPr>
        <w:t>及</w:t>
      </w:r>
      <w:r w:rsidR="004A488B">
        <w:rPr>
          <w:rFonts w:ascii="Times New Roman" w:eastAsia="標楷體" w:hAnsi="Times New Roman" w:hint="eastAsia"/>
          <w:highlight w:val="yellow"/>
          <w:bdr w:val="single" w:sz="4" w:space="0" w:color="auto"/>
        </w:rPr>
        <w:t>資料</w:t>
      </w:r>
    </w:p>
    <w:p w:rsidR="005F3A5A" w:rsidRPr="00A1292E" w:rsidRDefault="005F3A5A" w:rsidP="005F3A5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Times New Roman" w:hint="eastAsia"/>
          <w:szCs w:val="24"/>
        </w:rPr>
        <w:t>公司法第一五七條：</w:t>
      </w:r>
    </w:p>
    <w:p w:rsidR="005F3A5A" w:rsidRPr="00A1292E" w:rsidRDefault="005F3A5A" w:rsidP="005F3A5A">
      <w:pPr>
        <w:pStyle w:val="a3"/>
        <w:rPr>
          <w:rFonts w:ascii="Times New Roman" w:eastAsia="標楷體" w:hAnsi="Times New Roman"/>
          <w:color w:val="000000"/>
          <w:szCs w:val="24"/>
        </w:rPr>
      </w:pPr>
      <w:r w:rsidRPr="00A1292E">
        <w:rPr>
          <w:rFonts w:ascii="Times New Roman" w:eastAsia="標楷體" w:hAnsi="標楷體" w:hint="eastAsia"/>
          <w:color w:val="000000"/>
          <w:szCs w:val="24"/>
        </w:rPr>
        <w:t>公司發行特別股時，</w:t>
      </w:r>
      <w:proofErr w:type="gramStart"/>
      <w:r w:rsidRPr="00A1292E">
        <w:rPr>
          <w:rFonts w:ascii="Times New Roman" w:eastAsia="標楷體" w:hAnsi="標楷體" w:hint="eastAsia"/>
          <w:color w:val="000000"/>
          <w:szCs w:val="24"/>
        </w:rPr>
        <w:t>應就左列</w:t>
      </w:r>
      <w:proofErr w:type="gramEnd"/>
      <w:r w:rsidRPr="00A1292E">
        <w:rPr>
          <w:rFonts w:ascii="Times New Roman" w:eastAsia="標楷體" w:hAnsi="標楷體" w:hint="eastAsia"/>
          <w:color w:val="000000"/>
          <w:szCs w:val="24"/>
        </w:rPr>
        <w:t>各款於章程中定之：</w:t>
      </w:r>
    </w:p>
    <w:p w:rsidR="005F3A5A" w:rsidRPr="00A1292E" w:rsidRDefault="005F3A5A" w:rsidP="005F3A5A">
      <w:pPr>
        <w:pStyle w:val="a3"/>
        <w:rPr>
          <w:rFonts w:ascii="Times New Roman" w:eastAsia="標楷體" w:hAnsi="Times New Roman"/>
          <w:color w:val="000000"/>
          <w:szCs w:val="24"/>
        </w:rPr>
      </w:pPr>
      <w:r w:rsidRPr="00A1292E">
        <w:rPr>
          <w:rFonts w:ascii="Times New Roman" w:eastAsia="標楷體" w:hAnsi="標楷體" w:hint="eastAsia"/>
          <w:color w:val="000000"/>
          <w:szCs w:val="24"/>
        </w:rPr>
        <w:lastRenderedPageBreak/>
        <w:t>一、特別股分派股息及紅利之順序、定額或定率。</w:t>
      </w:r>
    </w:p>
    <w:p w:rsidR="005F3A5A" w:rsidRPr="00A1292E" w:rsidRDefault="005F3A5A" w:rsidP="005F3A5A">
      <w:pPr>
        <w:pStyle w:val="a3"/>
        <w:rPr>
          <w:rFonts w:ascii="Times New Roman" w:eastAsia="標楷體" w:hAnsi="Times New Roman"/>
          <w:color w:val="000000"/>
          <w:szCs w:val="24"/>
        </w:rPr>
      </w:pPr>
      <w:r w:rsidRPr="00A1292E">
        <w:rPr>
          <w:rFonts w:ascii="Times New Roman" w:eastAsia="標楷體" w:hAnsi="標楷體" w:hint="eastAsia"/>
          <w:color w:val="000000"/>
          <w:szCs w:val="24"/>
        </w:rPr>
        <w:t>二、特別股分派公司賸餘財產之順序、定額或定率。</w:t>
      </w:r>
    </w:p>
    <w:p w:rsidR="005F3A5A" w:rsidRPr="00A1292E" w:rsidRDefault="005F3A5A" w:rsidP="005F3A5A">
      <w:pPr>
        <w:pStyle w:val="a3"/>
        <w:rPr>
          <w:rFonts w:ascii="Times New Roman" w:eastAsia="標楷體" w:hAnsi="Times New Roman"/>
          <w:color w:val="000000"/>
          <w:szCs w:val="24"/>
        </w:rPr>
      </w:pPr>
      <w:r w:rsidRPr="00A1292E">
        <w:rPr>
          <w:rFonts w:ascii="Times New Roman" w:eastAsia="標楷體" w:hAnsi="標楷體" w:hint="eastAsia"/>
          <w:color w:val="000000"/>
          <w:szCs w:val="24"/>
        </w:rPr>
        <w:t>三、特別股之股東行使表決權之順序、限制或無表決權。</w:t>
      </w:r>
    </w:p>
    <w:p w:rsidR="005F3A5A" w:rsidRPr="00A1292E" w:rsidRDefault="005F3A5A" w:rsidP="005F3A5A">
      <w:pPr>
        <w:pStyle w:val="a3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標楷體" w:hint="eastAsia"/>
          <w:color w:val="000000"/>
          <w:szCs w:val="24"/>
        </w:rPr>
        <w:t>四、特別股權利、義務之其他事項。</w:t>
      </w:r>
    </w:p>
    <w:p w:rsidR="005F3A5A" w:rsidRPr="00A1292E" w:rsidRDefault="005F3A5A" w:rsidP="005F3A5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標楷體" w:hint="eastAsia"/>
          <w:szCs w:val="24"/>
          <w:u w:val="single"/>
        </w:rPr>
        <w:t>經濟部</w:t>
      </w:r>
      <w:r w:rsidRPr="00A1292E">
        <w:rPr>
          <w:rFonts w:ascii="Times New Roman" w:eastAsia="標楷體" w:hAnsi="Times New Roman" w:hint="eastAsia"/>
          <w:szCs w:val="24"/>
          <w:u w:val="single"/>
        </w:rPr>
        <w:t>73.3.23</w:t>
      </w:r>
      <w:r w:rsidRPr="00A1292E">
        <w:rPr>
          <w:rFonts w:ascii="Times New Roman" w:eastAsia="標楷體" w:hAnsi="標楷體" w:hint="eastAsia"/>
          <w:szCs w:val="24"/>
          <w:u w:val="single"/>
        </w:rPr>
        <w:t>商</w:t>
      </w:r>
      <w:r w:rsidRPr="00A1292E">
        <w:rPr>
          <w:rFonts w:ascii="Times New Roman" w:eastAsia="標楷體" w:hAnsi="Times New Roman" w:hint="eastAsia"/>
          <w:szCs w:val="24"/>
          <w:u w:val="single"/>
        </w:rPr>
        <w:t>11159</w:t>
      </w:r>
      <w:r w:rsidRPr="00A1292E">
        <w:rPr>
          <w:rFonts w:ascii="Times New Roman" w:eastAsia="標楷體" w:hAnsi="標楷體" w:hint="eastAsia"/>
          <w:szCs w:val="24"/>
          <w:u w:val="single"/>
        </w:rPr>
        <w:t>號</w:t>
      </w:r>
      <w:r w:rsidRPr="00A1292E">
        <w:rPr>
          <w:rFonts w:ascii="Times New Roman" w:eastAsia="標楷體" w:hAnsi="標楷體" w:hint="eastAsia"/>
          <w:szCs w:val="24"/>
        </w:rPr>
        <w:t>：</w:t>
      </w:r>
      <w:r w:rsidRPr="00A1292E">
        <w:rPr>
          <w:rFonts w:ascii="Times New Roman" w:eastAsia="標楷體" w:hAnsi="Times New Roman"/>
          <w:szCs w:val="24"/>
        </w:rPr>
        <w:t>…</w:t>
      </w:r>
      <w:r w:rsidRPr="00A1292E">
        <w:rPr>
          <w:rFonts w:ascii="Times New Roman" w:eastAsia="標楷體" w:hAnsi="標楷體" w:hint="eastAsia"/>
          <w:szCs w:val="24"/>
        </w:rPr>
        <w:t>條文中所稱「行使表決權之限制」固不能解釋為每股享有數表決權，「行使表決權之順序」亦僅在分別普通股股東與特別股股東，或二種以上特別股股東對同一事項決議之先後，而與表決權之多寡應無關連，故依現行法應不能容有每股享有數表決權之特別股發行。</w:t>
      </w:r>
    </w:p>
    <w:p w:rsidR="005F3A5A" w:rsidRPr="00A1292E" w:rsidRDefault="005F3A5A" w:rsidP="005F3A5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標楷體" w:hint="eastAsia"/>
          <w:szCs w:val="24"/>
          <w:u w:val="single"/>
        </w:rPr>
        <w:t>經濟部</w:t>
      </w:r>
      <w:r w:rsidRPr="00A1292E">
        <w:rPr>
          <w:rFonts w:ascii="Times New Roman" w:eastAsia="標楷體" w:hAnsi="Times New Roman" w:hint="eastAsia"/>
          <w:szCs w:val="24"/>
          <w:u w:val="single"/>
        </w:rPr>
        <w:t>82.4.29</w:t>
      </w:r>
      <w:r w:rsidRPr="00A1292E">
        <w:rPr>
          <w:rFonts w:ascii="Times New Roman" w:eastAsia="標楷體" w:hAnsi="標楷體" w:hint="eastAsia"/>
          <w:szCs w:val="24"/>
          <w:u w:val="single"/>
        </w:rPr>
        <w:t>商</w:t>
      </w:r>
      <w:r w:rsidRPr="00A1292E">
        <w:rPr>
          <w:rFonts w:ascii="Times New Roman" w:eastAsia="標楷體" w:hAnsi="Times New Roman" w:hint="eastAsia"/>
          <w:szCs w:val="24"/>
          <w:u w:val="single"/>
        </w:rPr>
        <w:t>210683</w:t>
      </w:r>
      <w:r w:rsidRPr="00A1292E">
        <w:rPr>
          <w:rFonts w:ascii="Times New Roman" w:eastAsia="標楷體" w:hAnsi="標楷體" w:hint="eastAsia"/>
          <w:szCs w:val="24"/>
          <w:u w:val="single"/>
        </w:rPr>
        <w:t>號</w:t>
      </w:r>
      <w:r w:rsidRPr="00A1292E">
        <w:rPr>
          <w:rFonts w:ascii="Times New Roman" w:eastAsia="標楷體" w:hAnsi="標楷體" w:hint="eastAsia"/>
          <w:szCs w:val="24"/>
        </w:rPr>
        <w:t>：</w:t>
      </w:r>
      <w:r w:rsidRPr="00A1292E">
        <w:rPr>
          <w:rFonts w:ascii="Times New Roman" w:eastAsia="標楷體" w:hAnsi="Times New Roman"/>
          <w:szCs w:val="24"/>
        </w:rPr>
        <w:t>…</w:t>
      </w:r>
      <w:r w:rsidRPr="00A1292E">
        <w:rPr>
          <w:rFonts w:ascii="Times New Roman" w:eastAsia="標楷體" w:hAnsi="標楷體" w:hint="eastAsia"/>
          <w:szCs w:val="24"/>
        </w:rPr>
        <w:t>又公司發行特別股時，雖得依公司法第一五七條第一項第四款規定，將特別股權利、義務之其他事項定於章程中，惟如謂特別股股東之被選舉為董事、監察人之權利以公司章程予以剝奪，則與公司法規定股東之基本權利有所未合。是</w:t>
      </w:r>
      <w:proofErr w:type="gramStart"/>
      <w:r w:rsidRPr="00A1292E">
        <w:rPr>
          <w:rFonts w:ascii="Times New Roman" w:eastAsia="標楷體" w:hAnsi="標楷體" w:hint="eastAsia"/>
          <w:szCs w:val="24"/>
        </w:rPr>
        <w:t>以</w:t>
      </w:r>
      <w:proofErr w:type="gramEnd"/>
      <w:r w:rsidRPr="00A1292E">
        <w:rPr>
          <w:rFonts w:ascii="Times New Roman" w:eastAsia="標楷體" w:hAnsi="標楷體" w:hint="eastAsia"/>
          <w:szCs w:val="24"/>
        </w:rPr>
        <w:t>，該公司章程第五條之一第一項第五款為「特別股股東於股東會無表決權、無選舉權，且無被選舉為董事或監察人之權利」，仍應予妥為修正。</w:t>
      </w:r>
    </w:p>
    <w:p w:rsidR="005F3A5A" w:rsidRPr="00A1292E" w:rsidRDefault="005F3A5A" w:rsidP="005F3A5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標楷體" w:hint="eastAsia"/>
          <w:szCs w:val="24"/>
          <w:u w:val="single"/>
        </w:rPr>
        <w:t>經濟部</w:t>
      </w:r>
      <w:r w:rsidRPr="00A1292E">
        <w:rPr>
          <w:rFonts w:ascii="Times New Roman" w:eastAsia="標楷體" w:hAnsi="Times New Roman" w:hint="eastAsia"/>
          <w:szCs w:val="24"/>
          <w:u w:val="single"/>
        </w:rPr>
        <w:t>90.5.22</w:t>
      </w:r>
      <w:r w:rsidRPr="00A1292E">
        <w:rPr>
          <w:rFonts w:ascii="Times New Roman" w:eastAsia="標楷體" w:hAnsi="標楷體" w:hint="eastAsia"/>
          <w:szCs w:val="24"/>
          <w:u w:val="single"/>
        </w:rPr>
        <w:t>經商字第</w:t>
      </w:r>
      <w:r w:rsidRPr="00A1292E">
        <w:rPr>
          <w:rFonts w:ascii="Times New Roman" w:eastAsia="標楷體" w:hAnsi="Times New Roman" w:hint="eastAsia"/>
          <w:szCs w:val="24"/>
          <w:u w:val="single"/>
        </w:rPr>
        <w:t>09002095540</w:t>
      </w:r>
      <w:r w:rsidRPr="00A1292E">
        <w:rPr>
          <w:rFonts w:ascii="Times New Roman" w:eastAsia="標楷體" w:hAnsi="標楷體" w:hint="eastAsia"/>
          <w:szCs w:val="24"/>
          <w:u w:val="single"/>
        </w:rPr>
        <w:t>號：</w:t>
      </w:r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按公司發行特別股時，應就特別股權利、義務事項於章程中明定，公司法</w:t>
      </w:r>
      <w:proofErr w:type="gramStart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第一百五十七條定有</w:t>
      </w:r>
      <w:proofErr w:type="gramEnd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明文。</w:t>
      </w:r>
      <w:proofErr w:type="gramStart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惟</w:t>
      </w:r>
      <w:proofErr w:type="gramEnd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章程中尚非可明定特別股得按</w:t>
      </w:r>
      <w:proofErr w:type="gramStart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一股換數股</w:t>
      </w:r>
      <w:proofErr w:type="gramEnd"/>
      <w:r w:rsidRPr="00A1292E">
        <w:rPr>
          <w:rFonts w:ascii="Times New Roman" w:eastAsia="標楷體" w:hAnsi="標楷體" w:cs="細明體" w:hint="eastAsia"/>
          <w:color w:val="000000"/>
          <w:kern w:val="0"/>
          <w:szCs w:val="24"/>
        </w:rPr>
        <w:t>比例轉換為普通股者。</w:t>
      </w:r>
    </w:p>
    <w:p w:rsidR="005F3A5A" w:rsidRPr="0063670B" w:rsidRDefault="005F3A5A" w:rsidP="005F3A5A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/>
          <w:szCs w:val="24"/>
        </w:rPr>
      </w:pPr>
      <w:r w:rsidRPr="00A1292E">
        <w:rPr>
          <w:rFonts w:ascii="Times New Roman" w:eastAsia="標楷體" w:hAnsi="標楷體" w:hint="eastAsia"/>
          <w:szCs w:val="24"/>
          <w:u w:val="single"/>
        </w:rPr>
        <w:t>經濟部</w:t>
      </w:r>
      <w:r w:rsidRPr="00A1292E">
        <w:rPr>
          <w:rFonts w:ascii="Times New Roman" w:eastAsia="標楷體" w:hAnsi="Times New Roman" w:hint="eastAsia"/>
          <w:szCs w:val="24"/>
          <w:u w:val="single"/>
        </w:rPr>
        <w:t>93.3.12</w:t>
      </w:r>
      <w:r w:rsidRPr="00A1292E">
        <w:rPr>
          <w:rFonts w:ascii="Times New Roman" w:eastAsia="標楷體" w:hAnsi="標楷體" w:hint="eastAsia"/>
          <w:szCs w:val="24"/>
          <w:u w:val="single"/>
        </w:rPr>
        <w:t>經商字第</w:t>
      </w:r>
      <w:r w:rsidRPr="00A1292E">
        <w:rPr>
          <w:rFonts w:ascii="Times New Roman" w:eastAsia="標楷體" w:hAnsi="Times New Roman" w:hint="eastAsia"/>
          <w:szCs w:val="24"/>
          <w:u w:val="single"/>
        </w:rPr>
        <w:t>093202036930</w:t>
      </w:r>
      <w:r w:rsidRPr="00A1292E">
        <w:rPr>
          <w:rFonts w:ascii="Times New Roman" w:eastAsia="標楷體" w:hAnsi="標楷體" w:hint="eastAsia"/>
          <w:szCs w:val="24"/>
          <w:u w:val="single"/>
        </w:rPr>
        <w:t>號</w:t>
      </w:r>
      <w:proofErr w:type="gramStart"/>
      <w:r w:rsidRPr="00A1292E">
        <w:rPr>
          <w:rFonts w:ascii="Times New Roman" w:eastAsia="標楷體" w:hAnsi="標楷體" w:hint="eastAsia"/>
          <w:szCs w:val="24"/>
          <w:u w:val="single"/>
        </w:rPr>
        <w:t>（</w:t>
      </w:r>
      <w:proofErr w:type="gramEnd"/>
      <w:r w:rsidRPr="00A1292E">
        <w:rPr>
          <w:rFonts w:ascii="Times New Roman" w:eastAsia="標楷體" w:hAnsi="標楷體" w:hint="eastAsia"/>
          <w:szCs w:val="24"/>
          <w:u w:val="single"/>
        </w:rPr>
        <w:t>特别股不得限制</w:t>
      </w:r>
      <w:r w:rsidRPr="00A1292E">
        <w:rPr>
          <w:rFonts w:ascii="Times New Roman" w:eastAsia="標楷體" w:hint="eastAsia"/>
          <w:kern w:val="0"/>
          <w:szCs w:val="24"/>
          <w:u w:val="single"/>
        </w:rPr>
        <w:t>轉讓</w:t>
      </w:r>
      <w:r w:rsidRPr="00A1292E">
        <w:rPr>
          <w:rFonts w:ascii="Times New Roman" w:eastAsia="標楷體" w:hAnsi="標楷體" w:hint="eastAsia"/>
          <w:szCs w:val="24"/>
          <w:u w:val="single"/>
        </w:rPr>
        <w:t>）</w:t>
      </w:r>
      <w:r w:rsidRPr="00A1292E">
        <w:rPr>
          <w:rFonts w:ascii="Times New Roman" w:eastAsia="標楷體" w:hAnsi="標楷體" w:hint="eastAsia"/>
          <w:szCs w:val="24"/>
        </w:rPr>
        <w:t>：按公司法第一百六十三條第一項規定：「公司股份之轉讓，不得以章程禁止或限制之。但非於公司設立登記後，不得轉讓」。惟依同法第二百六十七條第六項規定，公司對員工行使承購之股份，得限制在一定期間不得轉讓，其期間最長不得超過二年（即員工承購發行之新股，有限制時間不得轉讓規定，此亦包括發行特別股之情形），</w:t>
      </w:r>
      <w:proofErr w:type="gramStart"/>
      <w:r w:rsidRPr="00A1292E">
        <w:rPr>
          <w:rFonts w:ascii="Times New Roman" w:eastAsia="標楷體" w:hAnsi="標楷體" w:hint="eastAsia"/>
          <w:szCs w:val="24"/>
        </w:rPr>
        <w:t>併</w:t>
      </w:r>
      <w:proofErr w:type="gramEnd"/>
      <w:r w:rsidRPr="00A1292E">
        <w:rPr>
          <w:rFonts w:ascii="Times New Roman" w:eastAsia="標楷體" w:hAnsi="標楷體" w:hint="eastAsia"/>
          <w:szCs w:val="24"/>
        </w:rPr>
        <w:t>為敘明。</w:t>
      </w:r>
    </w:p>
    <w:p w:rsidR="00CD7BAE" w:rsidRPr="005F3A5A" w:rsidRDefault="00CD7BAE" w:rsidP="00DB03D0">
      <w:pPr>
        <w:rPr>
          <w:rFonts w:ascii="Times New Roman" w:eastAsia="標楷體" w:hAnsi="Times New Roman"/>
        </w:rPr>
      </w:pPr>
    </w:p>
    <w:p w:rsidR="00CD7BAE" w:rsidRPr="00DB03D0" w:rsidRDefault="00CD7BAE" w:rsidP="00DB03D0">
      <w:pPr>
        <w:rPr>
          <w:rFonts w:ascii="Times New Roman" w:eastAsia="標楷體" w:hAnsi="Times New Roman"/>
        </w:rPr>
      </w:pPr>
    </w:p>
    <w:p w:rsidR="00CD7BAE" w:rsidRPr="00CD7BAE" w:rsidRDefault="00CD7BAE">
      <w:pPr>
        <w:rPr>
          <w:rFonts w:ascii="Times New Roman" w:eastAsia="標楷體" w:hAnsi="Times New Roman"/>
          <w:bdr w:val="single" w:sz="4" w:space="0" w:color="auto"/>
        </w:rPr>
      </w:pPr>
    </w:p>
    <w:sectPr w:rsidR="00CD7BAE" w:rsidRPr="00CD7BAE" w:rsidSect="00C00B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7867" w:rsidRDefault="00777867" w:rsidP="00824DE7">
      <w:r>
        <w:separator/>
      </w:r>
    </w:p>
  </w:endnote>
  <w:endnote w:type="continuationSeparator" w:id="0">
    <w:p w:rsidR="00777867" w:rsidRDefault="00777867" w:rsidP="00824D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7867" w:rsidRDefault="00777867" w:rsidP="00824DE7">
      <w:r>
        <w:separator/>
      </w:r>
    </w:p>
  </w:footnote>
  <w:footnote w:type="continuationSeparator" w:id="0">
    <w:p w:rsidR="00777867" w:rsidRDefault="00777867" w:rsidP="00824D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D7F9C"/>
    <w:multiLevelType w:val="hybridMultilevel"/>
    <w:tmpl w:val="0D26BEC0"/>
    <w:lvl w:ilvl="0" w:tplc="2F46FD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DE55997"/>
    <w:multiLevelType w:val="hybridMultilevel"/>
    <w:tmpl w:val="57024A54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3216F"/>
    <w:rsid w:val="00016EFC"/>
    <w:rsid w:val="00020420"/>
    <w:rsid w:val="000A7780"/>
    <w:rsid w:val="000E7EFE"/>
    <w:rsid w:val="000F70A1"/>
    <w:rsid w:val="001E7841"/>
    <w:rsid w:val="00303917"/>
    <w:rsid w:val="003C6661"/>
    <w:rsid w:val="004A488B"/>
    <w:rsid w:val="00522E10"/>
    <w:rsid w:val="00573A61"/>
    <w:rsid w:val="00586AAF"/>
    <w:rsid w:val="005F3A5A"/>
    <w:rsid w:val="0065225F"/>
    <w:rsid w:val="00680DB2"/>
    <w:rsid w:val="0072498A"/>
    <w:rsid w:val="0073216F"/>
    <w:rsid w:val="00755335"/>
    <w:rsid w:val="00764931"/>
    <w:rsid w:val="00777867"/>
    <w:rsid w:val="007E6CA9"/>
    <w:rsid w:val="008038DB"/>
    <w:rsid w:val="00824DE7"/>
    <w:rsid w:val="00832AF3"/>
    <w:rsid w:val="008464FB"/>
    <w:rsid w:val="008642DD"/>
    <w:rsid w:val="00956D10"/>
    <w:rsid w:val="00A44A34"/>
    <w:rsid w:val="00B26EC3"/>
    <w:rsid w:val="00C00B73"/>
    <w:rsid w:val="00C22448"/>
    <w:rsid w:val="00C46BCF"/>
    <w:rsid w:val="00C72B84"/>
    <w:rsid w:val="00CC1D8C"/>
    <w:rsid w:val="00CC6961"/>
    <w:rsid w:val="00CD7BAE"/>
    <w:rsid w:val="00D30C20"/>
    <w:rsid w:val="00D70CE6"/>
    <w:rsid w:val="00DB03D0"/>
    <w:rsid w:val="00E708B8"/>
    <w:rsid w:val="00E821EF"/>
    <w:rsid w:val="00F90C1E"/>
    <w:rsid w:val="00FD39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C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03D0"/>
    <w:pPr>
      <w:ind w:leftChars="200" w:left="480"/>
    </w:pPr>
  </w:style>
  <w:style w:type="table" w:styleId="a4">
    <w:name w:val="Table Grid"/>
    <w:basedOn w:val="a1"/>
    <w:uiPriority w:val="59"/>
    <w:rsid w:val="00DB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24DE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24D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24DE7"/>
    <w:rPr>
      <w:sz w:val="20"/>
      <w:szCs w:val="20"/>
    </w:rPr>
  </w:style>
  <w:style w:type="character" w:customStyle="1" w:styleId="highlight">
    <w:name w:val="highlight"/>
    <w:basedOn w:val="a0"/>
    <w:rsid w:val="005F3A5A"/>
  </w:style>
  <w:style w:type="character" w:styleId="a9">
    <w:name w:val="Hyperlink"/>
    <w:basedOn w:val="a0"/>
    <w:uiPriority w:val="99"/>
    <w:semiHidden/>
    <w:unhideWhenUsed/>
    <w:rsid w:val="005F3A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Ching-Ping Shao</dc:creator>
  <cp:lastModifiedBy>Ching-Ping Shao</cp:lastModifiedBy>
  <cp:revision>2</cp:revision>
  <dcterms:created xsi:type="dcterms:W3CDTF">2015-02-14T00:45:00Z</dcterms:created>
  <dcterms:modified xsi:type="dcterms:W3CDTF">2015-02-14T00:45:00Z</dcterms:modified>
</cp:coreProperties>
</file>