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startseite"/>
    <w:p>
      <w:pPr>
        <w:pStyle w:val="Heading1"/>
      </w:pPr>
      <w:r>
        <w:t xml:space="preserve">Startseite</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w:t>
      </w:r>
    </w:p>
    <w:bookmarkEnd w:id="21"/>
    <w:bookmarkStart w:id="30" w:name="ausrüstungs-erweiterungen"/>
    <w:p>
      <w:pPr>
        <w:pStyle w:val="Heading1"/>
      </w:pPr>
      <w:r>
        <w:t xml:space="preserve">Ausrüstungs-Erweiterungen</w:t>
      </w:r>
    </w:p>
    <w:bookmarkStart w:id="22" w:name="gegenstände"/>
    <w:p>
      <w:pPr>
        <w:pStyle w:val="Heading2"/>
      </w:pPr>
      <w:r>
        <w:t xml:space="preserve">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r>
      <w:tr>
        <w:tc>
          <w:p>
            <w:pPr>
              <w:pStyle w:val="Compact"/>
              <w:jc w:val="left"/>
            </w:pPr>
            <w:r>
              <w:t xml:space="preserve">Kuh-Milch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r>
      <w:tr>
        <w:tc>
          <w:p>
            <w:pPr>
              <w:pStyle w:val="Compact"/>
              <w:jc w:val="left"/>
            </w:pPr>
            <w:r>
              <w:t xml:space="preserve">Ziegen-Milch</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r>
      <w:tr>
        <w:tc>
          <w:p>
            <w:pPr>
              <w:pStyle w:val="Compact"/>
              <w:jc w:val="left"/>
            </w:pPr>
            <w:r>
              <w:t xml:space="preserve">Schaf-Milch</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sie Zwerge tragen</w:t>
            </w:r>
          </w:p>
        </w:tc>
      </w:tr>
    </w:tbl>
    <w:bookmarkEnd w:id="22"/>
    <w:bookmarkStart w:id="23" w:name="waffen-nahkampf"/>
    <w:p>
      <w:pPr>
        <w:pStyle w:val="Heading2"/>
      </w:pPr>
      <w:r>
        <w:t xml:space="preserve">Waffen (Nahkampf)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r>
    </w:tbl>
    <w:bookmarkEnd w:id="23"/>
    <w:bookmarkStart w:id="24"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4"/>
    <w:bookmarkStart w:id="25"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5"/>
    <w:bookmarkStart w:id="26"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6"/>
    <w:bookmarkStart w:id="27"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7"/>
    <w:bookmarkStart w:id="28"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8"/>
    <w:bookmarkStart w:id="29" w:name="magische-gegenstände"/>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2020-08-01T20:37:02Z</dcterms:created>
  <dcterms:modified xsi:type="dcterms:W3CDTF">2020-08-01T20:37:02Z</dcterms:modified>
</cp:coreProperties>
</file>

<file path=docProps/custom.xml><?xml version="1.0" encoding="utf-8"?>
<Properties xmlns="http://schemas.openxmlformats.org/officeDocument/2006/custom-properties" xmlns:vt="http://schemas.openxmlformats.org/officeDocument/2006/docPropsVTypes"/>
</file>