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discusses implementation considerations and computational complexity. Section 11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coherence_t</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maintains a persistent background affective tone:</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clamp(M_t, −1.0, 1.0)</w:t>
      </w:r>
    </w:p>
    <w:p>
      <w:r>
        <w:t xml:space="preserve">Note that this update does not enforce coefficient normalization; the explicit clamp handles potential accumulation. The mood state provides a separate threshold bias:</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4.3.2 Dynamic Stability Update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pPr>
        <w:pStyle w:val="Heading2"/>
      </w:pPr>
      <w:r>
        <w:t xml:space="preserve">5.1 Embedding-Derived Metrics</w:t>
      </w:r>
    </w:p>
    <w:p>
      <w:pPr>
        <w:pStyle w:val="Heading3"/>
      </w:pPr>
      <w:r>
        <w:t xml:space="preserve">5.1.1 Coherence</w:t>
      </w:r>
    </w:p>
    <w:p>
      <w:r>
        <w:t xml:space="preserve">Coherence measures integration of the current signal with context:</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coherence_t ← 1 − clamp(raw, 0, 1)</w:t>
      </w:r>
    </w:p>
    <w:p>
      <w:r>
        <w:t xml:space="preserve">High coherence (low variance in similarities) indicates the signal fits consistently with context. The effective Focus is modulated: F_eff = F × (0.5 + 0.5 × coherence_t).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2"/>
      </w:pPr>
      <w:r>
        <w:t xml:space="preserve">6.3 Threshold Integration</w:t>
      </w:r>
    </w:p>
    <w:p>
      <w:r>
        <w:t xml:space="preserve">All threshold deltas combine and pass through safety limiting:</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trigger = (emotion_intensity_t ≥ θ_intensity) AND</w:t>
      </w:r>
    </w:p>
    <w:p>
      <w:pPr>
        <w:pStyle w:val="Equation"/>
      </w:pPr>
      <w:r>
        <w:rPr>
          <w:rFonts w:ascii="Courier New" w:cs="Courier New" w:eastAsia="Courier New" w:hAnsi="Courier New"/>
          <w:sz w:val="20"/>
          <w:szCs w:val="20"/>
        </w:rPr>
        <w:t xml:space="preserve">           (arousal_t ≥ θ_arousal)</w:t>
      </w:r>
    </w:p>
    <w:p>
      <w:r>
        <w:t xml:space="preserve">Flashbulb memories receive extended half-life bonuses:</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emotion_intensity_t)</w:t>
      </w:r>
    </w:p>
    <w:p>
      <w:r>
        <w:t xml:space="preserve">Emotional tags cascade to related memories with decay:</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w:t>
      </w:r>
    </w:p>
    <w:p>
      <w:pPr>
        <w:pStyle w:val="Heading2"/>
      </w:pPr>
      <w:r>
        <w:t xml:space="preserve">9.1 Consolidation Triggers</w:t>
      </w:r>
    </w:p>
    <w:p>
      <w:r>
        <w:t xml:space="preserve">Consolidation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should_start = (NOT is_processing_signal)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On retrieval events, consolidation pauses, commits micro-batches, and resumes when idle.</w:t>
      </w:r>
    </w:p>
    <w:p>
      <w:pPr>
        <w:pStyle w:val="Heading2"/>
      </w:pPr>
      <w:r>
        <w:t xml:space="preserve">9.2 Consolidation Scoring</w:t>
      </w:r>
    </w:p>
    <w:p>
      <w:r>
        <w:t xml:space="preserve">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text</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3"/>
        </w:numPr>
      </w:pPr>
      <w:r>
        <w:rPr>
          <w:b/>
          <w:bCs/>
        </w:rPr>
        <w:t xml:space="preserve">co_occurs_with: </w:t>
      </w:r>
      <w:r>
        <w:t xml:space="preserve">Shared context or temporal proximity</w:t>
      </w:r>
    </w:p>
    <w:p>
      <w:pPr>
        <w:pStyle w:val="ListParagraph"/>
        <w:numPr>
          <w:ilvl w:val="0"/>
          <w:numId w:val="3"/>
        </w:numPr>
      </w:pPr>
      <w:r>
        <w:rPr>
          <w:b/>
          <w:bCs/>
        </w:rPr>
        <w:t xml:space="preserve">implies/causes: </w:t>
      </w:r>
      <w:r>
        <w:t xml:space="preserve">Directional correlation in embedding drift</w:t>
      </w:r>
    </w:p>
    <w:p>
      <w:pPr>
        <w:pStyle w:val="ListParagraph"/>
        <w:numPr>
          <w:ilvl w:val="0"/>
          <w:numId w:val="3"/>
        </w:numPr>
      </w:pPr>
      <w:r>
        <w:rPr>
          <w:b/>
          <w:bCs/>
        </w:rPr>
        <w:t xml:space="preserve">contradicts: </w:t>
      </w:r>
      <w:r>
        <w:t xml:space="preserve">Strong negative similarity or schema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9.6 Graph-Augmented Retrieval</w:t>
      </w:r>
    </w:p>
    <w:p>
      <w:r>
        <w:t xml:space="preserve">Retrieval combines vector similarity with graph expansion:</w:t>
      </w:r>
    </w:p>
    <w:p>
      <w:pPr>
        <w:pStyle w:val="Equation"/>
      </w:pPr>
      <w:r>
        <w:rPr>
          <w:rFonts w:ascii="Courier New" w:cs="Courier New" w:eastAsia="Courier New" w:hAnsi="Courier New"/>
          <w:sz w:val="20"/>
          <w:szCs w:val="20"/>
        </w:rPr>
        <w:t xml:space="preserve">results_vec ← topK(vector_search(x_t,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sort_by(cos(x_t, embeddings(combined)))</w:t>
      </w:r>
    </w:p>
    <w:p>
      <w:r>
        <w:t xml:space="preserve">Graph expansion uses recursive traversal with depth limits to find related context that pure vector search might miss.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w:t>
      </w:r>
    </w:p>
    <w:p>
      <w:pPr>
        <w:pStyle w:val="Equation"/>
      </w:pPr>
      <w:r>
        <w:rPr>
          <w:rFonts w:ascii="Courier New" w:cs="Courier New" w:eastAsia="Courier New" w:hAnsi="Courier New"/>
          <w:sz w:val="20"/>
          <w:szCs w:val="20"/>
        </w:rPr>
        <w:t xml:space="preserve">w_cov = normalize(lerp(0.40, 0.60, F))  # coverage gain</w:t>
      </w:r>
    </w:p>
    <w:p>
      <w:pPr>
        <w:pStyle w:val="Equation"/>
      </w:pPr>
      <w:r>
        <w:rPr>
          <w:rFonts w:ascii="Courier New" w:cs="Courier New" w:eastAsia="Courier New" w:hAnsi="Courier New"/>
          <w:sz w:val="20"/>
          <w:szCs w:val="20"/>
        </w:rPr>
        <w:t xml:space="preserve">w_rel = normalize(lerp(0.35, 0.25, F))  # relevance</w:t>
      </w:r>
    </w:p>
    <w:p>
      <w:pPr>
        <w:pStyle w:val="Equation"/>
      </w:pPr>
      <w:r>
        <w:rPr>
          <w:rFonts w:ascii="Courier New" w:cs="Courier New" w:eastAsia="Courier New" w:hAnsi="Courier New"/>
          <w:sz w:val="20"/>
          <w:szCs w:val="20"/>
        </w:rPr>
        <w:t xml:space="preserve">w_red = normalize(lerp(0.15, 0.25, S))  # redundancy penalty</w:t>
      </w:r>
    </w:p>
    <w:p>
      <w:pPr>
        <w:pStyle w:val="Equation"/>
      </w:pPr>
      <w:r>
        <w:rPr>
          <w:rFonts w:ascii="Courier New" w:cs="Courier New" w:eastAsia="Courier New" w:hAnsi="Courier New"/>
          <w:sz w:val="20"/>
          <w:szCs w:val="20"/>
        </w:rPr>
        <w:t xml:space="preserve">w_coh = normalize(lerp(0.15, 0.25, S))  # incoherence penalty</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coherence_t)</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if drift_accum &gt; pacing_thresh(S):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w:t>
      </w:r>
    </w:p>
    <w:p>
      <w:r>
        <w:br w:type="page"/>
      </w:r>
    </w:p>
    <w:p>
      <w:pPr>
        <w:pStyle w:val="Heading1"/>
      </w:pPr>
      <w:r>
        <w:t xml:space="preserve">11. Implementation Considerations</w:t>
      </w:r>
    </w:p>
    <w:p>
      <w:pPr>
        <w:pStyle w:val="Heading2"/>
      </w:pPr>
      <w:r>
        <w:t xml:space="preserve">11.1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11.2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11.3 State Persistence</w:t>
      </w:r>
    </w:p>
    <w:p>
      <w:r>
        <w:t xml:space="preserve">System state partitions across tables for efficient resumption:</w:t>
      </w:r>
    </w:p>
    <w:p>
      <w:pPr>
        <w:pStyle w:val="ListParagraph"/>
        <w:numPr>
          <w:ilvl w:val="0"/>
          <w:numId w:val="3"/>
        </w:numPr>
      </w:pPr>
      <w:r>
        <w:rPr>
          <w:b/>
          <w:bCs/>
        </w:rPr>
        <w:t xml:space="preserve">Processor State: </w:t>
      </w:r>
      <w:r>
        <w:t xml:space="preserve">Single-row table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On startup, the system loads persisted state and resumes processing seamlessly.</w:t>
      </w:r>
    </w:p>
    <w:p>
      <w:pPr>
        <w:pStyle w:val="Heading2"/>
      </w:pPr>
      <w:r>
        <w:t xml:space="preserve">11.4 Database Considerations</w:t>
      </w:r>
    </w:p>
    <w:p>
      <w:r>
        <w:t xml:space="preserve">The architecture assumes SQLite with vector extensions (sqlite-vec) for single-node deployment. Key optimizations:</w:t>
      </w:r>
    </w:p>
    <w:p>
      <w:pPr>
        <w:pStyle w:val="ListParagraph"/>
        <w:numPr>
          <w:ilvl w:val="0"/>
          <w:numId w:val="3"/>
        </w:numPr>
      </w:pPr>
      <w:r>
        <w:t xml:space="preserve">WAL mode for concurrent read/write access</w:t>
      </w:r>
    </w:p>
    <w:p>
      <w:pPr>
        <w:pStyle w:val="ListParagraph"/>
        <w:numPr>
          <w:ilvl w:val="0"/>
          <w:numId w:val="3"/>
        </w:numPr>
      </w:pPr>
      <w:r>
        <w:t xml:space="preserve">Write coalescing at episode boundaries to reduce fsync overhead</w:t>
      </w:r>
    </w:p>
    <w:p>
      <w:pPr>
        <w:pStyle w:val="ListParagraph"/>
        <w:numPr>
          <w:ilvl w:val="0"/>
          <w:numId w:val="3"/>
        </w:numPr>
      </w:pPr>
      <w:r>
        <w:t xml:space="preserve">Partial indices on high-cardinality columns (type, cluster_id)</w:t>
      </w:r>
    </w:p>
    <w:p>
      <w:pPr>
        <w:pStyle w:val="ListParagraph"/>
        <w:numPr>
          <w:ilvl w:val="0"/>
          <w:numId w:val="3"/>
        </w:numPr>
      </w:pPr>
      <w:r>
        <w:t xml:space="preserve">FTS5 virtual tables for hybrid text/vector retrieval</w:t>
      </w:r>
    </w:p>
    <w:p>
      <w:r>
        <w:t xml:space="preserve">For distributed deployment, the consolidation system's batch-oriented design maps naturally to periodic MapReduce-style jobs, while the streaming path remains latency-sensitive and benefits from in-memory caching.</w:t>
      </w:r>
    </w:p>
    <w:p>
      <w:r>
        <w:br w:type="page"/>
      </w:r>
    </w:p>
    <w:p>
      <w:pPr>
        <w:pStyle w:val="Heading1"/>
      </w:pPr>
      <w:r>
        <w:t xml:space="preserve">12. Discussion and Conclusion</w:t>
      </w:r>
    </w:p>
    <w:p>
      <w:pPr>
        <w:pStyle w:val="Heading2"/>
      </w:pPr>
      <w:r>
        <w:t xml:space="preserve">12.1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12.2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12.3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12.4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12.5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2025-12-15T21:43:38.862Z</dcterms:created>
  <dcterms:modified xsi:type="dcterms:W3CDTF">2025-12-15T21:43:38.862Z</dcterms:modified>
</cp:coreProperties>
</file>

<file path=docProps/custom.xml><?xml version="1.0" encoding="utf-8"?>
<Properties xmlns="http://schemas.openxmlformats.org/officeDocument/2006/custom-properties" xmlns:vt="http://schemas.openxmlformats.org/officeDocument/2006/docPropsVTypes"/>
</file>