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i w:val="0"/>
          <w:color w:val="B28A3B"/>
          <w:sz w:val="26"/>
        </w:rPr>
        <w:t>ARTDACI</w:t>
      </w:r>
    </w:p>
    <w:p>
      <w:pPr>
        <w:spacing w:after="120"/>
        <w:jc w:val="center"/>
      </w:pPr>
      <w:r>
        <w:rPr>
          <w:rFonts w:ascii="Aptos" w:hAnsi="Aptos"/>
          <w:b/>
          <w:i w:val="0"/>
          <w:color w:val="10283F"/>
          <w:sz w:val="58"/>
        </w:rPr>
        <w:t>MASTER PRODUCTION PLAN</w:t>
      </w:r>
    </w:p>
    <w:p>
      <w:pPr>
        <w:spacing w:after="520"/>
        <w:jc w:val="center"/>
      </w:pPr>
      <w:r>
        <w:rPr>
          <w:rFonts w:ascii="Aptos" w:hAnsi="Aptos"/>
          <w:b w:val="0"/>
          <w:i w:val="0"/>
          <w:color w:val="245E78"/>
          <w:sz w:val="30"/>
        </w:rPr>
        <w:t>Livre imprimé autonome · Musée augmenté facultatif</w:t>
      </w:r>
    </w:p>
    <w:p>
      <w:pPr>
        <w:spacing w:after="920"/>
        <w:jc w:val="center"/>
      </w:pPr>
      <w:r>
        <w:rPr>
          <w:rFonts w:ascii="Aptos" w:hAnsi="Aptos"/>
          <w:b/>
          <w:i w:val="0"/>
          <w:color w:val="202B33"/>
          <w:sz w:val="25"/>
        </w:rPr>
        <w:t>Da Vinci · Vermeer · Van Gogh · Monet</w:t>
      </w:r>
    </w:p>
    <w:tbl>
      <w:tblPr>
        <w:tblW w:type="auto" w:w="0"/>
        <w:jc w:val="center"/>
        <w:tblLayout w:type="fixed"/>
        <w:tblLook w:firstColumn="1" w:firstRow="1" w:lastColumn="0" w:lastRow="0" w:noHBand="0" w:noVBand="1" w:val="04A0"/>
      </w:tblPr>
      <w:tblGrid>
        <w:gridCol w:w="9720"/>
      </w:tblGrid>
      <w:tr>
        <w:trPr>
          <w:cantSplit/>
        </w:trPr>
        <w:tc>
          <w:tcPr>
            <w:tcW w:type="dxa" w:w="9994"/>
            <w:shd w:fill="F5EFE2"/>
            <w:tcMar>
              <w:top w:w="150" w:type="dxa"/>
              <w:start w:w="180" w:type="dxa"/>
              <w:bottom w:w="150" w:type="dxa"/>
              <w:end w:w="180" w:type="dxa"/>
            </w:tcMar>
          </w:tcPr>
          <w:p>
            <w:pPr>
              <w:spacing w:after="60"/>
            </w:pPr>
            <w:r/>
            <w:r>
              <w:rPr>
                <w:rFonts w:ascii="Aptos" w:hAnsi="Aptos"/>
                <w:b/>
                <w:color w:val="B28A3B"/>
                <w:sz w:val="18"/>
              </w:rPr>
              <w:t>DOCTRINE ÉDITORIALE</w:t>
            </w:r>
          </w:p>
          <w:p>
            <w:pPr>
              <w:spacing w:after="0" w:line="269" w:lineRule="auto"/>
            </w:pPr>
            <w:r>
              <w:rPr>
                <w:rFonts w:ascii="Aptos" w:hAnsi="Aptos"/>
                <w:b/>
                <w:color w:val="10283F"/>
                <w:sz w:val="20"/>
              </w:rPr>
              <w:t>Le livre imprimé est l’œuvre de référence. Il doit être complet, utile et durable sans téléphone, sans caméra, sans connexion Internet et sans équipement immersif. L’AR, la VR, la 3D, l’IA, l’audio, la vidéo et les QR codes ajoutent des couches facultatives ; ils ne remplacent jamais le contenu essentiel.</w:t>
            </w:r>
          </w:p>
        </w:tc>
      </w:tr>
    </w:tbl>
    <w:p>
      <w:pPr>
        <w:spacing w:after="20"/>
      </w:pPr>
    </w:p>
    <w:p>
      <w:pPr>
        <w:spacing w:after="160"/>
        <w:jc w:val="center"/>
      </w:pPr>
      <w:r>
        <w:rPr>
          <w:rFonts w:ascii="Aptos" w:hAnsi="Aptos"/>
          <w:b w:val="0"/>
          <w:i/>
          <w:color w:val="5D6B75"/>
          <w:sz w:val="20"/>
        </w:rPr>
        <w:t>Document de pilotage éditorial, scientifique, iconographique, technique et industriel</w:t>
      </w:r>
    </w:p>
    <w:p>
      <w:pPr>
        <w:jc w:val="center"/>
      </w:pPr>
      <w:r>
        <w:rPr>
          <w:rFonts w:ascii="Aptos" w:hAnsi="Aptos"/>
          <w:b w:val="0"/>
          <w:i w:val="0"/>
          <w:color w:val="5D6B75"/>
          <w:sz w:val="19"/>
        </w:rPr>
        <w:t>Version du 11 août 2026</w:t>
      </w:r>
    </w:p>
    <w:p>
      <w:r>
        <w:br w:type="page"/>
      </w:r>
    </w:p>
    <w:p>
      <w:pPr>
        <w:pStyle w:val="Heading1"/>
      </w:pPr>
      <w:r>
        <w:t>1. Résumé exécutif</w:t>
      </w:r>
    </w:p>
    <w:p>
      <w:r>
        <w:rPr>
          <w:rFonts w:ascii="Aptos" w:hAnsi="Aptos"/>
          <w:b w:val="0"/>
          <w:i w:val="0"/>
          <w:color w:val="202B33"/>
          <w:sz w:val="20"/>
        </w:rPr>
        <w:t>ARTDACI est un projet de livre d’art imprimé consacré à quatre peintres majeurs — Léonard de Vinci, Johannes Vermeer, Vincent van Gogh et Claude Monet — prolongé par un écosystème numérique optionnel. Le présent plan transforme la logique initiale “print + technologies” en une logique éditoriale hiérarchisée : d’abord une référence imprimée indépendante, ensuite des extensions numériques, enfin une plateforme durable capable de les distribuer.</w:t>
      </w:r>
    </w:p>
    <w:tbl>
      <w:tblPr>
        <w:tblW w:type="auto" w:w="0"/>
        <w:jc w:val="center"/>
        <w:tblLayout w:type="fixed"/>
        <w:tblLook w:firstColumn="1" w:firstRow="1" w:lastColumn="0" w:lastRow="0" w:noHBand="0" w:noVBand="1" w:val="04A0"/>
      </w:tblPr>
      <w:tblGrid>
        <w:gridCol w:w="9720"/>
      </w:tblGrid>
      <w:tr>
        <w:trPr>
          <w:cantSplit/>
        </w:trPr>
        <w:tc>
          <w:tcPr>
            <w:tcW w:type="dxa" w:w="9994"/>
            <w:shd w:fill="EAF0F4"/>
            <w:tcMar>
              <w:top w:w="150" w:type="dxa"/>
              <w:start w:w="180" w:type="dxa"/>
              <w:bottom w:w="150" w:type="dxa"/>
              <w:end w:w="180" w:type="dxa"/>
            </w:tcMar>
          </w:tcPr>
          <w:p>
            <w:pPr>
              <w:spacing w:after="60"/>
            </w:pPr>
            <w:r/>
            <w:r>
              <w:rPr>
                <w:rFonts w:ascii="Aptos" w:hAnsi="Aptos"/>
                <w:b/>
                <w:color w:val="B28A3B"/>
                <w:sz w:val="18"/>
              </w:rPr>
              <w:t>DÉCISION STRUCTURANTE</w:t>
            </w:r>
          </w:p>
          <w:p>
            <w:pPr>
              <w:spacing w:after="0" w:line="269" w:lineRule="auto"/>
            </w:pPr>
            <w:r>
              <w:rPr>
                <w:rFonts w:ascii="Aptos" w:hAnsi="Aptos"/>
                <w:b/>
                <w:color w:val="10283F"/>
                <w:sz w:val="20"/>
              </w:rPr>
              <w:t>Toute information indispensable à la compréhension des artistes et des œuvres doit figurer dans le livre. Un lecteur qui ne scanne aucun QR code doit recevoir une expérience culturelle complète.</w:t>
            </w:r>
          </w:p>
        </w:tc>
      </w:tr>
    </w:tbl>
    <w:p>
      <w:pPr>
        <w:spacing w:after="20"/>
      </w:pPr>
    </w:p>
    <w:p>
      <w:pPr>
        <w:pStyle w:val="Heading2"/>
      </w:pPr>
      <w:r>
        <w:t>1.1 Livrables principaux</w:t>
      </w:r>
    </w:p>
    <w:p>
      <w:pPr>
        <w:pStyle w:val="ListBullet"/>
      </w:pPr>
      <w:r>
        <w:t>Un livre imprimé de référence, richement illustré, organisé en quatre monographies et un parcours comparatif.</w:t>
      </w:r>
    </w:p>
    <w:p>
      <w:pPr>
        <w:pStyle w:val="ListBullet"/>
      </w:pPr>
      <w:r>
        <w:t>Un corpus éditorial validé : biographies, chronologies, analyses, techniques, contextes, provenances, conservation, réception et bibliographies.</w:t>
      </w:r>
    </w:p>
    <w:p>
      <w:pPr>
        <w:pStyle w:val="ListBullet"/>
      </w:pPr>
      <w:r>
        <w:t>Une iconographie haute définition avec droits, crédits, légendes éditoriales et fichiers maîtres distincts des cibles AR.</w:t>
      </w:r>
    </w:p>
    <w:p>
      <w:pPr>
        <w:pStyle w:val="ListBullet"/>
      </w:pPr>
      <w:r>
        <w:t>Un site multilingue et une galerie VR offrant audio, vidéo, modèles 3D, image tracking, cinéma virtuel, Livre Vivant et guide ChatGPT.</w:t>
      </w:r>
    </w:p>
    <w:p>
      <w:pPr>
        <w:pStyle w:val="ListBullet"/>
      </w:pPr>
      <w:r>
        <w:t>Un système de QR codes et d’URL stables permettant d’atteindre les contenus numériques sans rendre le livre dépendant de ceux-ci.</w:t>
      </w:r>
    </w:p>
    <w:p>
      <w:pPr>
        <w:pStyle w:val="Heading2"/>
      </w:pPr>
      <w:r>
        <w:t>1.2 Périmètre éditorial</w:t>
      </w:r>
    </w:p>
    <w:p>
      <w:r>
        <w:rPr>
          <w:rFonts w:ascii="Aptos" w:hAnsi="Aptos"/>
          <w:b w:val="0"/>
          <w:i w:val="0"/>
          <w:color w:val="202B33"/>
          <w:sz w:val="20"/>
        </w:rPr>
        <w:t>Le corpus de production comprend 32 œuvres (huit par peintre). Quatre œuvres signatures reçoivent un traitement prioritaire et exemplaire : Mona Lisa, Girl with a Pearl Earring, Self-Portrait de Van Gogh et Impression, Sunrise. Elles structurent les prototypes imprimés et numériques.</w:t>
      </w:r>
    </w:p>
    <w:p>
      <w:pPr>
        <w:pStyle w:val="Heading1"/>
      </w:pPr>
      <w:r>
        <w:t>2. Principes non négociables</w:t>
      </w:r>
    </w:p>
    <w:tbl>
      <w:tblPr>
        <w:tblStyle w:val="TableGrid"/>
        <w:tblW w:type="auto" w:w="0"/>
        <w:jc w:val="center"/>
        <w:tblLayout w:type="fixed"/>
        <w:tblLook w:firstColumn="1" w:firstRow="1" w:lastColumn="0" w:lastRow="0" w:noHBand="0" w:noVBand="1" w:val="04A0"/>
      </w:tblPr>
      <w:tblGrid>
        <w:gridCol w:w="2088"/>
        <w:gridCol w:w="7632"/>
      </w:tblGrid>
      <w:tr>
        <w:trPr>
          <w:tblHeader w:val="true"/>
          <w:cantSplit/>
        </w:trPr>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8"/>
              </w:rPr>
              <w:t>Principe</w:t>
            </w:r>
          </w:p>
        </w:tc>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8"/>
              </w:rPr>
              <w:t>Exigence de production</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8"/>
              </w:rPr>
              <w:t>Print first</w:t>
            </w:r>
          </w:p>
        </w:tc>
        <w:tc>
          <w:tcPr>
            <w:tcW w:type="dxa" w:w="7632"/>
            <w:vAlign w:val="center"/>
            <w:tcMar>
              <w:top w:w="90" w:type="dxa"/>
              <w:start w:w="120" w:type="dxa"/>
              <w:bottom w:w="90" w:type="dxa"/>
              <w:end w:w="120" w:type="dxa"/>
            </w:tcMar>
          </w:tcPr>
          <w:p>
            <w:pPr>
              <w:spacing w:after="0" w:line="247" w:lineRule="auto"/>
              <w:jc w:val="left"/>
            </w:pPr>
            <w:r/>
            <w:r>
              <w:rPr>
                <w:rFonts w:ascii="Aptos" w:hAnsi="Aptos"/>
                <w:b w:val="0"/>
                <w:color w:val="202B33"/>
                <w:sz w:val="18"/>
              </w:rPr>
              <w:t>Le texte, les images, les repères historiques et l’analyse nécessaires sont imprimés.</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8"/>
              </w:rPr>
              <w:t>Autonomie</w:t>
            </w:r>
          </w:p>
        </w:tc>
        <w:tc>
          <w:tcPr>
            <w:tcW w:type="dxa" w:w="76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8"/>
              </w:rPr>
              <w:t>Aucun chapitre ne renvoie au numérique pour compléter une lacune essentielle.</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8"/>
              </w:rPr>
              <w:t>Enrichissement</w:t>
            </w:r>
          </w:p>
        </w:tc>
        <w:tc>
          <w:tcPr>
            <w:tcW w:type="dxa" w:w="7632"/>
            <w:vAlign w:val="center"/>
            <w:tcMar>
              <w:top w:w="90" w:type="dxa"/>
              <w:start w:w="120" w:type="dxa"/>
              <w:bottom w:w="90" w:type="dxa"/>
              <w:end w:w="120" w:type="dxa"/>
            </w:tcMar>
          </w:tcPr>
          <w:p>
            <w:pPr>
              <w:spacing w:after="0" w:line="247" w:lineRule="auto"/>
              <w:jc w:val="left"/>
            </w:pPr>
            <w:r/>
            <w:r>
              <w:rPr>
                <w:rFonts w:ascii="Aptos" w:hAnsi="Aptos"/>
                <w:b w:val="0"/>
                <w:color w:val="202B33"/>
                <w:sz w:val="18"/>
              </w:rPr>
              <w:t>Chaque média numérique répond à une question que le papier traite moins bien : mouvement, son, volume, espace ou interaction.</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8"/>
              </w:rPr>
              <w:t>Durabilité</w:t>
            </w:r>
          </w:p>
        </w:tc>
        <w:tc>
          <w:tcPr>
            <w:tcW w:type="dxa" w:w="76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8"/>
              </w:rPr>
              <w:t>Les URL sont stables, les QR remplaçables par redirection et le livre reste valable si un service disparaît.</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8"/>
              </w:rPr>
              <w:t>Rigueur</w:t>
            </w:r>
          </w:p>
        </w:tc>
        <w:tc>
          <w:tcPr>
            <w:tcW w:type="dxa" w:w="7632"/>
            <w:vAlign w:val="center"/>
            <w:tcMar>
              <w:top w:w="90" w:type="dxa"/>
              <w:start w:w="120" w:type="dxa"/>
              <w:bottom w:w="90" w:type="dxa"/>
              <w:end w:w="120" w:type="dxa"/>
            </w:tcMar>
          </w:tcPr>
          <w:p>
            <w:pPr>
              <w:spacing w:after="0" w:line="247" w:lineRule="auto"/>
              <w:jc w:val="left"/>
            </w:pPr>
            <w:r/>
            <w:r>
              <w:rPr>
                <w:rFonts w:ascii="Aptos" w:hAnsi="Aptos"/>
                <w:b w:val="0"/>
                <w:color w:val="202B33"/>
                <w:sz w:val="18"/>
              </w:rPr>
              <w:t>Les faits, datations, attributions, valeurs et interprétations sont sourcés et distingués.</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8"/>
              </w:rPr>
              <w:t>Accessibilité</w:t>
            </w:r>
          </w:p>
        </w:tc>
        <w:tc>
          <w:tcPr>
            <w:tcW w:type="dxa" w:w="76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8"/>
              </w:rPr>
              <w:t>Transcriptions, sous-titres, alternatives textuelles, contraste et navigation sans caméra sont obligatoires.</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8"/>
              </w:rPr>
              <w:t>Sobriété</w:t>
            </w:r>
          </w:p>
        </w:tc>
        <w:tc>
          <w:tcPr>
            <w:tcW w:type="dxa" w:w="7632"/>
            <w:vAlign w:val="center"/>
            <w:tcMar>
              <w:top w:w="90" w:type="dxa"/>
              <w:start w:w="120" w:type="dxa"/>
              <w:bottom w:w="90" w:type="dxa"/>
              <w:end w:w="120" w:type="dxa"/>
            </w:tcMar>
          </w:tcPr>
          <w:p>
            <w:pPr>
              <w:spacing w:after="0" w:line="247" w:lineRule="auto"/>
              <w:jc w:val="left"/>
            </w:pPr>
            <w:r/>
            <w:r>
              <w:rPr>
                <w:rFonts w:ascii="Aptos" w:hAnsi="Aptos"/>
                <w:b w:val="0"/>
                <w:color w:val="202B33"/>
                <w:sz w:val="18"/>
              </w:rPr>
              <w:t>Les modèles, vidéos et textures sont optimisés pour mobile et Meta Quest ; le chargement progressif prévaut.</w:t>
            </w:r>
          </w:p>
        </w:tc>
      </w:tr>
    </w:tbl>
    <w:p>
      <w:pPr>
        <w:spacing w:after="40"/>
      </w:pPr>
    </w:p>
    <w:p>
      <w:r>
        <w:br w:type="page"/>
      </w:r>
    </w:p>
    <w:p>
      <w:pPr>
        <w:pStyle w:val="Heading1"/>
      </w:pPr>
      <w:r>
        <w:t>3. Architecture du livre imprimé</w:t>
      </w:r>
    </w:p>
    <w:p>
      <w:pPr>
        <w:pStyle w:val="Heading2"/>
      </w:pPr>
      <w:r>
        <w:t>3.1 Format éditorial recommandé</w:t>
      </w:r>
    </w:p>
    <w:p>
      <w:pPr>
        <w:pStyle w:val="ListBullet"/>
      </w:pPr>
      <w:r>
        <w:t>Format cible : 23 × 28 cm ou 24 × 30 cm, reliure premium permettant une ouverture confortable.</w:t>
      </w:r>
    </w:p>
    <w:p>
      <w:pPr>
        <w:pStyle w:val="ListBullet"/>
      </w:pPr>
      <w:r>
        <w:t>Pagination cible : 280 à 320 pages, ajustée après chemin de fer et essais d’impression.</w:t>
      </w:r>
    </w:p>
    <w:p>
      <w:pPr>
        <w:pStyle w:val="ListBullet"/>
      </w:pPr>
      <w:r>
        <w:t>Papier intérieur : couché mat ou demi-mat 135–170 g/m² ; épreuves obligatoires pour la colorimétrie, le contraste et les reflets.</w:t>
      </w:r>
    </w:p>
    <w:p>
      <w:pPr>
        <w:pStyle w:val="ListBullet"/>
      </w:pPr>
      <w:r>
        <w:t>Couverture : cartonnée ou souple premium selon coût, avec titre lisible et identité ARTDACI durable, sans promesse technologique dominante.</w:t>
      </w:r>
    </w:p>
    <w:p>
      <w:pPr>
        <w:pStyle w:val="Heading2"/>
      </w:pPr>
      <w:r>
        <w:t>3.2 Chemin de fer indicatif</w:t>
      </w:r>
    </w:p>
    <w:tbl>
      <w:tblPr>
        <w:tblStyle w:val="TableGrid"/>
        <w:tblW w:type="auto" w:w="0"/>
        <w:jc w:val="center"/>
        <w:tblLayout w:type="fixed"/>
        <w:tblLook w:firstColumn="1" w:firstRow="1" w:lastColumn="0" w:lastRow="0" w:noHBand="0" w:noVBand="1" w:val="04A0"/>
      </w:tblPr>
      <w:tblGrid>
        <w:gridCol w:w="2016"/>
        <w:gridCol w:w="1512"/>
        <w:gridCol w:w="6192"/>
      </w:tblGrid>
      <w:tr>
        <w:trPr>
          <w:tblHeader w:val="true"/>
          <w:cantSplit/>
        </w:trPr>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Partie</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Volume cible</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Contenu indispensable</w:t>
            </w:r>
          </w:p>
        </w:tc>
      </w:tr>
      <w:tr>
        <w:trPr>
          <w:cantSplit/>
        </w:trPr>
        <w:tc>
          <w:tcPr>
            <w:tcW w:type="dxa" w:w="2016"/>
            <w:vAlign w:val="center"/>
            <w:tcMar>
              <w:top w:w="90" w:type="dxa"/>
              <w:start w:w="120" w:type="dxa"/>
              <w:bottom w:w="90" w:type="dxa"/>
              <w:end w:w="120" w:type="dxa"/>
            </w:tcMar>
          </w:tcPr>
          <w:p>
            <w:pPr>
              <w:spacing w:after="0" w:line="247" w:lineRule="auto"/>
              <w:jc w:val="left"/>
            </w:pPr>
            <w:r/>
            <w:r>
              <w:rPr>
                <w:rFonts w:ascii="Aptos" w:hAnsi="Aptos"/>
                <w:b w:val="0"/>
                <w:color w:val="202B33"/>
                <w:sz w:val="17"/>
              </w:rPr>
              <w:t>Ouverture</w:t>
            </w:r>
          </w:p>
        </w:tc>
        <w:tc>
          <w:tcPr>
            <w:tcW w:type="dxa" w:w="1512"/>
            <w:vAlign w:val="center"/>
            <w:tcMar>
              <w:top w:w="90" w:type="dxa"/>
              <w:start w:w="120" w:type="dxa"/>
              <w:bottom w:w="90" w:type="dxa"/>
              <w:end w:w="120" w:type="dxa"/>
            </w:tcMar>
          </w:tcPr>
          <w:p>
            <w:pPr>
              <w:spacing w:after="0" w:line="247" w:lineRule="auto"/>
              <w:jc w:val="left"/>
            </w:pPr>
            <w:r/>
            <w:r>
              <w:rPr>
                <w:rFonts w:ascii="Aptos" w:hAnsi="Aptos"/>
                <w:b w:val="0"/>
                <w:color w:val="202B33"/>
                <w:sz w:val="17"/>
              </w:rPr>
              <w:t>16–20 p.</w:t>
            </w:r>
          </w:p>
        </w:tc>
        <w:tc>
          <w:tcPr>
            <w:tcW w:type="dxa" w:w="6192"/>
            <w:vAlign w:val="center"/>
            <w:tcMar>
              <w:top w:w="90" w:type="dxa"/>
              <w:start w:w="120" w:type="dxa"/>
              <w:bottom w:w="90" w:type="dxa"/>
              <w:end w:w="120" w:type="dxa"/>
            </w:tcMar>
          </w:tcPr>
          <w:p>
            <w:pPr>
              <w:spacing w:after="0" w:line="247" w:lineRule="auto"/>
              <w:jc w:val="left"/>
            </w:pPr>
            <w:r/>
            <w:r>
              <w:rPr>
                <w:rFonts w:ascii="Aptos" w:hAnsi="Aptos"/>
                <w:b w:val="0"/>
                <w:color w:val="202B33"/>
                <w:sz w:val="17"/>
              </w:rPr>
              <w:t>Préface, mode d’emploi du livre, chronologie générale, cartes et méthode de lecture.</w:t>
            </w:r>
          </w:p>
        </w:tc>
      </w:tr>
      <w:tr>
        <w:trPr>
          <w:cantSplit/>
        </w:trPr>
        <w:tc>
          <w:tcPr>
            <w:tcW w:type="dxa" w:w="201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Léonard de Vinci</w:t>
            </w:r>
          </w:p>
        </w:tc>
        <w:tc>
          <w:tcPr>
            <w:tcW w:type="dxa" w:w="151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58–68 p.</w:t>
            </w:r>
          </w:p>
        </w:tc>
        <w:tc>
          <w:tcPr>
            <w:tcW w:type="dxa" w:w="61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Biographie, Renaissance, science et atelier, huit œuvres, dossier Mona Lisa.</w:t>
            </w:r>
          </w:p>
        </w:tc>
      </w:tr>
      <w:tr>
        <w:trPr>
          <w:cantSplit/>
        </w:trPr>
        <w:tc>
          <w:tcPr>
            <w:tcW w:type="dxa" w:w="2016"/>
            <w:vAlign w:val="center"/>
            <w:tcMar>
              <w:top w:w="90" w:type="dxa"/>
              <w:start w:w="120" w:type="dxa"/>
              <w:bottom w:w="90" w:type="dxa"/>
              <w:end w:w="120" w:type="dxa"/>
            </w:tcMar>
          </w:tcPr>
          <w:p>
            <w:pPr>
              <w:spacing w:after="0" w:line="247" w:lineRule="auto"/>
              <w:jc w:val="left"/>
            </w:pPr>
            <w:r/>
            <w:r>
              <w:rPr>
                <w:rFonts w:ascii="Aptos" w:hAnsi="Aptos"/>
                <w:b w:val="0"/>
                <w:color w:val="202B33"/>
                <w:sz w:val="17"/>
              </w:rPr>
              <w:t>Johannes Vermeer</w:t>
            </w:r>
          </w:p>
        </w:tc>
        <w:tc>
          <w:tcPr>
            <w:tcW w:type="dxa" w:w="1512"/>
            <w:vAlign w:val="center"/>
            <w:tcMar>
              <w:top w:w="90" w:type="dxa"/>
              <w:start w:w="120" w:type="dxa"/>
              <w:bottom w:w="90" w:type="dxa"/>
              <w:end w:w="120" w:type="dxa"/>
            </w:tcMar>
          </w:tcPr>
          <w:p>
            <w:pPr>
              <w:spacing w:after="0" w:line="247" w:lineRule="auto"/>
              <w:jc w:val="left"/>
            </w:pPr>
            <w:r/>
            <w:r>
              <w:rPr>
                <w:rFonts w:ascii="Aptos" w:hAnsi="Aptos"/>
                <w:b w:val="0"/>
                <w:color w:val="202B33"/>
                <w:sz w:val="17"/>
              </w:rPr>
              <w:t>52–62 p.</w:t>
            </w:r>
          </w:p>
        </w:tc>
        <w:tc>
          <w:tcPr>
            <w:tcW w:type="dxa" w:w="6192"/>
            <w:vAlign w:val="center"/>
            <w:tcMar>
              <w:top w:w="90" w:type="dxa"/>
              <w:start w:w="120" w:type="dxa"/>
              <w:bottom w:w="90" w:type="dxa"/>
              <w:end w:w="120" w:type="dxa"/>
            </w:tcMar>
          </w:tcPr>
          <w:p>
            <w:pPr>
              <w:spacing w:after="0" w:line="247" w:lineRule="auto"/>
              <w:jc w:val="left"/>
            </w:pPr>
            <w:r/>
            <w:r>
              <w:rPr>
                <w:rFonts w:ascii="Aptos" w:hAnsi="Aptos"/>
                <w:b w:val="0"/>
                <w:color w:val="202B33"/>
                <w:sz w:val="17"/>
              </w:rPr>
              <w:t>Delft, marché de l’art néerlandais, lumière et intérieur, huit œuvres, dossier Pearl Earring.</w:t>
            </w:r>
          </w:p>
        </w:tc>
      </w:tr>
      <w:tr>
        <w:trPr>
          <w:cantSplit/>
        </w:trPr>
        <w:tc>
          <w:tcPr>
            <w:tcW w:type="dxa" w:w="201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Vincent van Gogh</w:t>
            </w:r>
          </w:p>
        </w:tc>
        <w:tc>
          <w:tcPr>
            <w:tcW w:type="dxa" w:w="151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58–68 p.</w:t>
            </w:r>
          </w:p>
        </w:tc>
        <w:tc>
          <w:tcPr>
            <w:tcW w:type="dxa" w:w="61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Vie, lettres, Paris/Arles/Saint-Rémy/Auvers, couleur et touche, huit œuvres, dossier Self-Portrait.</w:t>
            </w:r>
          </w:p>
        </w:tc>
      </w:tr>
      <w:tr>
        <w:trPr>
          <w:cantSplit/>
        </w:trPr>
        <w:tc>
          <w:tcPr>
            <w:tcW w:type="dxa" w:w="2016"/>
            <w:vAlign w:val="center"/>
            <w:tcMar>
              <w:top w:w="90" w:type="dxa"/>
              <w:start w:w="120" w:type="dxa"/>
              <w:bottom w:w="90" w:type="dxa"/>
              <w:end w:w="120" w:type="dxa"/>
            </w:tcMar>
          </w:tcPr>
          <w:p>
            <w:pPr>
              <w:spacing w:after="0" w:line="247" w:lineRule="auto"/>
              <w:jc w:val="left"/>
            </w:pPr>
            <w:r/>
            <w:r>
              <w:rPr>
                <w:rFonts w:ascii="Aptos" w:hAnsi="Aptos"/>
                <w:b w:val="0"/>
                <w:color w:val="202B33"/>
                <w:sz w:val="17"/>
              </w:rPr>
              <w:t>Claude Monet</w:t>
            </w:r>
          </w:p>
        </w:tc>
        <w:tc>
          <w:tcPr>
            <w:tcW w:type="dxa" w:w="1512"/>
            <w:vAlign w:val="center"/>
            <w:tcMar>
              <w:top w:w="90" w:type="dxa"/>
              <w:start w:w="120" w:type="dxa"/>
              <w:bottom w:w="90" w:type="dxa"/>
              <w:end w:w="120" w:type="dxa"/>
            </w:tcMar>
          </w:tcPr>
          <w:p>
            <w:pPr>
              <w:spacing w:after="0" w:line="247" w:lineRule="auto"/>
              <w:jc w:val="left"/>
            </w:pPr>
            <w:r/>
            <w:r>
              <w:rPr>
                <w:rFonts w:ascii="Aptos" w:hAnsi="Aptos"/>
                <w:b w:val="0"/>
                <w:color w:val="202B33"/>
                <w:sz w:val="17"/>
              </w:rPr>
              <w:t>58–68 p.</w:t>
            </w:r>
          </w:p>
        </w:tc>
        <w:tc>
          <w:tcPr>
            <w:tcW w:type="dxa" w:w="6192"/>
            <w:vAlign w:val="center"/>
            <w:tcMar>
              <w:top w:w="90" w:type="dxa"/>
              <w:start w:w="120" w:type="dxa"/>
              <w:bottom w:w="90" w:type="dxa"/>
              <w:end w:w="120" w:type="dxa"/>
            </w:tcMar>
          </w:tcPr>
          <w:p>
            <w:pPr>
              <w:spacing w:after="0" w:line="247" w:lineRule="auto"/>
              <w:jc w:val="left"/>
            </w:pPr>
            <w:r/>
            <w:r>
              <w:rPr>
                <w:rFonts w:ascii="Aptos" w:hAnsi="Aptos"/>
                <w:b w:val="0"/>
                <w:color w:val="202B33"/>
                <w:sz w:val="17"/>
              </w:rPr>
              <w:t>Impressionnisme, plein air, séries, Giverny, huit œuvres, dossier Impression, Sunrise.</w:t>
            </w:r>
          </w:p>
        </w:tc>
      </w:tr>
      <w:tr>
        <w:trPr>
          <w:cantSplit/>
        </w:trPr>
        <w:tc>
          <w:tcPr>
            <w:tcW w:type="dxa" w:w="201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Regards croisés</w:t>
            </w:r>
          </w:p>
        </w:tc>
        <w:tc>
          <w:tcPr>
            <w:tcW w:type="dxa" w:w="151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20–28 p.</w:t>
            </w:r>
          </w:p>
        </w:tc>
        <w:tc>
          <w:tcPr>
            <w:tcW w:type="dxa" w:w="61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Portrait, lumière, espace, couleur, nature, modernité, héritages.</w:t>
            </w:r>
          </w:p>
        </w:tc>
      </w:tr>
      <w:tr>
        <w:trPr>
          <w:cantSplit/>
        </w:trPr>
        <w:tc>
          <w:tcPr>
            <w:tcW w:type="dxa" w:w="2016"/>
            <w:vAlign w:val="center"/>
            <w:tcMar>
              <w:top w:w="90" w:type="dxa"/>
              <w:start w:w="120" w:type="dxa"/>
              <w:bottom w:w="90" w:type="dxa"/>
              <w:end w:w="120" w:type="dxa"/>
            </w:tcMar>
          </w:tcPr>
          <w:p>
            <w:pPr>
              <w:spacing w:after="0" w:line="247" w:lineRule="auto"/>
              <w:jc w:val="left"/>
            </w:pPr>
            <w:r/>
            <w:r>
              <w:rPr>
                <w:rFonts w:ascii="Aptos" w:hAnsi="Aptos"/>
                <w:b w:val="0"/>
                <w:color w:val="202B33"/>
                <w:sz w:val="17"/>
              </w:rPr>
              <w:t>Références</w:t>
            </w:r>
          </w:p>
        </w:tc>
        <w:tc>
          <w:tcPr>
            <w:tcW w:type="dxa" w:w="1512"/>
            <w:vAlign w:val="center"/>
            <w:tcMar>
              <w:top w:w="90" w:type="dxa"/>
              <w:start w:w="120" w:type="dxa"/>
              <w:bottom w:w="90" w:type="dxa"/>
              <w:end w:w="120" w:type="dxa"/>
            </w:tcMar>
          </w:tcPr>
          <w:p>
            <w:pPr>
              <w:spacing w:after="0" w:line="247" w:lineRule="auto"/>
              <w:jc w:val="left"/>
            </w:pPr>
            <w:r/>
            <w:r>
              <w:rPr>
                <w:rFonts w:ascii="Aptos" w:hAnsi="Aptos"/>
                <w:b w:val="0"/>
                <w:color w:val="202B33"/>
                <w:sz w:val="17"/>
              </w:rPr>
              <w:t>14–20 p.</w:t>
            </w:r>
          </w:p>
        </w:tc>
        <w:tc>
          <w:tcPr>
            <w:tcW w:type="dxa" w:w="6192"/>
            <w:vAlign w:val="center"/>
            <w:tcMar>
              <w:top w:w="90" w:type="dxa"/>
              <w:start w:w="120" w:type="dxa"/>
              <w:bottom w:w="90" w:type="dxa"/>
              <w:end w:w="120" w:type="dxa"/>
            </w:tcMar>
          </w:tcPr>
          <w:p>
            <w:pPr>
              <w:spacing w:after="0" w:line="247" w:lineRule="auto"/>
              <w:jc w:val="left"/>
            </w:pPr>
            <w:r/>
            <w:r>
              <w:rPr>
                <w:rFonts w:ascii="Aptos" w:hAnsi="Aptos"/>
                <w:b w:val="0"/>
                <w:color w:val="202B33"/>
                <w:sz w:val="17"/>
              </w:rPr>
              <w:t>Glossaire, chronologies, bibliographies, crédits, index, ressources numériques facultatives.</w:t>
            </w:r>
          </w:p>
        </w:tc>
      </w:tr>
    </w:tbl>
    <w:p>
      <w:pPr>
        <w:spacing w:after="40"/>
      </w:pPr>
    </w:p>
    <w:p>
      <w:pPr>
        <w:pStyle w:val="Heading2"/>
      </w:pPr>
      <w:r>
        <w:t>3.3 Gabarit de chapitre par peintre</w:t>
      </w:r>
    </w:p>
    <w:p>
      <w:pPr>
        <w:spacing w:after="60" w:line="269" w:lineRule="auto"/>
        <w:numPr>
          <w:ilvl w:val="0"/>
          <w:numId w:val="10"/>
        </w:numPr>
      </w:pPr>
      <w:r>
        <w:t>Portrait intellectuel et biographique : formation, lieux, réseaux, périodes et tournants.</w:t>
      </w:r>
    </w:p>
    <w:p>
      <w:pPr>
        <w:spacing w:after="60" w:line="269" w:lineRule="auto"/>
        <w:numPr>
          <w:ilvl w:val="0"/>
          <w:numId w:val="10"/>
        </w:numPr>
      </w:pPr>
      <w:r>
        <w:t>Contexte historique, social, culturel et technique.</w:t>
      </w:r>
    </w:p>
    <w:p>
      <w:pPr>
        <w:spacing w:after="60" w:line="269" w:lineRule="auto"/>
        <w:numPr>
          <w:ilvl w:val="0"/>
          <w:numId w:val="10"/>
        </w:numPr>
      </w:pPr>
      <w:r>
        <w:t>Méthodes de travail : supports, préparation, dessin, pigments, touche, lumière et composition.</w:t>
      </w:r>
    </w:p>
    <w:p>
      <w:pPr>
        <w:spacing w:after="60" w:line="269" w:lineRule="auto"/>
        <w:numPr>
          <w:ilvl w:val="0"/>
          <w:numId w:val="10"/>
        </w:numPr>
      </w:pPr>
      <w:r>
        <w:t>Chronologie illustrée et cartographie des lieux de vie et de création.</w:t>
      </w:r>
    </w:p>
    <w:p>
      <w:pPr>
        <w:spacing w:after="60" w:line="269" w:lineRule="auto"/>
        <w:numPr>
          <w:ilvl w:val="0"/>
          <w:numId w:val="10"/>
        </w:numPr>
      </w:pPr>
      <w:r>
        <w:t>Huit notices d’œuvres, dont une œuvre signature traitée sur plusieurs doubles pages.</w:t>
      </w:r>
    </w:p>
    <w:p>
      <w:pPr>
        <w:spacing w:after="60" w:line="269" w:lineRule="auto"/>
        <w:numPr>
          <w:ilvl w:val="0"/>
          <w:numId w:val="10"/>
        </w:numPr>
      </w:pPr>
      <w:r>
        <w:t>Réception, marché, conservation, influence et héritage culturel.</w:t>
      </w:r>
    </w:p>
    <w:p>
      <w:pPr>
        <w:spacing w:after="60" w:line="269" w:lineRule="auto"/>
        <w:numPr>
          <w:ilvl w:val="0"/>
          <w:numId w:val="10"/>
        </w:numPr>
      </w:pPr>
      <w:r>
        <w:t>Bibliographie sélective et sources institutionnelles.</w:t>
      </w:r>
    </w:p>
    <w:p>
      <w:pPr>
        <w:pStyle w:val="Heading2"/>
      </w:pPr>
      <w:r>
        <w:t>3.4 Gabarit obligatoire de notice d’œuvre</w:t>
      </w:r>
    </w:p>
    <w:p>
      <w:pPr>
        <w:pStyle w:val="ListBullet"/>
      </w:pPr>
      <w:r>
        <w:t>Reproduction principale de qualité, détails pertinents et données d’identification complètes.</w:t>
      </w:r>
    </w:p>
    <w:p>
      <w:pPr>
        <w:pStyle w:val="ListBullet"/>
      </w:pPr>
      <w:r>
        <w:t>Date, support, technique, dimensions, collection, provenance et état des connaissances sur l’attribution.</w:t>
      </w:r>
    </w:p>
    <w:p>
      <w:pPr>
        <w:pStyle w:val="ListBullet"/>
      </w:pPr>
      <w:r>
        <w:t>Contexte de commande ou de création ; place dans la carrière du peintre.</w:t>
      </w:r>
    </w:p>
    <w:p>
      <w:pPr>
        <w:pStyle w:val="ListBullet"/>
      </w:pPr>
      <w:r>
        <w:t>Analyse guidée de la composition, de la lumière, de la couleur, de l’espace, des gestes et des motifs.</w:t>
      </w:r>
    </w:p>
    <w:p>
      <w:pPr>
        <w:pStyle w:val="ListBullet"/>
      </w:pPr>
      <w:r>
        <w:t>Techniques matérielles et résultats de recherche scientifique, avec niveau de certitude explicite.</w:t>
      </w:r>
    </w:p>
    <w:p>
      <w:pPr>
        <w:pStyle w:val="ListBullet"/>
      </w:pPr>
      <w:r>
        <w:t>Histoire de la réception, conservation, déplacements, vols ou restaurations lorsque pertinents.</w:t>
      </w:r>
    </w:p>
    <w:p>
      <w:pPr>
        <w:pStyle w:val="ListBullet"/>
      </w:pPr>
      <w:r>
        <w:t>Valeur culturelle et, si une valeur financière est évoquée, date, nature de l’estimation et prudence méthodologique.</w:t>
      </w:r>
    </w:p>
    <w:p>
      <w:pPr>
        <w:pStyle w:val="ListBullet"/>
      </w:pPr>
      <w:r>
        <w:t>Encadré facultatif “Prolonger l’expérience” regroupant QR, AR, audio, vidéo ou 3D sans interrompre la lecture.</w:t>
      </w:r>
    </w:p>
    <w:p>
      <w:pPr>
        <w:pStyle w:val="Heading1"/>
      </w:pPr>
      <w:r>
        <w:t>4. Les quatre dossiers signatures</w:t>
      </w:r>
    </w:p>
    <w:tbl>
      <w:tblPr>
        <w:tblStyle w:val="TableGrid"/>
        <w:tblW w:type="auto" w:w="0"/>
        <w:jc w:val="center"/>
        <w:tblLayout w:type="fixed"/>
        <w:tblLook w:firstColumn="1" w:firstRow="1" w:lastColumn="0" w:lastRow="0" w:noHBand="0" w:noVBand="1" w:val="04A0"/>
      </w:tblPr>
      <w:tblGrid>
        <w:gridCol w:w="2088"/>
        <w:gridCol w:w="4392"/>
        <w:gridCol w:w="3240"/>
      </w:tblGrid>
      <w:tr>
        <w:trPr>
          <w:tblHeader w:val="true"/>
          <w:cantSplit/>
        </w:trPr>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Œuvre</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Dossier imprimé autonome</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Extension facultative</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6"/>
              </w:rPr>
              <w:t>Mona Lisa</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6"/>
              </w:rPr>
              <w:t>Portrait, commande probable, sfumato, regard et sourire, paysage, mains, matérialité, vol de 1911, Louvre, conservation et célébrité.</w:t>
            </w:r>
          </w:p>
        </w:tc>
        <w:tc>
          <w:tcPr>
            <w:tcW w:type="dxa" w:w="3240"/>
            <w:vAlign w:val="center"/>
            <w:tcMar>
              <w:top w:w="90" w:type="dxa"/>
              <w:start w:w="120" w:type="dxa"/>
              <w:bottom w:w="90" w:type="dxa"/>
              <w:end w:w="120" w:type="dxa"/>
            </w:tcMar>
          </w:tcPr>
          <w:p>
            <w:pPr>
              <w:spacing w:after="0" w:line="247" w:lineRule="auto"/>
              <w:jc w:val="left"/>
            </w:pPr>
            <w:r/>
            <w:r>
              <w:rPr>
                <w:rFonts w:ascii="Aptos" w:hAnsi="Aptos"/>
                <w:b w:val="0"/>
                <w:color w:val="202B33"/>
                <w:sz w:val="16"/>
              </w:rPr>
              <w:t>Image tracking MindAR, modèles GLB, animation MP4, audio multilingue, hotspots, studio de Léonard et galerie VR.</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Girl with a Pearl Earring</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Tronie, Delft vers 1665, pose, lumière, bleu ultramarin, matière de la perle, conservation et réception moderne.</w:t>
            </w:r>
          </w:p>
        </w:tc>
        <w:tc>
          <w:tcPr>
            <w:tcW w:type="dxa" w:w="32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Cible MindAR, modèles portrait/assis, animation, audio, 3D et salle Vermeer.</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6"/>
              </w:rPr>
              <w:t>Self-Portrait de Van Gogh</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6"/>
              </w:rPr>
              <w:t>Contexte biographique précis, autoportrait comme laboratoire, touche, palette, regard, état matériel et série des autoportraits.</w:t>
            </w:r>
          </w:p>
        </w:tc>
        <w:tc>
          <w:tcPr>
            <w:tcW w:type="dxa" w:w="3240"/>
            <w:vAlign w:val="center"/>
            <w:tcMar>
              <w:top w:w="90" w:type="dxa"/>
              <w:start w:w="120" w:type="dxa"/>
              <w:bottom w:w="90" w:type="dxa"/>
              <w:end w:w="120" w:type="dxa"/>
            </w:tcMar>
          </w:tcPr>
          <w:p>
            <w:pPr>
              <w:spacing w:after="0" w:line="247" w:lineRule="auto"/>
              <w:jc w:val="left"/>
            </w:pPr>
            <w:r/>
            <w:r>
              <w:rPr>
                <w:rFonts w:ascii="Aptos" w:hAnsi="Aptos"/>
                <w:b w:val="0"/>
                <w:color w:val="202B33"/>
                <w:sz w:val="16"/>
              </w:rPr>
              <w:t>Cible MindAR, modèle 3D, animation, audio et salle Van Gogh ; liens vers The Bedroom.</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Impression, Sunrise</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Le Havre, 1872, exposition de 1874, naissance du terme impressionnisme, complémentarité orange/bleu, atmosphère et modernité industrielle.</w:t>
            </w:r>
          </w:p>
        </w:tc>
        <w:tc>
          <w:tcPr>
            <w:tcW w:type="dxa" w:w="32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Animation préparée, audio et salle Monet ; cible MindAR à produire et valider avant activation.</w:t>
            </w:r>
          </w:p>
        </w:tc>
      </w:tr>
    </w:tbl>
    <w:p>
      <w:pPr>
        <w:spacing w:after="40"/>
      </w:pPr>
    </w:p>
    <w:p>
      <w:pPr>
        <w:pStyle w:val="Heading1"/>
      </w:pPr>
      <w:r>
        <w:t>5. Corpus de référence : 32 œuvres</w:t>
      </w:r>
    </w:p>
    <w:tbl>
      <w:tblPr>
        <w:tblStyle w:val="TableGrid"/>
        <w:tblW w:type="auto" w:w="0"/>
        <w:jc w:val="center"/>
        <w:tblLayout w:type="fixed"/>
        <w:tblLook w:firstColumn="1" w:firstRow="1" w:lastColumn="0" w:lastRow="0" w:noHBand="0" w:noVBand="1" w:val="04A0"/>
      </w:tblPr>
      <w:tblGrid>
        <w:gridCol w:w="835"/>
        <w:gridCol w:w="3197"/>
        <w:gridCol w:w="1555"/>
        <w:gridCol w:w="4133"/>
      </w:tblGrid>
      <w:tr>
        <w:trPr>
          <w:tblHeader w:val="true"/>
          <w:cantSplit/>
        </w:trPr>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Code</w:t>
            </w:r>
          </w:p>
        </w:tc>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Œuvre</w:t>
            </w:r>
          </w:p>
        </w:tc>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Traitement imprimé</w:t>
            </w:r>
          </w:p>
        </w:tc>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Extension numérique recommandée</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LD01</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Mona Lisa</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Signature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Dossier signature + AR/animation/audio/3D selon disponibilité</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LD02</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Lady with an Ermine</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LD03</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Ginevra de’ Benci</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LD04</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La Belle Ferronnière</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LD05</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Annunciation</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LD06</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Virgin of the Rocks</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LD07</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Last Supper</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LD08</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Saint John the Baptist</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VE01</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Girl with a Pearl Earring</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Signature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Dossier signature + AR/animation/audio/3D selon disponibilité</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VE02</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The Milkmaid</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VE03</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View of Delft</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VE04</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Woman Holding a Balance</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VE05</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Art of Painting</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VE06</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The Astronomer</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VE07</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Geographer</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VE08</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Woman in Blue Reading a Letter</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VG01</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Starry Night</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VG02</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Sunflowers</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VG03</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Bedroom</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VG04</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Café Terrace at Night</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VG05</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Night Café</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VG06</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Self-Portrait</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Signature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Dossier signature + AR/animation/audio/3D selon disponibilité</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VG07</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Irises</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VG08</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Almond Blossom</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MO01</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Impression, Sunrise</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Signature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Dossier signature + AR/animation/audio/3D selon disponibilité</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MO02</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Woman with a Parasol</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MO03</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Bridge at Argenteuil</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MO04</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Poppies</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Standard</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complète + iconographie + sources</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MO05</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The Japanese Bridge</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MO06</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Water Lilies</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tcPr>
          <w:p>
            <w:pPr>
              <w:spacing w:after="0" w:line="247" w:lineRule="auto"/>
              <w:jc w:val="left"/>
            </w:pPr>
            <w:r/>
            <w:r>
              <w:rPr>
                <w:rFonts w:ascii="Aptos" w:hAnsi="Aptos"/>
                <w:b w:val="0"/>
                <w:color w:val="202B33"/>
                <w:sz w:val="16"/>
              </w:rPr>
              <w:t>MO07</w:t>
            </w:r>
          </w:p>
        </w:tc>
        <w:tc>
          <w:tcPr>
            <w:tcW w:type="dxa" w:w="3197"/>
            <w:vAlign w:val="center"/>
            <w:tcMar>
              <w:top w:w="90" w:type="dxa"/>
              <w:start w:w="120" w:type="dxa"/>
              <w:bottom w:w="90" w:type="dxa"/>
              <w:end w:w="120" w:type="dxa"/>
            </w:tcMar>
          </w:tcPr>
          <w:p>
            <w:pPr>
              <w:spacing w:after="0" w:line="247" w:lineRule="auto"/>
              <w:jc w:val="left"/>
            </w:pPr>
            <w:r/>
            <w:r>
              <w:rPr>
                <w:rFonts w:ascii="Aptos" w:hAnsi="Aptos"/>
                <w:b w:val="0"/>
                <w:color w:val="202B33"/>
                <w:sz w:val="16"/>
              </w:rPr>
              <w:t>Rouen Cathedral Series</w:t>
            </w:r>
          </w:p>
        </w:tc>
        <w:tc>
          <w:tcPr>
            <w:tcW w:type="dxa" w:w="1555"/>
            <w:vAlign w:val="center"/>
            <w:tcMar>
              <w:top w:w="90" w:type="dxa"/>
              <w:start w:w="120" w:type="dxa"/>
              <w:bottom w:w="90" w:type="dxa"/>
              <w:end w:w="120" w:type="dxa"/>
            </w:tcMar>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tcPr>
          <w:p>
            <w:pPr>
              <w:spacing w:after="0" w:line="247" w:lineRule="auto"/>
              <w:jc w:val="left"/>
            </w:pPr>
            <w:r/>
            <w:r>
              <w:rPr>
                <w:rFonts w:ascii="Aptos" w:hAnsi="Aptos"/>
                <w:b w:val="0"/>
                <w:color w:val="202B33"/>
                <w:sz w:val="16"/>
              </w:rPr>
              <w:t>Notice approfondie + média ciblé si pertinent</w:t>
            </w:r>
          </w:p>
        </w:tc>
      </w:tr>
      <w:tr>
        <w:trPr>
          <w:cantSplit/>
        </w:trPr>
        <w:tc>
          <w:tcPr>
            <w:tcW w:type="dxa" w:w="83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MO08</w:t>
            </w:r>
          </w:p>
        </w:tc>
        <w:tc>
          <w:tcPr>
            <w:tcW w:type="dxa" w:w="3197"/>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Houses of Parliament Series</w:t>
            </w:r>
          </w:p>
        </w:tc>
        <w:tc>
          <w:tcPr>
            <w:tcW w:type="dxa" w:w="1555"/>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Haute</w:t>
            </w:r>
          </w:p>
        </w:tc>
        <w:tc>
          <w:tcPr>
            <w:tcW w:type="dxa" w:w="4133"/>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Notice approfondie + média ciblé si pertinent</w:t>
            </w:r>
          </w:p>
        </w:tc>
      </w:tr>
    </w:tbl>
    <w:p>
      <w:pPr>
        <w:spacing w:after="40"/>
      </w:pPr>
    </w:p>
    <w:p>
      <w:pPr>
        <w:pStyle w:val="Heading1"/>
      </w:pPr>
      <w:r>
        <w:t>6. Écosystème numérique facultatif</w:t>
      </w:r>
    </w:p>
    <w:p>
      <w:r>
        <w:rPr>
          <w:rFonts w:ascii="Aptos" w:hAnsi="Aptos"/>
          <w:b w:val="0"/>
          <w:i w:val="0"/>
          <w:color w:val="202B33"/>
          <w:sz w:val="20"/>
        </w:rPr>
        <w:t>Le numérique est conçu comme un musée augmenté distribué autour du livre, non comme une condition d’accès au savoir. Chaque extension doit annoncer clairement sa valeur ajoutée et proposer un retour simple à la lecture.</w:t>
      </w:r>
    </w:p>
    <w:tbl>
      <w:tblPr>
        <w:tblStyle w:val="TableGrid"/>
        <w:tblW w:type="auto" w:w="0"/>
        <w:jc w:val="center"/>
        <w:tblLayout w:type="fixed"/>
        <w:tblLook w:firstColumn="1" w:firstRow="1" w:lastColumn="0" w:lastRow="0" w:noHBand="0" w:noVBand="1" w:val="04A0"/>
      </w:tblPr>
      <w:tblGrid>
        <w:gridCol w:w="1440"/>
        <w:gridCol w:w="1872"/>
        <w:gridCol w:w="3600"/>
        <w:gridCol w:w="2808"/>
      </w:tblGrid>
      <w:tr>
        <w:trPr>
          <w:tblHeader w:val="true"/>
          <w:cantSplit/>
        </w:trPr>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5"/>
              </w:rPr>
              <w:t>Couche</w:t>
            </w:r>
          </w:p>
        </w:tc>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5"/>
              </w:rPr>
              <w:t>Fonction</w:t>
            </w:r>
          </w:p>
        </w:tc>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5"/>
              </w:rPr>
              <w:t>Technologie observée dans ARTDACI</w:t>
            </w:r>
          </w:p>
        </w:tc>
        <w:tc>
          <w:tcPr>
            <w:tcW w:type="dxa" w:w="2498"/>
            <w:vAlign w:val="center"/>
            <w:tcMar>
              <w:top w:w="90" w:type="dxa"/>
              <w:start w:w="120" w:type="dxa"/>
              <w:bottom w:w="90" w:type="dxa"/>
              <w:end w:w="120" w:type="dxa"/>
            </w:tcMar>
            <w:shd w:fill="10283F"/>
          </w:tcPr>
          <w:p>
            <w:pPr>
              <w:spacing w:after="0" w:line="247" w:lineRule="auto"/>
              <w:jc w:val="left"/>
            </w:pPr>
            <w:r/>
            <w:r>
              <w:rPr>
                <w:rFonts w:ascii="Aptos" w:hAnsi="Aptos"/>
                <w:b/>
                <w:color w:val="FFFFFF"/>
                <w:sz w:val="15"/>
              </w:rPr>
              <w:t>Alternative sans technologie</w:t>
            </w:r>
          </w:p>
        </w:tc>
      </w:tr>
      <w:tr>
        <w:trPr>
          <w:cantSplit/>
        </w:trPr>
        <w:tc>
          <w:tcPr>
            <w:tcW w:type="dxa" w:w="1440"/>
            <w:vAlign w:val="center"/>
            <w:tcMar>
              <w:top w:w="90" w:type="dxa"/>
              <w:start w:w="120" w:type="dxa"/>
              <w:bottom w:w="90" w:type="dxa"/>
              <w:end w:w="120" w:type="dxa"/>
            </w:tcMar>
          </w:tcPr>
          <w:p>
            <w:pPr>
              <w:spacing w:after="0" w:line="247" w:lineRule="auto"/>
              <w:jc w:val="left"/>
            </w:pPr>
            <w:r/>
            <w:r>
              <w:rPr>
                <w:rFonts w:ascii="Aptos" w:hAnsi="Aptos"/>
                <w:b w:val="0"/>
                <w:color w:val="202B33"/>
                <w:sz w:val="15"/>
              </w:rPr>
              <w:t>QR / Web</w:t>
            </w:r>
          </w:p>
        </w:tc>
        <w:tc>
          <w:tcPr>
            <w:tcW w:type="dxa" w:w="1872"/>
            <w:vAlign w:val="center"/>
            <w:tcMar>
              <w:top w:w="90" w:type="dxa"/>
              <w:start w:w="120" w:type="dxa"/>
              <w:bottom w:w="90" w:type="dxa"/>
              <w:end w:w="120" w:type="dxa"/>
            </w:tcMar>
          </w:tcPr>
          <w:p>
            <w:pPr>
              <w:spacing w:after="0" w:line="247" w:lineRule="auto"/>
              <w:jc w:val="left"/>
            </w:pPr>
            <w:r/>
            <w:r>
              <w:rPr>
                <w:rFonts w:ascii="Aptos" w:hAnsi="Aptos"/>
                <w:b w:val="0"/>
                <w:color w:val="202B33"/>
                <w:sz w:val="15"/>
              </w:rPr>
              <w:t>Accès stable à une ressource</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5"/>
              </w:rPr>
              <w:t>Pages HTML, paramètres painting/lang, QR vers URL</w:t>
            </w:r>
          </w:p>
        </w:tc>
        <w:tc>
          <w:tcPr>
            <w:tcW w:type="dxa" w:w="2808"/>
            <w:vAlign w:val="center"/>
            <w:tcMar>
              <w:top w:w="90" w:type="dxa"/>
              <w:start w:w="120" w:type="dxa"/>
              <w:bottom w:w="90" w:type="dxa"/>
              <w:end w:w="120" w:type="dxa"/>
            </w:tcMar>
          </w:tcPr>
          <w:p>
            <w:pPr>
              <w:spacing w:after="0" w:line="247" w:lineRule="auto"/>
              <w:jc w:val="left"/>
            </w:pPr>
            <w:r/>
            <w:r>
              <w:rPr>
                <w:rFonts w:ascii="Aptos" w:hAnsi="Aptos"/>
                <w:b w:val="0"/>
                <w:color w:val="202B33"/>
                <w:sz w:val="15"/>
              </w:rPr>
              <w:t>URL courte imprimée et contenu essentiel dans le livre</w:t>
            </w:r>
          </w:p>
        </w:tc>
      </w:tr>
      <w:tr>
        <w:trPr>
          <w:cantSplit/>
        </w:trPr>
        <w:tc>
          <w:tcPr>
            <w:tcW w:type="dxa" w:w="14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Image tracking</w:t>
            </w:r>
          </w:p>
        </w:tc>
        <w:tc>
          <w:tcPr>
            <w:tcW w:type="dxa" w:w="187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Reconnaître une reproduction imprimée</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MindAR, cible .mind, getUserMedia, HTTPS</w:t>
            </w:r>
          </w:p>
        </w:tc>
        <w:tc>
          <w:tcPr>
            <w:tcW w:type="dxa" w:w="280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Bouton/QR d’accès manuel et notice imprimée complète</w:t>
            </w:r>
          </w:p>
        </w:tc>
      </w:tr>
      <w:tr>
        <w:trPr>
          <w:cantSplit/>
        </w:trPr>
        <w:tc>
          <w:tcPr>
            <w:tcW w:type="dxa" w:w="1440"/>
            <w:vAlign w:val="center"/>
            <w:tcMar>
              <w:top w:w="90" w:type="dxa"/>
              <w:start w:w="120" w:type="dxa"/>
              <w:bottom w:w="90" w:type="dxa"/>
              <w:end w:w="120" w:type="dxa"/>
            </w:tcMar>
          </w:tcPr>
          <w:p>
            <w:pPr>
              <w:spacing w:after="0" w:line="247" w:lineRule="auto"/>
              <w:jc w:val="left"/>
            </w:pPr>
            <w:r/>
            <w:r>
              <w:rPr>
                <w:rFonts w:ascii="Aptos" w:hAnsi="Aptos"/>
                <w:b w:val="0"/>
                <w:color w:val="202B33"/>
                <w:sz w:val="15"/>
              </w:rPr>
              <w:t>3D</w:t>
            </w:r>
          </w:p>
        </w:tc>
        <w:tc>
          <w:tcPr>
            <w:tcW w:type="dxa" w:w="1872"/>
            <w:vAlign w:val="center"/>
            <w:tcMar>
              <w:top w:w="90" w:type="dxa"/>
              <w:start w:w="120" w:type="dxa"/>
              <w:bottom w:w="90" w:type="dxa"/>
              <w:end w:w="120" w:type="dxa"/>
            </w:tcMar>
          </w:tcPr>
          <w:p>
            <w:pPr>
              <w:spacing w:after="0" w:line="247" w:lineRule="auto"/>
              <w:jc w:val="left"/>
            </w:pPr>
            <w:r/>
            <w:r>
              <w:rPr>
                <w:rFonts w:ascii="Aptos" w:hAnsi="Aptos"/>
                <w:b w:val="0"/>
                <w:color w:val="202B33"/>
                <w:sz w:val="15"/>
              </w:rPr>
              <w:t>Montrer volume, objet ou espace</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5"/>
              </w:rPr>
              <w:t>Three.js, GLTFLoader, GLB/glTF, Draco</w:t>
            </w:r>
          </w:p>
        </w:tc>
        <w:tc>
          <w:tcPr>
            <w:tcW w:type="dxa" w:w="2808"/>
            <w:vAlign w:val="center"/>
            <w:tcMar>
              <w:top w:w="90" w:type="dxa"/>
              <w:start w:w="120" w:type="dxa"/>
              <w:bottom w:w="90" w:type="dxa"/>
              <w:end w:w="120" w:type="dxa"/>
            </w:tcMar>
          </w:tcPr>
          <w:p>
            <w:pPr>
              <w:spacing w:after="0" w:line="247" w:lineRule="auto"/>
              <w:jc w:val="left"/>
            </w:pPr>
            <w:r/>
            <w:r>
              <w:rPr>
                <w:rFonts w:ascii="Aptos" w:hAnsi="Aptos"/>
                <w:b w:val="0"/>
                <w:color w:val="202B33"/>
                <w:sz w:val="15"/>
              </w:rPr>
              <w:t>Vues fixes, schémas, plans et détails imprimés</w:t>
            </w:r>
          </w:p>
        </w:tc>
      </w:tr>
      <w:tr>
        <w:trPr>
          <w:cantSplit/>
        </w:trPr>
        <w:tc>
          <w:tcPr>
            <w:tcW w:type="dxa" w:w="14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AR spatiale</w:t>
            </w:r>
          </w:p>
        </w:tc>
        <w:tc>
          <w:tcPr>
            <w:tcW w:type="dxa" w:w="187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Placer un modèle dans l’espace</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model-viewer et capacités appareils selon support</w:t>
            </w:r>
          </w:p>
        </w:tc>
        <w:tc>
          <w:tcPr>
            <w:tcW w:type="dxa" w:w="280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Photomontages et échelles dans le livre</w:t>
            </w:r>
          </w:p>
        </w:tc>
      </w:tr>
      <w:tr>
        <w:trPr>
          <w:cantSplit/>
        </w:trPr>
        <w:tc>
          <w:tcPr>
            <w:tcW w:type="dxa" w:w="1440"/>
            <w:vAlign w:val="center"/>
            <w:tcMar>
              <w:top w:w="90" w:type="dxa"/>
              <w:start w:w="120" w:type="dxa"/>
              <w:bottom w:w="90" w:type="dxa"/>
              <w:end w:w="120" w:type="dxa"/>
            </w:tcMar>
          </w:tcPr>
          <w:p>
            <w:pPr>
              <w:spacing w:after="0" w:line="247" w:lineRule="auto"/>
              <w:jc w:val="left"/>
            </w:pPr>
            <w:r/>
            <w:r>
              <w:rPr>
                <w:rFonts w:ascii="Aptos" w:hAnsi="Aptos"/>
                <w:b w:val="0"/>
                <w:color w:val="202B33"/>
                <w:sz w:val="15"/>
              </w:rPr>
              <w:t>VR</w:t>
            </w:r>
          </w:p>
        </w:tc>
        <w:tc>
          <w:tcPr>
            <w:tcW w:type="dxa" w:w="1872"/>
            <w:vAlign w:val="center"/>
            <w:tcMar>
              <w:top w:w="90" w:type="dxa"/>
              <w:start w:w="120" w:type="dxa"/>
              <w:bottom w:w="90" w:type="dxa"/>
              <w:end w:w="120" w:type="dxa"/>
            </w:tcMar>
          </w:tcPr>
          <w:p>
            <w:pPr>
              <w:spacing w:after="0" w:line="247" w:lineRule="auto"/>
              <w:jc w:val="left"/>
            </w:pPr>
            <w:r/>
            <w:r>
              <w:rPr>
                <w:rFonts w:ascii="Aptos" w:hAnsi="Aptos"/>
                <w:b w:val="0"/>
                <w:color w:val="202B33"/>
                <w:sz w:val="15"/>
              </w:rPr>
              <w:t>Entrer dans les salles et mondes</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5"/>
              </w:rPr>
              <w:t>WebXR, Meta Quest Browser, contrôleurs, hand tracking</w:t>
            </w:r>
          </w:p>
        </w:tc>
        <w:tc>
          <w:tcPr>
            <w:tcW w:type="dxa" w:w="2808"/>
            <w:vAlign w:val="center"/>
            <w:tcMar>
              <w:top w:w="90" w:type="dxa"/>
              <w:start w:w="120" w:type="dxa"/>
              <w:bottom w:w="90" w:type="dxa"/>
              <w:end w:w="120" w:type="dxa"/>
            </w:tcMar>
          </w:tcPr>
          <w:p>
            <w:pPr>
              <w:spacing w:after="0" w:line="247" w:lineRule="auto"/>
              <w:jc w:val="left"/>
            </w:pPr>
            <w:r/>
            <w:r>
              <w:rPr>
                <w:rFonts w:ascii="Aptos" w:hAnsi="Aptos"/>
                <w:b w:val="0"/>
                <w:color w:val="202B33"/>
                <w:sz w:val="15"/>
              </w:rPr>
              <w:t>Parcours visuel et descriptions imprimées</w:t>
            </w:r>
          </w:p>
        </w:tc>
      </w:tr>
      <w:tr>
        <w:trPr>
          <w:cantSplit/>
        </w:trPr>
        <w:tc>
          <w:tcPr>
            <w:tcW w:type="dxa" w:w="14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Audio / vidéo</w:t>
            </w:r>
          </w:p>
        </w:tc>
        <w:tc>
          <w:tcPr>
            <w:tcW w:type="dxa" w:w="187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Narration, mouvement et séquence</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MP3/M4A/MP4, textures vidéo, synthèse vocale de secours</w:t>
            </w:r>
          </w:p>
        </w:tc>
        <w:tc>
          <w:tcPr>
            <w:tcW w:type="dxa" w:w="280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5"/>
              </w:rPr>
              <w:t>Transcription, photogrammes et texte</w:t>
            </w:r>
          </w:p>
        </w:tc>
      </w:tr>
      <w:tr>
        <w:trPr>
          <w:cantSplit/>
        </w:trPr>
        <w:tc>
          <w:tcPr>
            <w:tcW w:type="dxa" w:w="1440"/>
            <w:vAlign w:val="center"/>
            <w:tcMar>
              <w:top w:w="90" w:type="dxa"/>
              <w:start w:w="120" w:type="dxa"/>
              <w:bottom w:w="90" w:type="dxa"/>
              <w:end w:w="120" w:type="dxa"/>
            </w:tcMar>
          </w:tcPr>
          <w:p>
            <w:pPr>
              <w:spacing w:after="0" w:line="247" w:lineRule="auto"/>
              <w:jc w:val="left"/>
            </w:pPr>
            <w:r/>
            <w:r>
              <w:rPr>
                <w:rFonts w:ascii="Aptos" w:hAnsi="Aptos"/>
                <w:b w:val="0"/>
                <w:color w:val="202B33"/>
                <w:sz w:val="15"/>
              </w:rPr>
              <w:t>IA</w:t>
            </w:r>
          </w:p>
        </w:tc>
        <w:tc>
          <w:tcPr>
            <w:tcW w:type="dxa" w:w="1872"/>
            <w:vAlign w:val="center"/>
            <w:tcMar>
              <w:top w:w="90" w:type="dxa"/>
              <w:start w:w="120" w:type="dxa"/>
              <w:bottom w:w="90" w:type="dxa"/>
              <w:end w:w="120" w:type="dxa"/>
            </w:tcMar>
          </w:tcPr>
          <w:p>
            <w:pPr>
              <w:spacing w:after="0" w:line="247" w:lineRule="auto"/>
              <w:jc w:val="left"/>
            </w:pPr>
            <w:r/>
            <w:r>
              <w:rPr>
                <w:rFonts w:ascii="Aptos" w:hAnsi="Aptos"/>
                <w:b w:val="0"/>
                <w:color w:val="202B33"/>
                <w:sz w:val="15"/>
              </w:rPr>
              <w:t>Guide conversationnel contextuel</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5"/>
              </w:rPr>
              <w:t>Lien ChatGPT prérempli, contexte de salle et langue</w:t>
            </w:r>
          </w:p>
        </w:tc>
        <w:tc>
          <w:tcPr>
            <w:tcW w:type="dxa" w:w="2808"/>
            <w:vAlign w:val="center"/>
            <w:tcMar>
              <w:top w:w="90" w:type="dxa"/>
              <w:start w:w="120" w:type="dxa"/>
              <w:bottom w:w="90" w:type="dxa"/>
              <w:end w:w="120" w:type="dxa"/>
            </w:tcMar>
          </w:tcPr>
          <w:p>
            <w:pPr>
              <w:spacing w:after="0" w:line="247" w:lineRule="auto"/>
              <w:jc w:val="left"/>
            </w:pPr>
            <w:r/>
            <w:r>
              <w:rPr>
                <w:rFonts w:ascii="Aptos" w:hAnsi="Aptos"/>
                <w:b w:val="0"/>
                <w:color w:val="202B33"/>
                <w:sz w:val="15"/>
              </w:rPr>
              <w:t>Index, glossaire, FAQ et notices imprimées</w:t>
            </w:r>
          </w:p>
        </w:tc>
      </w:tr>
    </w:tbl>
    <w:p>
      <w:pPr>
        <w:spacing w:after="40"/>
      </w:pPr>
    </w:p>
    <w:p>
      <w:pPr>
        <w:pStyle w:val="Heading2"/>
      </w:pPr>
      <w:r>
        <w:t>6.1 Expériences actuellement représentées dans le dépôt</w:t>
      </w:r>
    </w:p>
    <w:p>
      <w:pPr>
        <w:pStyle w:val="ListBullet"/>
      </w:pPr>
      <w:r>
        <w:t>Galerie VR connectée avec quatre salles de peinture, salles de modèles 3D, groupes réimaginés, musée du Louvre, cinéma et téléportation.</w:t>
      </w:r>
    </w:p>
    <w:p>
      <w:pPr>
        <w:pStyle w:val="ListBullet"/>
      </w:pPr>
      <w:r>
        <w:t>Compatibilité WebXR, interaction par contrôleurs et pincement des mains, avec rendu adapté aux navigateurs Meta Quest.</w:t>
      </w:r>
    </w:p>
    <w:p>
      <w:pPr>
        <w:pStyle w:val="ListBullet"/>
      </w:pPr>
      <w:r>
        <w:t>Image tracking pour Mona Lisa, Van Gogh, The Bedroom et Girl with a Pearl Earring ; animations dédiées pour les quatre œuvres signatures.</w:t>
      </w:r>
    </w:p>
    <w:p>
      <w:pPr>
        <w:pStyle w:val="ListBullet"/>
      </w:pPr>
      <w:r>
        <w:t>Livre Vivant 3D, audio multilingue, vidéos, variantes de modèles et interfaces français/anglais/arabe.</w:t>
      </w:r>
    </w:p>
    <w:p>
      <w:pPr>
        <w:pStyle w:val="ListBullet"/>
      </w:pPr>
      <w:r>
        <w:t>Guide ChatGPT accessible depuis l’interface et certains panneaux de navigation, avec question et contexte préremplis.</w:t>
      </w:r>
    </w:p>
    <w:p>
      <w:pPr>
        <w:pStyle w:val="Heading2"/>
      </w:pPr>
      <w:r>
        <w:t>6.2 État technique des quatre œuvres signatures</w:t>
      </w:r>
    </w:p>
    <w:tbl>
      <w:tblPr>
        <w:tblStyle w:val="TableGrid"/>
        <w:tblW w:type="auto" w:w="0"/>
        <w:jc w:val="center"/>
        <w:tblLayout w:type="fixed"/>
        <w:tblLook w:firstColumn="1" w:firstRow="1" w:lastColumn="0" w:lastRow="0" w:noHBand="0" w:noVBand="1" w:val="04A0"/>
      </w:tblPr>
      <w:tblGrid>
        <w:gridCol w:w="2088"/>
        <w:gridCol w:w="1080"/>
        <w:gridCol w:w="1512"/>
        <w:gridCol w:w="1440"/>
        <w:gridCol w:w="3600"/>
      </w:tblGrid>
      <w:tr>
        <w:trPr>
          <w:tblHeader w:val="true"/>
          <w:cantSplit/>
        </w:trPr>
        <w:tc>
          <w:tcPr>
            <w:tcW w:type="dxa" w:w="1999"/>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Œuvre</w:t>
            </w:r>
          </w:p>
        </w:tc>
        <w:tc>
          <w:tcPr>
            <w:tcW w:type="dxa" w:w="1999"/>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JSON</w:t>
            </w:r>
          </w:p>
        </w:tc>
        <w:tc>
          <w:tcPr>
            <w:tcW w:type="dxa" w:w="1999"/>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Cible .mind</w:t>
            </w:r>
          </w:p>
        </w:tc>
        <w:tc>
          <w:tcPr>
            <w:tcW w:type="dxa" w:w="1999"/>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Vidéo AR</w:t>
            </w:r>
          </w:p>
        </w:tc>
        <w:tc>
          <w:tcPr>
            <w:tcW w:type="dxa" w:w="1999"/>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Statut</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7"/>
              </w:rPr>
              <w:t>Mona Lisa</w:t>
            </w:r>
          </w:p>
        </w:tc>
        <w:tc>
          <w:tcPr>
            <w:tcW w:type="dxa" w:w="1080"/>
            <w:vAlign w:val="center"/>
            <w:tcMar>
              <w:top w:w="90" w:type="dxa"/>
              <w:start w:w="120" w:type="dxa"/>
              <w:bottom w:w="90" w:type="dxa"/>
              <w:end w:w="120" w:type="dxa"/>
            </w:tcMar>
          </w:tcPr>
          <w:p>
            <w:pPr>
              <w:spacing w:after="0" w:line="247" w:lineRule="auto"/>
              <w:jc w:val="left"/>
            </w:pPr>
            <w:r/>
            <w:r>
              <w:rPr>
                <w:rFonts w:ascii="Aptos" w:hAnsi="Aptos"/>
                <w:b w:val="0"/>
                <w:color w:val="202B33"/>
                <w:sz w:val="17"/>
              </w:rPr>
              <w:t>Oui</w:t>
            </w:r>
          </w:p>
        </w:tc>
        <w:tc>
          <w:tcPr>
            <w:tcW w:type="dxa" w:w="1512"/>
            <w:vAlign w:val="center"/>
            <w:tcMar>
              <w:top w:w="90" w:type="dxa"/>
              <w:start w:w="120" w:type="dxa"/>
              <w:bottom w:w="90" w:type="dxa"/>
              <w:end w:w="120" w:type="dxa"/>
            </w:tcMar>
          </w:tcPr>
          <w:p>
            <w:pPr>
              <w:spacing w:after="0" w:line="247" w:lineRule="auto"/>
              <w:jc w:val="left"/>
            </w:pPr>
            <w:r/>
            <w:r>
              <w:rPr>
                <w:rFonts w:ascii="Aptos" w:hAnsi="Aptos"/>
                <w:b w:val="0"/>
                <w:color w:val="202B33"/>
                <w:sz w:val="17"/>
              </w:rPr>
              <w:t>Oui</w:t>
            </w:r>
          </w:p>
        </w:tc>
        <w:tc>
          <w:tcPr>
            <w:tcW w:type="dxa" w:w="1440"/>
            <w:vAlign w:val="center"/>
            <w:tcMar>
              <w:top w:w="90" w:type="dxa"/>
              <w:start w:w="120" w:type="dxa"/>
              <w:bottom w:w="90" w:type="dxa"/>
              <w:end w:w="120" w:type="dxa"/>
            </w:tcMar>
          </w:tcPr>
          <w:p>
            <w:pPr>
              <w:spacing w:after="0" w:line="247" w:lineRule="auto"/>
              <w:jc w:val="left"/>
            </w:pPr>
            <w:r/>
            <w:r>
              <w:rPr>
                <w:rFonts w:ascii="Aptos" w:hAnsi="Aptos"/>
                <w:b w:val="0"/>
                <w:color w:val="202B33"/>
                <w:sz w:val="17"/>
              </w:rPr>
              <w:t>Oui</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7"/>
              </w:rPr>
              <w:t>Intégrée ; QA mobile/Quest requise</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Self-Portrait</w:t>
            </w:r>
          </w:p>
        </w:tc>
        <w:tc>
          <w:tcPr>
            <w:tcW w:type="dxa" w:w="108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Oui</w:t>
            </w:r>
          </w:p>
        </w:tc>
        <w:tc>
          <w:tcPr>
            <w:tcW w:type="dxa" w:w="151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Oui</w:t>
            </w:r>
          </w:p>
        </w:tc>
        <w:tc>
          <w:tcPr>
            <w:tcW w:type="dxa" w:w="14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Oui</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Intégrée ; QA caméra et lisibilité</w:t>
            </w:r>
          </w:p>
        </w:tc>
      </w:tr>
      <w:tr>
        <w:trPr>
          <w:cantSplit/>
        </w:trPr>
        <w:tc>
          <w:tcPr>
            <w:tcW w:type="dxa" w:w="2088"/>
            <w:vAlign w:val="center"/>
            <w:tcMar>
              <w:top w:w="90" w:type="dxa"/>
              <w:start w:w="120" w:type="dxa"/>
              <w:bottom w:w="90" w:type="dxa"/>
              <w:end w:w="120" w:type="dxa"/>
            </w:tcMar>
          </w:tcPr>
          <w:p>
            <w:pPr>
              <w:spacing w:after="0" w:line="247" w:lineRule="auto"/>
              <w:jc w:val="left"/>
            </w:pPr>
            <w:r/>
            <w:r>
              <w:rPr>
                <w:rFonts w:ascii="Aptos" w:hAnsi="Aptos"/>
                <w:b w:val="0"/>
                <w:color w:val="202B33"/>
                <w:sz w:val="17"/>
              </w:rPr>
              <w:t>Girl with a Pearl Earring</w:t>
            </w:r>
          </w:p>
        </w:tc>
        <w:tc>
          <w:tcPr>
            <w:tcW w:type="dxa" w:w="1080"/>
            <w:vAlign w:val="center"/>
            <w:tcMar>
              <w:top w:w="90" w:type="dxa"/>
              <w:start w:w="120" w:type="dxa"/>
              <w:bottom w:w="90" w:type="dxa"/>
              <w:end w:w="120" w:type="dxa"/>
            </w:tcMar>
          </w:tcPr>
          <w:p>
            <w:pPr>
              <w:spacing w:after="0" w:line="247" w:lineRule="auto"/>
              <w:jc w:val="left"/>
            </w:pPr>
            <w:r/>
            <w:r>
              <w:rPr>
                <w:rFonts w:ascii="Aptos" w:hAnsi="Aptos"/>
                <w:b w:val="0"/>
                <w:color w:val="202B33"/>
                <w:sz w:val="17"/>
              </w:rPr>
              <w:t>Oui</w:t>
            </w:r>
          </w:p>
        </w:tc>
        <w:tc>
          <w:tcPr>
            <w:tcW w:type="dxa" w:w="1512"/>
            <w:vAlign w:val="center"/>
            <w:tcMar>
              <w:top w:w="90" w:type="dxa"/>
              <w:start w:w="120" w:type="dxa"/>
              <w:bottom w:w="90" w:type="dxa"/>
              <w:end w:w="120" w:type="dxa"/>
            </w:tcMar>
          </w:tcPr>
          <w:p>
            <w:pPr>
              <w:spacing w:after="0" w:line="247" w:lineRule="auto"/>
              <w:jc w:val="left"/>
            </w:pPr>
            <w:r/>
            <w:r>
              <w:rPr>
                <w:rFonts w:ascii="Aptos" w:hAnsi="Aptos"/>
                <w:b w:val="0"/>
                <w:color w:val="202B33"/>
                <w:sz w:val="17"/>
              </w:rPr>
              <w:t>Oui</w:t>
            </w:r>
          </w:p>
        </w:tc>
        <w:tc>
          <w:tcPr>
            <w:tcW w:type="dxa" w:w="1440"/>
            <w:vAlign w:val="center"/>
            <w:tcMar>
              <w:top w:w="90" w:type="dxa"/>
              <w:start w:w="120" w:type="dxa"/>
              <w:bottom w:w="90" w:type="dxa"/>
              <w:end w:w="120" w:type="dxa"/>
            </w:tcMar>
          </w:tcPr>
          <w:p>
            <w:pPr>
              <w:spacing w:after="0" w:line="247" w:lineRule="auto"/>
              <w:jc w:val="left"/>
            </w:pPr>
            <w:r/>
            <w:r>
              <w:rPr>
                <w:rFonts w:ascii="Aptos" w:hAnsi="Aptos"/>
                <w:b w:val="0"/>
                <w:color w:val="202B33"/>
                <w:sz w:val="17"/>
              </w:rPr>
              <w:t>Oui</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7"/>
              </w:rPr>
              <w:t>Intégrée ; QA tracking fond sombre</w:t>
            </w:r>
          </w:p>
        </w:tc>
      </w:tr>
      <w:tr>
        <w:trPr>
          <w:cantSplit/>
        </w:trPr>
        <w:tc>
          <w:tcPr>
            <w:tcW w:type="dxa" w:w="20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Impression, Sunrise</w:t>
            </w:r>
          </w:p>
        </w:tc>
        <w:tc>
          <w:tcPr>
            <w:tcW w:type="dxa" w:w="108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Oui</w:t>
            </w:r>
          </w:p>
        </w:tc>
        <w:tc>
          <w:tcPr>
            <w:tcW w:type="dxa" w:w="151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À produire</w:t>
            </w:r>
          </w:p>
        </w:tc>
        <w:tc>
          <w:tcPr>
            <w:tcW w:type="dxa" w:w="14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Oui</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Animation prête ; tracking non activable avant cible</w:t>
            </w:r>
          </w:p>
        </w:tc>
      </w:tr>
    </w:tbl>
    <w:p>
      <w:pPr>
        <w:spacing w:after="40"/>
      </w:pPr>
    </w:p>
    <w:p>
      <w:pPr>
        <w:pStyle w:val="Heading1"/>
      </w:pPr>
      <w:r>
        <w:t>7. Architecture technique de référence</w:t>
      </w:r>
    </w:p>
    <w:p>
      <w:pPr>
        <w:pStyle w:val="Heading2"/>
      </w:pPr>
      <w:r>
        <w:t>7.1 Composants</w:t>
      </w:r>
    </w:p>
    <w:p>
      <w:pPr>
        <w:pStyle w:val="ListBullet"/>
      </w:pPr>
      <w:r>
        <w:t>Front-end statique : HTML5, CSS, JavaScript en modules ES, données éditoriales en JSON.</w:t>
      </w:r>
    </w:p>
    <w:p>
      <w:pPr>
        <w:pStyle w:val="ListBullet"/>
      </w:pPr>
      <w:r>
        <w:t>Moteur 3D : Three.js ; chargement GLB/glTF ; décodage Draco pour les modèles compressés.</w:t>
      </w:r>
    </w:p>
    <w:p>
      <w:pPr>
        <w:pStyle w:val="ListBullet"/>
      </w:pPr>
      <w:r>
        <w:t>WebAR : MindAR Image Tracking avec cibles compilées .mind et autorisation caméra via getUserMedia.</w:t>
      </w:r>
    </w:p>
    <w:p>
      <w:pPr>
        <w:pStyle w:val="ListBullet"/>
      </w:pPr>
      <w:r>
        <w:t>VR : WebXR avec local-floor/bounded-floor, contrôleurs et fonctionnalité optionnelle hand-tracking.</w:t>
      </w:r>
    </w:p>
    <w:p>
      <w:pPr>
        <w:pStyle w:val="ListBullet"/>
      </w:pPr>
      <w:r>
        <w:t>Multimédia : images WebP/PNG/JPEG, audio MP3/M4A, vidéo MP4 et textures vidéo dans la scène 3D.</w:t>
      </w:r>
    </w:p>
    <w:p>
      <w:pPr>
        <w:pStyle w:val="ListBullet"/>
      </w:pPr>
      <w:r>
        <w:t>Compatibilité : chargement progressif, baisse de résolution de textures sur mobile/Quest, modèles allégés et contenu différé.</w:t>
      </w:r>
    </w:p>
    <w:p>
      <w:pPr>
        <w:pStyle w:val="ListBullet"/>
      </w:pPr>
      <w:r>
        <w:t>Internationalisation : interfaces et contenus en français, anglais et arabe lorsque disponibles.</w:t>
      </w:r>
    </w:p>
    <w:p>
      <w:pPr>
        <w:pStyle w:val="Heading2"/>
      </w:pPr>
      <w:r>
        <w:t>7.2 Architecture de données</w:t>
      </w:r>
    </w:p>
    <w:p>
      <w:r>
        <w:rPr>
          <w:rFonts w:ascii="Aptos" w:hAnsi="Aptos"/>
          <w:b w:val="0"/>
          <w:i w:val="0"/>
          <w:color w:val="202B33"/>
          <w:sz w:val="20"/>
        </w:rPr>
        <w:t>Une œuvre est pilotée par un manifeste JSON qui sépare identité, textes, sources, impression, AR, modèles, audio, vidéo, hotspots et objectifs éducatifs. Cette séparation permet de corriger un texte ou remplacer un média sans reconstruire toute l’application.</w:t>
      </w:r>
    </w:p>
    <w:tbl>
      <w:tblPr>
        <w:tblStyle w:val="TableGrid"/>
        <w:tblW w:type="auto" w:w="0"/>
        <w:jc w:val="center"/>
        <w:tblLayout w:type="fixed"/>
        <w:tblLook w:firstColumn="1" w:firstRow="1" w:lastColumn="0" w:lastRow="0" w:noHBand="0" w:noVBand="1" w:val="04A0"/>
      </w:tblPr>
      <w:tblGrid>
        <w:gridCol w:w="1656"/>
        <w:gridCol w:w="4824"/>
        <w:gridCol w:w="3240"/>
      </w:tblGrid>
      <w:tr>
        <w:trPr>
          <w:tblHeader w:val="true"/>
          <w:cantSplit/>
        </w:trPr>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Objet</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Contenu minimal</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Règle</w:t>
            </w:r>
          </w:p>
        </w:tc>
      </w:tr>
      <w:tr>
        <w:trPr>
          <w:cantSplit/>
        </w:trPr>
        <w:tc>
          <w:tcPr>
            <w:tcW w:type="dxa" w:w="1656"/>
            <w:vAlign w:val="center"/>
            <w:tcMar>
              <w:top w:w="90" w:type="dxa"/>
              <w:start w:w="120" w:type="dxa"/>
              <w:bottom w:w="90" w:type="dxa"/>
              <w:end w:w="120" w:type="dxa"/>
            </w:tcMar>
          </w:tcPr>
          <w:p>
            <w:pPr>
              <w:spacing w:after="0" w:line="247" w:lineRule="auto"/>
              <w:jc w:val="left"/>
            </w:pPr>
            <w:r/>
            <w:r>
              <w:rPr>
                <w:rFonts w:ascii="Aptos" w:hAnsi="Aptos"/>
                <w:b w:val="0"/>
                <w:color w:val="202B33"/>
                <w:sz w:val="17"/>
              </w:rPr>
              <w:t>painting.json</w:t>
            </w:r>
          </w:p>
        </w:tc>
        <w:tc>
          <w:tcPr>
            <w:tcW w:type="dxa" w:w="4824"/>
            <w:vAlign w:val="center"/>
            <w:tcMar>
              <w:top w:w="90" w:type="dxa"/>
              <w:start w:w="120" w:type="dxa"/>
              <w:bottom w:w="90" w:type="dxa"/>
              <w:end w:w="120" w:type="dxa"/>
            </w:tcMar>
          </w:tcPr>
          <w:p>
            <w:pPr>
              <w:spacing w:after="0" w:line="247" w:lineRule="auto"/>
              <w:jc w:val="left"/>
            </w:pPr>
            <w:r/>
            <w:r>
              <w:rPr>
                <w:rFonts w:ascii="Aptos" w:hAnsi="Aptos"/>
                <w:b w:val="0"/>
                <w:color w:val="202B33"/>
                <w:sz w:val="17"/>
              </w:rPr>
              <w:t>slug, titre, artiste, date, technique, collection, textes, sources</w:t>
            </w:r>
          </w:p>
        </w:tc>
        <w:tc>
          <w:tcPr>
            <w:tcW w:type="dxa" w:w="3240"/>
            <w:vAlign w:val="center"/>
            <w:tcMar>
              <w:top w:w="90" w:type="dxa"/>
              <w:start w:w="120" w:type="dxa"/>
              <w:bottom w:w="90" w:type="dxa"/>
              <w:end w:w="120" w:type="dxa"/>
            </w:tcMar>
          </w:tcPr>
          <w:p>
            <w:pPr>
              <w:spacing w:after="0" w:line="247" w:lineRule="auto"/>
              <w:jc w:val="left"/>
            </w:pPr>
            <w:r/>
            <w:r>
              <w:rPr>
                <w:rFonts w:ascii="Aptos" w:hAnsi="Aptos"/>
                <w:b w:val="0"/>
                <w:color w:val="202B33"/>
                <w:sz w:val="17"/>
              </w:rPr>
              <w:t>Source éditoriale versionnée</w:t>
            </w:r>
          </w:p>
        </w:tc>
      </w:tr>
      <w:tr>
        <w:trPr>
          <w:cantSplit/>
        </w:trPr>
        <w:tc>
          <w:tcPr>
            <w:tcW w:type="dxa" w:w="165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print</w:t>
            </w:r>
          </w:p>
        </w:tc>
        <w:tc>
          <w:tcPr>
            <w:tcW w:type="dxa" w:w="4824"/>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ordre, image cible, QR, crédits</w:t>
            </w:r>
          </w:p>
        </w:tc>
        <w:tc>
          <w:tcPr>
            <w:tcW w:type="dxa" w:w="32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Indépendant des médias lourds</w:t>
            </w:r>
          </w:p>
        </w:tc>
      </w:tr>
      <w:tr>
        <w:trPr>
          <w:cantSplit/>
        </w:trPr>
        <w:tc>
          <w:tcPr>
            <w:tcW w:type="dxa" w:w="1656"/>
            <w:vAlign w:val="center"/>
            <w:tcMar>
              <w:top w:w="90" w:type="dxa"/>
              <w:start w:w="120" w:type="dxa"/>
              <w:bottom w:w="90" w:type="dxa"/>
              <w:end w:w="120" w:type="dxa"/>
            </w:tcMar>
          </w:tcPr>
          <w:p>
            <w:pPr>
              <w:spacing w:after="0" w:line="247" w:lineRule="auto"/>
              <w:jc w:val="left"/>
            </w:pPr>
            <w:r/>
            <w:r>
              <w:rPr>
                <w:rFonts w:ascii="Aptos" w:hAnsi="Aptos"/>
                <w:b w:val="0"/>
                <w:color w:val="202B33"/>
                <w:sz w:val="17"/>
              </w:rPr>
              <w:t>ar</w:t>
            </w:r>
          </w:p>
        </w:tc>
        <w:tc>
          <w:tcPr>
            <w:tcW w:type="dxa" w:w="4824"/>
            <w:vAlign w:val="center"/>
            <w:tcMar>
              <w:top w:w="90" w:type="dxa"/>
              <w:start w:w="120" w:type="dxa"/>
              <w:bottom w:w="90" w:type="dxa"/>
              <w:end w:w="120" w:type="dxa"/>
            </w:tcMar>
          </w:tcPr>
          <w:p>
            <w:pPr>
              <w:spacing w:after="0" w:line="247" w:lineRule="auto"/>
              <w:jc w:val="left"/>
            </w:pPr>
            <w:r/>
            <w:r>
              <w:rPr>
                <w:rFonts w:ascii="Aptos" w:hAnsi="Aptos"/>
                <w:b w:val="0"/>
                <w:color w:val="202B33"/>
                <w:sz w:val="17"/>
              </w:rPr>
              <w:t>cible .mind, modèle principal, variantes, échelle, rotation</w:t>
            </w:r>
          </w:p>
        </w:tc>
        <w:tc>
          <w:tcPr>
            <w:tcW w:type="dxa" w:w="3240"/>
            <w:vAlign w:val="center"/>
            <w:tcMar>
              <w:top w:w="90" w:type="dxa"/>
              <w:start w:w="120" w:type="dxa"/>
              <w:bottom w:w="90" w:type="dxa"/>
              <w:end w:w="120" w:type="dxa"/>
            </w:tcMar>
          </w:tcPr>
          <w:p>
            <w:pPr>
              <w:spacing w:after="0" w:line="247" w:lineRule="auto"/>
              <w:jc w:val="left"/>
            </w:pPr>
            <w:r/>
            <w:r>
              <w:rPr>
                <w:rFonts w:ascii="Aptos" w:hAnsi="Aptos"/>
                <w:b w:val="0"/>
                <w:color w:val="202B33"/>
                <w:sz w:val="17"/>
              </w:rPr>
              <w:t>Pas de chemin publié sans fichier présent</w:t>
            </w:r>
          </w:p>
        </w:tc>
      </w:tr>
      <w:tr>
        <w:trPr>
          <w:cantSplit/>
        </w:trPr>
        <w:tc>
          <w:tcPr>
            <w:tcW w:type="dxa" w:w="165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media</w:t>
            </w:r>
          </w:p>
        </w:tc>
        <w:tc>
          <w:tcPr>
            <w:tcW w:type="dxa" w:w="4824"/>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image, audio, vidéo, modèles</w:t>
            </w:r>
          </w:p>
        </w:tc>
        <w:tc>
          <w:tcPr>
            <w:tcW w:type="dxa" w:w="324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Formats Web optimisés et crédits associés</w:t>
            </w:r>
          </w:p>
        </w:tc>
      </w:tr>
      <w:tr>
        <w:trPr>
          <w:cantSplit/>
        </w:trPr>
        <w:tc>
          <w:tcPr>
            <w:tcW w:type="dxa" w:w="1656"/>
            <w:vAlign w:val="center"/>
            <w:tcMar>
              <w:top w:w="90" w:type="dxa"/>
              <w:start w:w="120" w:type="dxa"/>
              <w:bottom w:w="90" w:type="dxa"/>
              <w:end w:w="120" w:type="dxa"/>
            </w:tcMar>
          </w:tcPr>
          <w:p>
            <w:pPr>
              <w:spacing w:after="0" w:line="247" w:lineRule="auto"/>
              <w:jc w:val="left"/>
            </w:pPr>
            <w:r/>
            <w:r>
              <w:rPr>
                <w:rFonts w:ascii="Aptos" w:hAnsi="Aptos"/>
                <w:b w:val="0"/>
                <w:color w:val="202B33"/>
                <w:sz w:val="17"/>
              </w:rPr>
              <w:t>education</w:t>
            </w:r>
          </w:p>
        </w:tc>
        <w:tc>
          <w:tcPr>
            <w:tcW w:type="dxa" w:w="4824"/>
            <w:vAlign w:val="center"/>
            <w:tcMar>
              <w:top w:w="90" w:type="dxa"/>
              <w:start w:w="120" w:type="dxa"/>
              <w:bottom w:w="90" w:type="dxa"/>
              <w:end w:w="120" w:type="dxa"/>
            </w:tcMar>
          </w:tcPr>
          <w:p>
            <w:pPr>
              <w:spacing w:after="0" w:line="247" w:lineRule="auto"/>
              <w:jc w:val="left"/>
            </w:pPr>
            <w:r/>
            <w:r>
              <w:rPr>
                <w:rFonts w:ascii="Aptos" w:hAnsi="Aptos"/>
                <w:b w:val="0"/>
                <w:color w:val="202B33"/>
                <w:sz w:val="17"/>
              </w:rPr>
              <w:t>objectifs, vocabulaire, quiz, questions</w:t>
            </w:r>
          </w:p>
        </w:tc>
        <w:tc>
          <w:tcPr>
            <w:tcW w:type="dxa" w:w="3240"/>
            <w:vAlign w:val="center"/>
            <w:tcMar>
              <w:top w:w="90" w:type="dxa"/>
              <w:start w:w="120" w:type="dxa"/>
              <w:bottom w:w="90" w:type="dxa"/>
              <w:end w:w="120" w:type="dxa"/>
            </w:tcMar>
          </w:tcPr>
          <w:p>
            <w:pPr>
              <w:spacing w:after="0" w:line="247" w:lineRule="auto"/>
              <w:jc w:val="left"/>
            </w:pPr>
            <w:r/>
            <w:r>
              <w:rPr>
                <w:rFonts w:ascii="Aptos" w:hAnsi="Aptos"/>
                <w:b w:val="0"/>
                <w:color w:val="202B33"/>
                <w:sz w:val="17"/>
              </w:rPr>
              <w:t>Cohérent avec le texte imprimé</w:t>
            </w:r>
          </w:p>
        </w:tc>
      </w:tr>
    </w:tbl>
    <w:p>
      <w:pPr>
        <w:spacing w:after="40"/>
      </w:pPr>
    </w:p>
    <w:p>
      <w:pPr>
        <w:pStyle w:val="Heading2"/>
      </w:pPr>
      <w:r>
        <w:t>7.3 Performance et robustesse</w:t>
      </w:r>
    </w:p>
    <w:p>
      <w:pPr>
        <w:pStyle w:val="ListBullet"/>
      </w:pPr>
      <w:r>
        <w:t>Budget initial minimal : HTML, styles, scripts et interface avant les gros médias.</w:t>
      </w:r>
    </w:p>
    <w:p>
      <w:pPr>
        <w:pStyle w:val="ListBullet"/>
      </w:pPr>
      <w:r>
        <w:t>Chargement à la demande des salles, modèles et pistes audio ; pas de préchargement intégral sur mobile ou Quest.</w:t>
      </w:r>
    </w:p>
    <w:p>
      <w:pPr>
        <w:pStyle w:val="ListBullet"/>
      </w:pPr>
      <w:r>
        <w:t>Cibles AR et visuels de suivi distincts des images maîtres d’impression.</w:t>
      </w:r>
    </w:p>
    <w:p>
      <w:pPr>
        <w:pStyle w:val="ListBullet"/>
      </w:pPr>
      <w:r>
        <w:t>Textures limitées selon l’appareil ; mipmaps désactivées lorsque pertinent ; modèles low-power pour les scènes lourdes.</w:t>
      </w:r>
    </w:p>
    <w:p>
      <w:pPr>
        <w:pStyle w:val="ListBullet"/>
      </w:pPr>
      <w:r>
        <w:t>Mesure obligatoire : temps d’ouverture, mémoire, FPS, délai de reconnaissance, erreurs caméra et redémarrages de page.</w:t>
      </w:r>
    </w:p>
    <w:p>
      <w:pPr>
        <w:pStyle w:val="Heading1"/>
      </w:pPr>
      <w:r>
        <w:t>8. Gouvernance éditoriale et scientifique</w:t>
      </w:r>
    </w:p>
    <w:p>
      <w:pPr>
        <w:pStyle w:val="Heading2"/>
      </w:pPr>
      <w:r>
        <w:t>8.1 Chaîne de validation</w:t>
      </w:r>
    </w:p>
    <w:p>
      <w:pPr>
        <w:spacing w:after="60" w:line="269" w:lineRule="auto"/>
        <w:numPr>
          <w:ilvl w:val="0"/>
          <w:numId w:val="11"/>
        </w:numPr>
      </w:pPr>
      <w:r>
        <w:t>Constituer le dossier source institutionnel et bibliographique de chaque œuvre.</w:t>
      </w:r>
    </w:p>
    <w:p>
      <w:pPr>
        <w:spacing w:after="60" w:line="269" w:lineRule="auto"/>
        <w:numPr>
          <w:ilvl w:val="0"/>
          <w:numId w:val="11"/>
        </w:numPr>
      </w:pPr>
      <w:r>
        <w:t>Rédiger une fiche longue factuelle, puis la notice imprimée et les scripts numériques dérivés.</w:t>
      </w:r>
    </w:p>
    <w:p>
      <w:pPr>
        <w:spacing w:after="60" w:line="269" w:lineRule="auto"/>
        <w:numPr>
          <w:ilvl w:val="0"/>
          <w:numId w:val="11"/>
        </w:numPr>
      </w:pPr>
      <w:r>
        <w:t>Identifier les affirmations certaines, discutées, hypothétiques ou dépassées.</w:t>
      </w:r>
    </w:p>
    <w:p>
      <w:pPr>
        <w:spacing w:after="60" w:line="269" w:lineRule="auto"/>
        <w:numPr>
          <w:ilvl w:val="0"/>
          <w:numId w:val="11"/>
        </w:numPr>
      </w:pPr>
      <w:r>
        <w:t>Faire relire par un spécialiste ou un comité éditorial compétent.</w:t>
      </w:r>
    </w:p>
    <w:p>
      <w:pPr>
        <w:spacing w:after="60" w:line="269" w:lineRule="auto"/>
        <w:numPr>
          <w:ilvl w:val="0"/>
          <w:numId w:val="11"/>
        </w:numPr>
      </w:pPr>
      <w:r>
        <w:t>Valider les crédits, droits, dates d’accès et licences des reproductions.</w:t>
      </w:r>
    </w:p>
    <w:p>
      <w:pPr>
        <w:spacing w:after="60" w:line="269" w:lineRule="auto"/>
        <w:numPr>
          <w:ilvl w:val="0"/>
          <w:numId w:val="11"/>
        </w:numPr>
      </w:pPr>
      <w:r>
        <w:t>Geler une version imprimée ; poursuivre les mises à jour numériques sans altérer la cohérence du livre.</w:t>
      </w:r>
    </w:p>
    <w:p>
      <w:pPr>
        <w:pStyle w:val="Heading2"/>
      </w:pPr>
      <w:r>
        <w:t>8.2 Politique sur la valeur des œuvres</w:t>
      </w:r>
    </w:p>
    <w:tbl>
      <w:tblPr>
        <w:tblW w:type="auto" w:w="0"/>
        <w:jc w:val="center"/>
        <w:tblLayout w:type="fixed"/>
        <w:tblLook w:firstColumn="1" w:firstRow="1" w:lastColumn="0" w:lastRow="0" w:noHBand="0" w:noVBand="1" w:val="04A0"/>
      </w:tblPr>
      <w:tblGrid>
        <w:gridCol w:w="9720"/>
      </w:tblGrid>
      <w:tr>
        <w:trPr>
          <w:cantSplit/>
        </w:trPr>
        <w:tc>
          <w:tcPr>
            <w:tcW w:type="dxa" w:w="9994"/>
            <w:shd w:fill="EAF0F4"/>
            <w:tcMar>
              <w:top w:w="150" w:type="dxa"/>
              <w:start w:w="180" w:type="dxa"/>
              <w:bottom w:w="150" w:type="dxa"/>
              <w:end w:w="180" w:type="dxa"/>
            </w:tcMar>
          </w:tcPr>
          <w:p>
            <w:pPr>
              <w:spacing w:after="60"/>
            </w:pPr>
            <w:r/>
            <w:r>
              <w:rPr>
                <w:rFonts w:ascii="Aptos" w:hAnsi="Aptos"/>
                <w:b/>
                <w:color w:val="B28A3B"/>
                <w:sz w:val="18"/>
              </w:rPr>
              <w:t>PRUDENCE</w:t>
            </w:r>
          </w:p>
          <w:p>
            <w:pPr>
              <w:spacing w:after="0" w:line="269" w:lineRule="auto"/>
            </w:pPr>
            <w:r>
              <w:rPr>
                <w:rFonts w:ascii="Aptos" w:hAnsi="Aptos"/>
                <w:b/>
                <w:color w:val="10283F"/>
                <w:sz w:val="20"/>
              </w:rPr>
              <w:t>Ne pas présenter une estimation spéculative comme un prix. Pour une œuvre inaliénable de musée, expliquer l’absence de marché direct ; distinguer valeur culturelle, valeur assurantielle éventuelle, records comparables et date de l’information.</w:t>
            </w:r>
          </w:p>
        </w:tc>
      </w:tr>
    </w:tbl>
    <w:p>
      <w:pPr>
        <w:spacing w:after="20"/>
      </w:pPr>
    </w:p>
    <w:p>
      <w:pPr>
        <w:pStyle w:val="Heading2"/>
      </w:pPr>
      <w:r>
        <w:t>8.3 Sources prioritaires</w:t>
      </w:r>
    </w:p>
    <w:p>
      <w:r>
        <w:rPr>
          <w:rFonts w:ascii="Aptos" w:hAnsi="Aptos"/>
          <w:b w:val="0"/>
          <w:i w:val="0"/>
          <w:color w:val="202B33"/>
          <w:sz w:val="20"/>
        </w:rPr>
        <w:t>Privilégier les musées détenteurs, catalogues raisonnés, publications scientifiques, dossiers de conservation et bases institutionnelles. Les ressources généralistes servent à l’orientation, jamais seules à une affirmation sensible.</w:t>
      </w:r>
    </w:p>
    <w:p>
      <w:pPr>
        <w:pStyle w:val="Heading1"/>
      </w:pPr>
      <w:r>
        <w:t>9. Droits, crédits et gestion des actifs</w:t>
      </w:r>
    </w:p>
    <w:tbl>
      <w:tblPr>
        <w:tblStyle w:val="TableGrid"/>
        <w:tblW w:type="auto" w:w="0"/>
        <w:jc w:val="center"/>
        <w:tblLayout w:type="fixed"/>
        <w:tblLook w:firstColumn="1" w:firstRow="1" w:lastColumn="0" w:lastRow="0" w:noHBand="0" w:noVBand="1" w:val="04A0"/>
      </w:tblPr>
      <w:tblGrid>
        <w:gridCol w:w="936"/>
        <w:gridCol w:w="4320"/>
        <w:gridCol w:w="4464"/>
      </w:tblGrid>
      <w:tr>
        <w:trPr>
          <w:tblHeader w:val="true"/>
          <w:cantSplit/>
        </w:trPr>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Statut</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Définition</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Action</w:t>
            </w:r>
          </w:p>
        </w:tc>
      </w:tr>
      <w:tr>
        <w:trPr>
          <w:cantSplit/>
        </w:trPr>
        <w:tc>
          <w:tcPr>
            <w:tcW w:type="dxa" w:w="936"/>
            <w:vAlign w:val="center"/>
            <w:tcMar>
              <w:top w:w="90" w:type="dxa"/>
              <w:start w:w="120" w:type="dxa"/>
              <w:bottom w:w="90" w:type="dxa"/>
              <w:end w:w="120" w:type="dxa"/>
            </w:tcMar>
          </w:tcPr>
          <w:p>
            <w:pPr>
              <w:spacing w:after="0" w:line="247" w:lineRule="auto"/>
              <w:jc w:val="left"/>
            </w:pPr>
            <w:r/>
            <w:r>
              <w:rPr>
                <w:rFonts w:ascii="Aptos" w:hAnsi="Aptos"/>
                <w:b w:val="0"/>
                <w:color w:val="202B33"/>
                <w:sz w:val="17"/>
              </w:rPr>
              <w:t>R0</w:t>
            </w:r>
          </w:p>
        </w:tc>
        <w:tc>
          <w:tcPr>
            <w:tcW w:type="dxa" w:w="4320"/>
            <w:vAlign w:val="center"/>
            <w:tcMar>
              <w:top w:w="90" w:type="dxa"/>
              <w:start w:w="120" w:type="dxa"/>
              <w:bottom w:w="90" w:type="dxa"/>
              <w:end w:w="120" w:type="dxa"/>
            </w:tcMar>
          </w:tcPr>
          <w:p>
            <w:pPr>
              <w:spacing w:after="0" w:line="247" w:lineRule="auto"/>
              <w:jc w:val="left"/>
            </w:pPr>
            <w:r/>
            <w:r>
              <w:rPr>
                <w:rFonts w:ascii="Aptos" w:hAnsi="Aptos"/>
                <w:b w:val="0"/>
                <w:color w:val="202B33"/>
                <w:sz w:val="17"/>
              </w:rPr>
              <w:t>Non vérifié</w:t>
            </w:r>
          </w:p>
        </w:tc>
        <w:tc>
          <w:tcPr>
            <w:tcW w:type="dxa" w:w="4464"/>
            <w:vAlign w:val="center"/>
            <w:tcMar>
              <w:top w:w="90" w:type="dxa"/>
              <w:start w:w="120" w:type="dxa"/>
              <w:bottom w:w="90" w:type="dxa"/>
              <w:end w:w="120" w:type="dxa"/>
            </w:tcMar>
          </w:tcPr>
          <w:p>
            <w:pPr>
              <w:spacing w:after="0" w:line="247" w:lineRule="auto"/>
              <w:jc w:val="left"/>
            </w:pPr>
            <w:r/>
            <w:r>
              <w:rPr>
                <w:rFonts w:ascii="Aptos" w:hAnsi="Aptos"/>
                <w:b w:val="0"/>
                <w:color w:val="202B33"/>
                <w:sz w:val="17"/>
              </w:rPr>
              <w:t>Interdiction de publication</w:t>
            </w:r>
          </w:p>
        </w:tc>
      </w:tr>
      <w:tr>
        <w:trPr>
          <w:cantSplit/>
        </w:trPr>
        <w:tc>
          <w:tcPr>
            <w:tcW w:type="dxa" w:w="93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R1</w:t>
            </w:r>
          </w:p>
        </w:tc>
        <w:tc>
          <w:tcPr>
            <w:tcW w:type="dxa" w:w="43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Œuvre dans le domaine public</w:t>
            </w:r>
          </w:p>
        </w:tc>
        <w:tc>
          <w:tcPr>
            <w:tcW w:type="dxa" w:w="4464"/>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Vérifier séparément le fichier de reproduction</w:t>
            </w:r>
          </w:p>
        </w:tc>
      </w:tr>
      <w:tr>
        <w:trPr>
          <w:cantSplit/>
        </w:trPr>
        <w:tc>
          <w:tcPr>
            <w:tcW w:type="dxa" w:w="936"/>
            <w:vAlign w:val="center"/>
            <w:tcMar>
              <w:top w:w="90" w:type="dxa"/>
              <w:start w:w="120" w:type="dxa"/>
              <w:bottom w:w="90" w:type="dxa"/>
              <w:end w:w="120" w:type="dxa"/>
            </w:tcMar>
          </w:tcPr>
          <w:p>
            <w:pPr>
              <w:spacing w:after="0" w:line="247" w:lineRule="auto"/>
              <w:jc w:val="left"/>
            </w:pPr>
            <w:r/>
            <w:r>
              <w:rPr>
                <w:rFonts w:ascii="Aptos" w:hAnsi="Aptos"/>
                <w:b w:val="0"/>
                <w:color w:val="202B33"/>
                <w:sz w:val="17"/>
              </w:rPr>
              <w:t>R2</w:t>
            </w:r>
          </w:p>
        </w:tc>
        <w:tc>
          <w:tcPr>
            <w:tcW w:type="dxa" w:w="4320"/>
            <w:vAlign w:val="center"/>
            <w:tcMar>
              <w:top w:w="90" w:type="dxa"/>
              <w:start w:w="120" w:type="dxa"/>
              <w:bottom w:w="90" w:type="dxa"/>
              <w:end w:w="120" w:type="dxa"/>
            </w:tcMar>
          </w:tcPr>
          <w:p>
            <w:pPr>
              <w:spacing w:after="0" w:line="247" w:lineRule="auto"/>
              <w:jc w:val="left"/>
            </w:pPr>
            <w:r/>
            <w:r>
              <w:rPr>
                <w:rFonts w:ascii="Aptos" w:hAnsi="Aptos"/>
                <w:b w:val="0"/>
                <w:color w:val="202B33"/>
                <w:sz w:val="17"/>
              </w:rPr>
              <w:t>Reproduction Open Access</w:t>
            </w:r>
          </w:p>
        </w:tc>
        <w:tc>
          <w:tcPr>
            <w:tcW w:type="dxa" w:w="4464"/>
            <w:vAlign w:val="center"/>
            <w:tcMar>
              <w:top w:w="90" w:type="dxa"/>
              <w:start w:w="120" w:type="dxa"/>
              <w:bottom w:w="90" w:type="dxa"/>
              <w:end w:w="120" w:type="dxa"/>
            </w:tcMar>
          </w:tcPr>
          <w:p>
            <w:pPr>
              <w:spacing w:after="0" w:line="247" w:lineRule="auto"/>
              <w:jc w:val="left"/>
            </w:pPr>
            <w:r/>
            <w:r>
              <w:rPr>
                <w:rFonts w:ascii="Aptos" w:hAnsi="Aptos"/>
                <w:b w:val="0"/>
                <w:color w:val="202B33"/>
                <w:sz w:val="17"/>
              </w:rPr>
              <w:t>Conserver licence et crédit exact</w:t>
            </w:r>
          </w:p>
        </w:tc>
      </w:tr>
      <w:tr>
        <w:trPr>
          <w:cantSplit/>
        </w:trPr>
        <w:tc>
          <w:tcPr>
            <w:tcW w:type="dxa" w:w="93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R3</w:t>
            </w:r>
          </w:p>
        </w:tc>
        <w:tc>
          <w:tcPr>
            <w:tcW w:type="dxa" w:w="43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Crédit obligatoire</w:t>
            </w:r>
          </w:p>
        </w:tc>
        <w:tc>
          <w:tcPr>
            <w:tcW w:type="dxa" w:w="4464"/>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Insérer crédit dans livre et métadonnées</w:t>
            </w:r>
          </w:p>
        </w:tc>
      </w:tr>
      <w:tr>
        <w:trPr>
          <w:cantSplit/>
        </w:trPr>
        <w:tc>
          <w:tcPr>
            <w:tcW w:type="dxa" w:w="936"/>
            <w:vAlign w:val="center"/>
            <w:tcMar>
              <w:top w:w="90" w:type="dxa"/>
              <w:start w:w="120" w:type="dxa"/>
              <w:bottom w:w="90" w:type="dxa"/>
              <w:end w:w="120" w:type="dxa"/>
            </w:tcMar>
          </w:tcPr>
          <w:p>
            <w:pPr>
              <w:spacing w:after="0" w:line="247" w:lineRule="auto"/>
              <w:jc w:val="left"/>
            </w:pPr>
            <w:r/>
            <w:r>
              <w:rPr>
                <w:rFonts w:ascii="Aptos" w:hAnsi="Aptos"/>
                <w:b w:val="0"/>
                <w:color w:val="202B33"/>
                <w:sz w:val="17"/>
              </w:rPr>
              <w:t>R4</w:t>
            </w:r>
          </w:p>
        </w:tc>
        <w:tc>
          <w:tcPr>
            <w:tcW w:type="dxa" w:w="4320"/>
            <w:vAlign w:val="center"/>
            <w:tcMar>
              <w:top w:w="90" w:type="dxa"/>
              <w:start w:w="120" w:type="dxa"/>
              <w:bottom w:w="90" w:type="dxa"/>
              <w:end w:w="120" w:type="dxa"/>
            </w:tcMar>
          </w:tcPr>
          <w:p>
            <w:pPr>
              <w:spacing w:after="0" w:line="247" w:lineRule="auto"/>
              <w:jc w:val="left"/>
            </w:pPr>
            <w:r/>
            <w:r>
              <w:rPr>
                <w:rFonts w:ascii="Aptos" w:hAnsi="Aptos"/>
                <w:b w:val="0"/>
                <w:color w:val="202B33"/>
                <w:sz w:val="17"/>
              </w:rPr>
              <w:t>Autorisation requise</w:t>
            </w:r>
          </w:p>
        </w:tc>
        <w:tc>
          <w:tcPr>
            <w:tcW w:type="dxa" w:w="4464"/>
            <w:vAlign w:val="center"/>
            <w:tcMar>
              <w:top w:w="90" w:type="dxa"/>
              <w:start w:w="120" w:type="dxa"/>
              <w:bottom w:w="90" w:type="dxa"/>
              <w:end w:w="120" w:type="dxa"/>
            </w:tcMar>
          </w:tcPr>
          <w:p>
            <w:pPr>
              <w:spacing w:after="0" w:line="247" w:lineRule="auto"/>
              <w:jc w:val="left"/>
            </w:pPr>
            <w:r/>
            <w:r>
              <w:rPr>
                <w:rFonts w:ascii="Aptos" w:hAnsi="Aptos"/>
                <w:b w:val="0"/>
                <w:color w:val="202B33"/>
                <w:sz w:val="17"/>
              </w:rPr>
              <w:t>Obtenir accord écrit</w:t>
            </w:r>
          </w:p>
        </w:tc>
      </w:tr>
      <w:tr>
        <w:trPr>
          <w:cantSplit/>
        </w:trPr>
        <w:tc>
          <w:tcPr>
            <w:tcW w:type="dxa" w:w="93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R5</w:t>
            </w:r>
          </w:p>
        </w:tc>
        <w:tc>
          <w:tcPr>
            <w:tcW w:type="dxa" w:w="43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Usage commercial à négocier</w:t>
            </w:r>
          </w:p>
        </w:tc>
        <w:tc>
          <w:tcPr>
            <w:tcW w:type="dxa" w:w="4464"/>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Bloquer production finale jusqu’au contrat</w:t>
            </w:r>
          </w:p>
        </w:tc>
      </w:tr>
    </w:tbl>
    <w:p>
      <w:pPr>
        <w:spacing w:after="40"/>
      </w:pPr>
    </w:p>
    <w:p>
      <w:pPr>
        <w:pStyle w:val="ListBullet"/>
      </w:pPr>
      <w:r>
        <w:t>Séparer les droits de l’œuvre, de la reproduction photographique, du modèle 3D, de l’enregistrement sonore et de la vidéo.</w:t>
      </w:r>
    </w:p>
    <w:p>
      <w:pPr>
        <w:pStyle w:val="ListBullet"/>
      </w:pPr>
      <w:r>
        <w:t>Conserver source originale, fichier de travail, master print, version Web et preuve de licence.</w:t>
      </w:r>
    </w:p>
    <w:p>
      <w:pPr>
        <w:pStyle w:val="ListBullet"/>
      </w:pPr>
      <w:r>
        <w:t>Ne jamais écraser un original ; utiliser code œuvre, type d’actif, langue et version dans chaque nom de fichier.</w:t>
      </w:r>
    </w:p>
    <w:p>
      <w:pPr>
        <w:pStyle w:val="ListBullet"/>
      </w:pPr>
      <w:r>
        <w:t>Associer à chaque actif : créateur, licence, date, source, restrictions, crédit et date d’expiration éventuelle.</w:t>
      </w:r>
    </w:p>
    <w:p>
      <w:pPr>
        <w:pStyle w:val="Heading1"/>
      </w:pPr>
      <w:r>
        <w:t>10. Production iconographique et impression</w:t>
      </w:r>
    </w:p>
    <w:p>
      <w:pPr>
        <w:pStyle w:val="Heading2"/>
      </w:pPr>
      <w:r>
        <w:t>10.1 Image maître</w:t>
      </w:r>
    </w:p>
    <w:p>
      <w:pPr>
        <w:pStyle w:val="ListBullet"/>
      </w:pPr>
      <w:r>
        <w:t>Résolution effective de 300 dpi à la taille d’impression et profil colorimétrique défini avec l’imprimeur.</w:t>
      </w:r>
    </w:p>
    <w:p>
      <w:pPr>
        <w:pStyle w:val="ListBullet"/>
      </w:pPr>
      <w:r>
        <w:t>Contrôle du cadrage, des noirs, de la saturation, des dominantes, du piqué et des détails agrandis.</w:t>
      </w:r>
    </w:p>
    <w:p>
      <w:pPr>
        <w:pStyle w:val="ListBullet"/>
      </w:pPr>
      <w:r>
        <w:t>Épreuve contractuelle pour les quatre œuvres signatures et les images particulièrement sombres ou saturées.</w:t>
      </w:r>
    </w:p>
    <w:p>
      <w:pPr>
        <w:pStyle w:val="ListBullet"/>
      </w:pPr>
      <w:r>
        <w:t>Fichier AR_TARGET séparé, optimisé pour navigateur et évalué pour sa richesse en points caractéristiques.</w:t>
      </w:r>
    </w:p>
    <w:p>
      <w:pPr>
        <w:pStyle w:val="Heading2"/>
      </w:pPr>
      <w:r>
        <w:t>10.2 QR codes et signalétique</w:t>
      </w:r>
    </w:p>
    <w:p>
      <w:pPr>
        <w:pStyle w:val="ListBullet"/>
      </w:pPr>
      <w:r>
        <w:t>URL courte et durable sous chaque QR ; aucune dépendance à un chemin de fichier interne.</w:t>
      </w:r>
    </w:p>
    <w:p>
      <w:pPr>
        <w:pStyle w:val="ListBullet"/>
      </w:pPr>
      <w:r>
        <w:t>Zone calme suffisante, contraste élevé, taille testée sur épreuve réelle et correction d’erreur adaptée.</w:t>
      </w:r>
    </w:p>
    <w:p>
      <w:pPr>
        <w:pStyle w:val="ListBullet"/>
      </w:pPr>
      <w:r>
        <w:t>Libellé explicite : “Écouter”, “Voir l’animation”, “Explorer en 3D” ou “Entrer dans la galerie VR”.</w:t>
      </w:r>
    </w:p>
    <w:p>
      <w:pPr>
        <w:pStyle w:val="ListBullet"/>
      </w:pPr>
      <w:r>
        <w:t>Les icônes ne doivent ni masquer le texte ni concurrencer l’œuvre ; elles se regroupent dans une marge cohérente.</w:t>
      </w:r>
    </w:p>
    <w:p>
      <w:pPr>
        <w:pStyle w:val="Heading1"/>
      </w:pPr>
      <w:r>
        <w:t>11. Accessibilité, vie privée et éthique</w:t>
      </w:r>
    </w:p>
    <w:p>
      <w:pPr>
        <w:pStyle w:val="ListBullet"/>
      </w:pPr>
      <w:r>
        <w:t>Le livre imprimé emploie une typographie lisible, un contraste suffisant, une structure répétable et des légendes complètes.</w:t>
      </w:r>
    </w:p>
    <w:p>
      <w:pPr>
        <w:pStyle w:val="ListBullet"/>
      </w:pPr>
      <w:r>
        <w:t>Chaque audio dispose d’une transcription ; chaque vidéo, de sous-titres ; chaque image numérique, d’un texte alternatif pertinent.</w:t>
      </w:r>
    </w:p>
    <w:p>
      <w:pPr>
        <w:pStyle w:val="ListBullet"/>
      </w:pPr>
      <w:r>
        <w:t>Toutes les fonctions essentielles restent accessibles sans AR, sans VR, sans gestes et sans activation de la caméra.</w:t>
      </w:r>
    </w:p>
    <w:p>
      <w:pPr>
        <w:pStyle w:val="ListBullet"/>
      </w:pPr>
      <w:r>
        <w:t>Le flux caméra sert localement à la reconnaissance d’image lorsque MindAR fonctionne dans le navigateur ; cette finalité doit être expliquée.</w:t>
      </w:r>
    </w:p>
    <w:p>
      <w:pPr>
        <w:pStyle w:val="ListBullet"/>
      </w:pPr>
      <w:r>
        <w:t>Le guide IA doit signaler sa nature, éviter de présenter une interprétation comme un fait et renvoyer aux sources éditoriales.</w:t>
      </w:r>
    </w:p>
    <w:p>
      <w:pPr>
        <w:pStyle w:val="ListBullet"/>
      </w:pPr>
      <w:r>
        <w:t>Les statistiques doivent être minimales, anonymisées et proportionnées ; aucun suivi invasif n’est nécessaire au fonctionnement du livre.</w:t>
      </w:r>
    </w:p>
    <w:p>
      <w:pPr>
        <w:pStyle w:val="Heading1"/>
      </w:pPr>
      <w:r>
        <w:t>12. Plan de production</w:t>
      </w:r>
    </w:p>
    <w:p>
      <w:pPr>
        <w:pStyle w:val="Heading2"/>
      </w:pPr>
      <w:r>
        <w:t>12.1 Lots</w:t>
      </w:r>
    </w:p>
    <w:tbl>
      <w:tblPr>
        <w:tblStyle w:val="TableGrid"/>
        <w:tblW w:type="auto" w:w="0"/>
        <w:jc w:val="center"/>
        <w:tblLayout w:type="fixed"/>
        <w:tblLook w:firstColumn="1" w:firstRow="1" w:lastColumn="0" w:lastRow="0" w:noHBand="0" w:noVBand="1" w:val="04A0"/>
      </w:tblPr>
      <w:tblGrid>
        <w:gridCol w:w="1728"/>
        <w:gridCol w:w="4392"/>
        <w:gridCol w:w="3600"/>
      </w:tblGrid>
      <w:tr>
        <w:trPr>
          <w:tblHeader w:val="true"/>
          <w:cantSplit/>
        </w:trPr>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Lot</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Objectif</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Sortie validée</w:t>
            </w:r>
          </w:p>
        </w:tc>
      </w:tr>
      <w:tr>
        <w:trPr>
          <w:cantSplit/>
        </w:trPr>
        <w:tc>
          <w:tcPr>
            <w:tcW w:type="dxa" w:w="1728"/>
            <w:vAlign w:val="center"/>
            <w:tcMar>
              <w:top w:w="90" w:type="dxa"/>
              <w:start w:w="120" w:type="dxa"/>
              <w:bottom w:w="90" w:type="dxa"/>
              <w:end w:w="120" w:type="dxa"/>
            </w:tcMar>
          </w:tcPr>
          <w:p>
            <w:pPr>
              <w:spacing w:after="0" w:line="247" w:lineRule="auto"/>
              <w:jc w:val="left"/>
            </w:pPr>
            <w:r/>
            <w:r>
              <w:rPr>
                <w:rFonts w:ascii="Aptos" w:hAnsi="Aptos"/>
                <w:b w:val="0"/>
                <w:color w:val="202B33"/>
                <w:sz w:val="17"/>
              </w:rPr>
              <w:t>0 — Gouvernance</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7"/>
              </w:rPr>
              <w:t>Charte éditoriale, droits, nomenclature, modèles de notice</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7"/>
              </w:rPr>
              <w:t>Kit de production approuvé</w:t>
            </w:r>
          </w:p>
        </w:tc>
      </w:tr>
      <w:tr>
        <w:trPr>
          <w:cantSplit/>
        </w:trPr>
        <w:tc>
          <w:tcPr>
            <w:tcW w:type="dxa" w:w="172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1 — Quatre signatures</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Dossiers imprimés complets et extensions existantes</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Prototype représentatif</w:t>
            </w:r>
          </w:p>
        </w:tc>
      </w:tr>
      <w:tr>
        <w:trPr>
          <w:cantSplit/>
        </w:trPr>
        <w:tc>
          <w:tcPr>
            <w:tcW w:type="dxa" w:w="1728"/>
            <w:vAlign w:val="center"/>
            <w:tcMar>
              <w:top w:w="90" w:type="dxa"/>
              <w:start w:w="120" w:type="dxa"/>
              <w:bottom w:w="90" w:type="dxa"/>
              <w:end w:w="120" w:type="dxa"/>
            </w:tcMar>
          </w:tcPr>
          <w:p>
            <w:pPr>
              <w:spacing w:after="0" w:line="247" w:lineRule="auto"/>
              <w:jc w:val="left"/>
            </w:pPr>
            <w:r/>
            <w:r>
              <w:rPr>
                <w:rFonts w:ascii="Aptos" w:hAnsi="Aptos"/>
                <w:b w:val="0"/>
                <w:color w:val="202B33"/>
                <w:sz w:val="17"/>
              </w:rPr>
              <w:t>2 — Monographies</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7"/>
              </w:rPr>
              <w:t>Biographies, chronologies et 28 notices restantes</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7"/>
              </w:rPr>
              <w:t>Manuscrit complet</w:t>
            </w:r>
          </w:p>
        </w:tc>
      </w:tr>
      <w:tr>
        <w:trPr>
          <w:cantSplit/>
        </w:trPr>
        <w:tc>
          <w:tcPr>
            <w:tcW w:type="dxa" w:w="172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3 — Iconographie</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Masters, détails, cartes, schémas, crédits</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Dossier image verrouillé</w:t>
            </w:r>
          </w:p>
        </w:tc>
      </w:tr>
      <w:tr>
        <w:trPr>
          <w:cantSplit/>
        </w:trPr>
        <w:tc>
          <w:tcPr>
            <w:tcW w:type="dxa" w:w="1728"/>
            <w:vAlign w:val="center"/>
            <w:tcMar>
              <w:top w:w="90" w:type="dxa"/>
              <w:start w:w="120" w:type="dxa"/>
              <w:bottom w:w="90" w:type="dxa"/>
              <w:end w:w="120" w:type="dxa"/>
            </w:tcMar>
          </w:tcPr>
          <w:p>
            <w:pPr>
              <w:spacing w:after="0" w:line="247" w:lineRule="auto"/>
              <w:jc w:val="left"/>
            </w:pPr>
            <w:r/>
            <w:r>
              <w:rPr>
                <w:rFonts w:ascii="Aptos" w:hAnsi="Aptos"/>
                <w:b w:val="0"/>
                <w:color w:val="202B33"/>
                <w:sz w:val="17"/>
              </w:rPr>
              <w:t>4 — Design éditorial</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7"/>
              </w:rPr>
              <w:t>Chemin de fer, maquette, index, références</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7"/>
              </w:rPr>
              <w:t>Bon à tirer</w:t>
            </w:r>
          </w:p>
        </w:tc>
      </w:tr>
      <w:tr>
        <w:trPr>
          <w:cantSplit/>
        </w:trPr>
        <w:tc>
          <w:tcPr>
            <w:tcW w:type="dxa" w:w="172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5 — Numérique</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QR, Web, AR, audio, vidéo, 3D, VR</w:t>
            </w:r>
          </w:p>
        </w:tc>
        <w:tc>
          <w:tcPr>
            <w:tcW w:type="dxa" w:w="36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Extensions publiées et documentées</w:t>
            </w:r>
          </w:p>
        </w:tc>
      </w:tr>
      <w:tr>
        <w:trPr>
          <w:cantSplit/>
        </w:trPr>
        <w:tc>
          <w:tcPr>
            <w:tcW w:type="dxa" w:w="1728"/>
            <w:vAlign w:val="center"/>
            <w:tcMar>
              <w:top w:w="90" w:type="dxa"/>
              <w:start w:w="120" w:type="dxa"/>
              <w:bottom w:w="90" w:type="dxa"/>
              <w:end w:w="120" w:type="dxa"/>
            </w:tcMar>
          </w:tcPr>
          <w:p>
            <w:pPr>
              <w:spacing w:after="0" w:line="247" w:lineRule="auto"/>
              <w:jc w:val="left"/>
            </w:pPr>
            <w:r/>
            <w:r>
              <w:rPr>
                <w:rFonts w:ascii="Aptos" w:hAnsi="Aptos"/>
                <w:b w:val="0"/>
                <w:color w:val="202B33"/>
                <w:sz w:val="17"/>
              </w:rPr>
              <w:t>6 — QA / lancement</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7"/>
              </w:rPr>
              <w:t>Épreuves, appareils, performance, accessibilité</w:t>
            </w:r>
          </w:p>
        </w:tc>
        <w:tc>
          <w:tcPr>
            <w:tcW w:type="dxa" w:w="3600"/>
            <w:vAlign w:val="center"/>
            <w:tcMar>
              <w:top w:w="90" w:type="dxa"/>
              <w:start w:w="120" w:type="dxa"/>
              <w:bottom w:w="90" w:type="dxa"/>
              <w:end w:w="120" w:type="dxa"/>
            </w:tcMar>
          </w:tcPr>
          <w:p>
            <w:pPr>
              <w:spacing w:after="0" w:line="247" w:lineRule="auto"/>
              <w:jc w:val="left"/>
            </w:pPr>
            <w:r/>
            <w:r>
              <w:rPr>
                <w:rFonts w:ascii="Aptos" w:hAnsi="Aptos"/>
                <w:b w:val="0"/>
                <w:color w:val="202B33"/>
                <w:sz w:val="17"/>
              </w:rPr>
              <w:t>Publication print et Web</w:t>
            </w:r>
          </w:p>
        </w:tc>
      </w:tr>
    </w:tbl>
    <w:p>
      <w:pPr>
        <w:spacing w:after="40"/>
      </w:pPr>
    </w:p>
    <w:p>
      <w:pPr>
        <w:pStyle w:val="Heading2"/>
      </w:pPr>
      <w:r>
        <w:t>12.2 Ordre par œuvre</w:t>
      </w:r>
    </w:p>
    <w:p>
      <w:pPr>
        <w:spacing w:after="60" w:line="269" w:lineRule="auto"/>
        <w:numPr>
          <w:ilvl w:val="0"/>
          <w:numId w:val="12"/>
        </w:numPr>
      </w:pPr>
      <w:r>
        <w:t>Droits et sources.</w:t>
      </w:r>
    </w:p>
    <w:p>
      <w:pPr>
        <w:spacing w:after="60" w:line="269" w:lineRule="auto"/>
        <w:numPr>
          <w:ilvl w:val="0"/>
          <w:numId w:val="12"/>
        </w:numPr>
      </w:pPr>
      <w:r>
        <w:t>Texte long validé.</w:t>
      </w:r>
    </w:p>
    <w:p>
      <w:pPr>
        <w:spacing w:after="60" w:line="269" w:lineRule="auto"/>
        <w:numPr>
          <w:ilvl w:val="0"/>
          <w:numId w:val="12"/>
        </w:numPr>
      </w:pPr>
      <w:r>
        <w:t>Notice imprimée et iconographie.</w:t>
      </w:r>
    </w:p>
    <w:p>
      <w:pPr>
        <w:spacing w:after="60" w:line="269" w:lineRule="auto"/>
        <w:numPr>
          <w:ilvl w:val="0"/>
          <w:numId w:val="12"/>
        </w:numPr>
      </w:pPr>
      <w:r>
        <w:t>Maquette et épreuve.</w:t>
      </w:r>
    </w:p>
    <w:p>
      <w:pPr>
        <w:spacing w:after="60" w:line="269" w:lineRule="auto"/>
        <w:numPr>
          <w:ilvl w:val="0"/>
          <w:numId w:val="12"/>
        </w:numPr>
      </w:pPr>
      <w:r>
        <w:t>URL/QR stable.</w:t>
      </w:r>
    </w:p>
    <w:p>
      <w:pPr>
        <w:spacing w:after="60" w:line="269" w:lineRule="auto"/>
        <w:numPr>
          <w:ilvl w:val="0"/>
          <w:numId w:val="12"/>
        </w:numPr>
      </w:pPr>
      <w:r>
        <w:t>Audio et vidéo dérivés du texte validé.</w:t>
      </w:r>
    </w:p>
    <w:p>
      <w:pPr>
        <w:spacing w:after="60" w:line="269" w:lineRule="auto"/>
        <w:numPr>
          <w:ilvl w:val="0"/>
          <w:numId w:val="12"/>
        </w:numPr>
      </w:pPr>
      <w:r>
        <w:t>AR et 3D si valeur ajoutée démontrée.</w:t>
      </w:r>
    </w:p>
    <w:p>
      <w:pPr>
        <w:spacing w:after="60" w:line="269" w:lineRule="auto"/>
        <w:numPr>
          <w:ilvl w:val="0"/>
          <w:numId w:val="12"/>
        </w:numPr>
      </w:pPr>
      <w:r>
        <w:t>QA multi-appareil et archivage de version.</w:t>
      </w:r>
    </w:p>
    <w:p>
      <w:pPr>
        <w:pStyle w:val="Heading2"/>
      </w:pPr>
      <w:r>
        <w:t>12.3 Statuts recommandés</w:t>
      </w:r>
    </w:p>
    <w:tbl>
      <w:tblPr>
        <w:tblStyle w:val="TableGrid"/>
        <w:tblW w:type="auto" w:w="0"/>
        <w:jc w:val="center"/>
        <w:tblLayout w:type="fixed"/>
        <w:tblLook w:firstColumn="1" w:firstRow="1" w:lastColumn="0" w:lastRow="0" w:noHBand="0" w:noVBand="1" w:val="04A0"/>
      </w:tblPr>
      <w:tblGrid>
        <w:gridCol w:w="2232"/>
        <w:gridCol w:w="7488"/>
      </w:tblGrid>
      <w:tr>
        <w:trPr>
          <w:tblHeader w:val="true"/>
          <w:cantSplit/>
        </w:trPr>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Statut</w:t>
            </w:r>
          </w:p>
        </w:tc>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Sens</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7"/>
              </w:rPr>
              <w:t>BACKLOG</w:t>
            </w:r>
          </w:p>
        </w:tc>
        <w:tc>
          <w:tcPr>
            <w:tcW w:type="dxa" w:w="7488"/>
            <w:vAlign w:val="center"/>
            <w:tcMar>
              <w:top w:w="90" w:type="dxa"/>
              <w:start w:w="120" w:type="dxa"/>
              <w:bottom w:w="90" w:type="dxa"/>
              <w:end w:w="120" w:type="dxa"/>
            </w:tcMar>
          </w:tcPr>
          <w:p>
            <w:pPr>
              <w:spacing w:after="0" w:line="247" w:lineRule="auto"/>
              <w:jc w:val="left"/>
            </w:pPr>
            <w:r/>
            <w:r>
              <w:rPr>
                <w:rFonts w:ascii="Aptos" w:hAnsi="Aptos"/>
                <w:b w:val="0"/>
                <w:color w:val="202B33"/>
                <w:sz w:val="17"/>
              </w:rPr>
              <w:t>Prévu, non commencé</w:t>
            </w:r>
          </w:p>
        </w:tc>
      </w:tr>
      <w:tr>
        <w:trPr>
          <w:cantSplit/>
        </w:trPr>
        <w:tc>
          <w:tcPr>
            <w:tcW w:type="dxa" w:w="22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IN PROGRESS</w:t>
            </w:r>
          </w:p>
        </w:tc>
        <w:tc>
          <w:tcPr>
            <w:tcW w:type="dxa" w:w="74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Production active</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7"/>
              </w:rPr>
              <w:t>REVIEW</w:t>
            </w:r>
          </w:p>
        </w:tc>
        <w:tc>
          <w:tcPr>
            <w:tcW w:type="dxa" w:w="7488"/>
            <w:vAlign w:val="center"/>
            <w:tcMar>
              <w:top w:w="90" w:type="dxa"/>
              <w:start w:w="120" w:type="dxa"/>
              <w:bottom w:w="90" w:type="dxa"/>
              <w:end w:w="120" w:type="dxa"/>
            </w:tcMar>
          </w:tcPr>
          <w:p>
            <w:pPr>
              <w:spacing w:after="0" w:line="247" w:lineRule="auto"/>
              <w:jc w:val="left"/>
            </w:pPr>
            <w:r/>
            <w:r>
              <w:rPr>
                <w:rFonts w:ascii="Aptos" w:hAnsi="Aptos"/>
                <w:b w:val="0"/>
                <w:color w:val="202B33"/>
                <w:sz w:val="17"/>
              </w:rPr>
              <w:t>Relecture scientifique, juridique ou technique</w:t>
            </w:r>
          </w:p>
        </w:tc>
      </w:tr>
      <w:tr>
        <w:trPr>
          <w:cantSplit/>
        </w:trPr>
        <w:tc>
          <w:tcPr>
            <w:tcW w:type="dxa" w:w="22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BLOCKED</w:t>
            </w:r>
          </w:p>
        </w:tc>
        <w:tc>
          <w:tcPr>
            <w:tcW w:type="dxa" w:w="74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Dépendance explicite non résolue</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7"/>
              </w:rPr>
              <w:t>VALIDATED</w:t>
            </w:r>
          </w:p>
        </w:tc>
        <w:tc>
          <w:tcPr>
            <w:tcW w:type="dxa" w:w="7488"/>
            <w:vAlign w:val="center"/>
            <w:tcMar>
              <w:top w:w="90" w:type="dxa"/>
              <w:start w:w="120" w:type="dxa"/>
              <w:bottom w:w="90" w:type="dxa"/>
              <w:end w:w="120" w:type="dxa"/>
            </w:tcMar>
          </w:tcPr>
          <w:p>
            <w:pPr>
              <w:spacing w:after="0" w:line="247" w:lineRule="auto"/>
              <w:jc w:val="left"/>
            </w:pPr>
            <w:r/>
            <w:r>
              <w:rPr>
                <w:rFonts w:ascii="Aptos" w:hAnsi="Aptos"/>
                <w:b w:val="0"/>
                <w:color w:val="202B33"/>
                <w:sz w:val="17"/>
              </w:rPr>
              <w:t>Contenu ou actif approuvé</w:t>
            </w:r>
          </w:p>
        </w:tc>
      </w:tr>
      <w:tr>
        <w:trPr>
          <w:cantSplit/>
        </w:trPr>
        <w:tc>
          <w:tcPr>
            <w:tcW w:type="dxa" w:w="22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PUBLISHED</w:t>
            </w:r>
          </w:p>
        </w:tc>
        <w:tc>
          <w:tcPr>
            <w:tcW w:type="dxa" w:w="7488"/>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Version publique et archivée</w:t>
            </w:r>
          </w:p>
        </w:tc>
      </w:tr>
    </w:tbl>
    <w:p>
      <w:pPr>
        <w:spacing w:after="40"/>
      </w:pPr>
    </w:p>
    <w:p>
      <w:pPr>
        <w:pStyle w:val="Heading1"/>
      </w:pPr>
      <w:r>
        <w:t>13. Contrôle qualité</w:t>
      </w:r>
    </w:p>
    <w:p>
      <w:pPr>
        <w:pStyle w:val="Heading2"/>
      </w:pPr>
      <w:r>
        <w:t>13.1 Livre imprimé</w:t>
      </w:r>
    </w:p>
    <w:p>
      <w:pPr>
        <w:pStyle w:val="ListBullet"/>
      </w:pPr>
      <w:r>
        <w:t>Exactitude des textes, cohérence des dates, noms, titres, dimensions et collections.</w:t>
      </w:r>
    </w:p>
    <w:p>
      <w:pPr>
        <w:pStyle w:val="ListBullet"/>
      </w:pPr>
      <w:r>
        <w:t>Qualité des reproductions, détails non pixellisés, crédits présents, profils colorimétriques maîtrisés.</w:t>
      </w:r>
    </w:p>
    <w:p>
      <w:pPr>
        <w:pStyle w:val="ListBullet"/>
      </w:pPr>
      <w:r>
        <w:t>Absence de veuves/orphelines gênantes, légendes séparées, tableaux lisibles, index vérifié et renvois corrects.</w:t>
      </w:r>
    </w:p>
    <w:p>
      <w:pPr>
        <w:pStyle w:val="ListBullet"/>
      </w:pPr>
      <w:r>
        <w:t>Lecture complète sans QR : aucune phrase essentielle du type “scannez pour comprendre”.</w:t>
      </w:r>
    </w:p>
    <w:p>
      <w:pPr>
        <w:pStyle w:val="Heading2"/>
      </w:pPr>
      <w:r>
        <w:t>13.2 Numérique</w:t>
      </w:r>
    </w:p>
    <w:tbl>
      <w:tblPr>
        <w:tblStyle w:val="TableGrid"/>
        <w:tblW w:type="auto" w:w="0"/>
        <w:jc w:val="center"/>
        <w:tblLayout w:type="fixed"/>
        <w:tblLook w:firstColumn="1" w:firstRow="1" w:lastColumn="0" w:lastRow="0" w:noHBand="0" w:noVBand="1" w:val="04A0"/>
      </w:tblPr>
      <w:tblGrid>
        <w:gridCol w:w="2160"/>
        <w:gridCol w:w="7560"/>
      </w:tblGrid>
      <w:tr>
        <w:trPr>
          <w:tblHeader w:val="true"/>
          <w:cantSplit/>
        </w:trPr>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Plateforme</w:t>
            </w:r>
          </w:p>
        </w:tc>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Tests minimum</w:t>
            </w:r>
          </w:p>
        </w:tc>
      </w:tr>
      <w:tr>
        <w:trPr>
          <w:cantSplit/>
        </w:trPr>
        <w:tc>
          <w:tcPr>
            <w:tcW w:type="dxa" w:w="2160"/>
            <w:vAlign w:val="center"/>
            <w:tcMar>
              <w:top w:w="90" w:type="dxa"/>
              <w:start w:w="120" w:type="dxa"/>
              <w:bottom w:w="90" w:type="dxa"/>
              <w:end w:w="120" w:type="dxa"/>
            </w:tcMar>
          </w:tcPr>
          <w:p>
            <w:pPr>
              <w:spacing w:after="0" w:line="247" w:lineRule="auto"/>
              <w:jc w:val="left"/>
            </w:pPr>
            <w:r/>
            <w:r>
              <w:rPr>
                <w:rFonts w:ascii="Aptos" w:hAnsi="Aptos"/>
                <w:b w:val="0"/>
                <w:color w:val="202B33"/>
                <w:sz w:val="17"/>
              </w:rPr>
              <w:t>Android / Chrome</w:t>
            </w:r>
          </w:p>
        </w:tc>
        <w:tc>
          <w:tcPr>
            <w:tcW w:type="dxa" w:w="7560"/>
            <w:vAlign w:val="center"/>
            <w:tcMar>
              <w:top w:w="90" w:type="dxa"/>
              <w:start w:w="120" w:type="dxa"/>
              <w:bottom w:w="90" w:type="dxa"/>
              <w:end w:w="120" w:type="dxa"/>
            </w:tcMar>
          </w:tcPr>
          <w:p>
            <w:pPr>
              <w:spacing w:after="0" w:line="247" w:lineRule="auto"/>
              <w:jc w:val="left"/>
            </w:pPr>
            <w:r/>
            <w:r>
              <w:rPr>
                <w:rFonts w:ascii="Aptos" w:hAnsi="Aptos"/>
                <w:b w:val="0"/>
                <w:color w:val="202B33"/>
                <w:sz w:val="17"/>
              </w:rPr>
              <w:t>Caméra, QR, image tracking, audio/vidéo, mémoire, orientation</w:t>
            </w:r>
          </w:p>
        </w:tc>
      </w:tr>
      <w:tr>
        <w:trPr>
          <w:cantSplit/>
        </w:trPr>
        <w:tc>
          <w:tcPr>
            <w:tcW w:type="dxa" w:w="216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iPhone / Safari</w:t>
            </w:r>
          </w:p>
        </w:tc>
        <w:tc>
          <w:tcPr>
            <w:tcW w:type="dxa" w:w="756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Permission caméra, lecture inline, gestes, retour arrière, Quick Look si utilisé</w:t>
            </w:r>
          </w:p>
        </w:tc>
      </w:tr>
      <w:tr>
        <w:trPr>
          <w:cantSplit/>
        </w:trPr>
        <w:tc>
          <w:tcPr>
            <w:tcW w:type="dxa" w:w="2160"/>
            <w:vAlign w:val="center"/>
            <w:tcMar>
              <w:top w:w="90" w:type="dxa"/>
              <w:start w:w="120" w:type="dxa"/>
              <w:bottom w:w="90" w:type="dxa"/>
              <w:end w:w="120" w:type="dxa"/>
            </w:tcMar>
          </w:tcPr>
          <w:p>
            <w:pPr>
              <w:spacing w:after="0" w:line="247" w:lineRule="auto"/>
              <w:jc w:val="left"/>
            </w:pPr>
            <w:r/>
            <w:r>
              <w:rPr>
                <w:rFonts w:ascii="Aptos" w:hAnsi="Aptos"/>
                <w:b w:val="0"/>
                <w:color w:val="202B33"/>
                <w:sz w:val="17"/>
              </w:rPr>
              <w:t>Meta Quest Browser</w:t>
            </w:r>
          </w:p>
        </w:tc>
        <w:tc>
          <w:tcPr>
            <w:tcW w:type="dxa" w:w="7560"/>
            <w:vAlign w:val="center"/>
            <w:tcMar>
              <w:top w:w="90" w:type="dxa"/>
              <w:start w:w="120" w:type="dxa"/>
              <w:bottom w:w="90" w:type="dxa"/>
              <w:end w:w="120" w:type="dxa"/>
            </w:tcMar>
          </w:tcPr>
          <w:p>
            <w:pPr>
              <w:spacing w:after="0" w:line="247" w:lineRule="auto"/>
              <w:jc w:val="left"/>
            </w:pPr>
            <w:r/>
            <w:r>
              <w:rPr>
                <w:rFonts w:ascii="Aptos" w:hAnsi="Aptos"/>
                <w:b w:val="0"/>
                <w:color w:val="202B33"/>
                <w:sz w:val="17"/>
              </w:rPr>
              <w:t>WebXR, téléportation, contrôleurs, mains, FPS, chargement progressif</w:t>
            </w:r>
          </w:p>
        </w:tc>
      </w:tr>
      <w:tr>
        <w:trPr>
          <w:cantSplit/>
        </w:trPr>
        <w:tc>
          <w:tcPr>
            <w:tcW w:type="dxa" w:w="216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Ordinateur</w:t>
            </w:r>
          </w:p>
        </w:tc>
        <w:tc>
          <w:tcPr>
            <w:tcW w:type="dxa" w:w="756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Navigation clavier/souris, contenu de secours, redimensionnement</w:t>
            </w:r>
          </w:p>
        </w:tc>
      </w:tr>
      <w:tr>
        <w:trPr>
          <w:cantSplit/>
        </w:trPr>
        <w:tc>
          <w:tcPr>
            <w:tcW w:type="dxa" w:w="2160"/>
            <w:vAlign w:val="center"/>
            <w:tcMar>
              <w:top w:w="90" w:type="dxa"/>
              <w:start w:w="120" w:type="dxa"/>
              <w:bottom w:w="90" w:type="dxa"/>
              <w:end w:w="120" w:type="dxa"/>
            </w:tcMar>
          </w:tcPr>
          <w:p>
            <w:pPr>
              <w:spacing w:after="0" w:line="247" w:lineRule="auto"/>
              <w:jc w:val="left"/>
            </w:pPr>
            <w:r/>
            <w:r>
              <w:rPr>
                <w:rFonts w:ascii="Aptos" w:hAnsi="Aptos"/>
                <w:b w:val="0"/>
                <w:color w:val="202B33"/>
                <w:sz w:val="17"/>
              </w:rPr>
              <w:t>Réseau lent</w:t>
            </w:r>
          </w:p>
        </w:tc>
        <w:tc>
          <w:tcPr>
            <w:tcW w:type="dxa" w:w="7560"/>
            <w:vAlign w:val="center"/>
            <w:tcMar>
              <w:top w:w="90" w:type="dxa"/>
              <w:start w:w="120" w:type="dxa"/>
              <w:bottom w:w="90" w:type="dxa"/>
              <w:end w:w="120" w:type="dxa"/>
            </w:tcMar>
          </w:tcPr>
          <w:p>
            <w:pPr>
              <w:spacing w:after="0" w:line="247" w:lineRule="auto"/>
              <w:jc w:val="left"/>
            </w:pPr>
            <w:r/>
            <w:r>
              <w:rPr>
                <w:rFonts w:ascii="Aptos" w:hAnsi="Aptos"/>
                <w:b w:val="0"/>
                <w:color w:val="202B33"/>
                <w:sz w:val="17"/>
              </w:rPr>
              <w:t>Affichage initial, chargement différé, erreurs compréhensibles, reprise</w:t>
            </w:r>
          </w:p>
        </w:tc>
      </w:tr>
    </w:tbl>
    <w:p>
      <w:pPr>
        <w:spacing w:after="40"/>
      </w:pPr>
    </w:p>
    <w:p>
      <w:pPr>
        <w:pStyle w:val="Heading2"/>
      </w:pPr>
      <w:r>
        <w:t>13.3 Seuils pilotes</w:t>
      </w:r>
    </w:p>
    <w:p>
      <w:pPr>
        <w:pStyle w:val="ListBullet"/>
      </w:pPr>
      <w:r>
        <w:t>QR : 100 % des liens valides sur l’épreuve finale.</w:t>
      </w:r>
    </w:p>
    <w:p>
      <w:pPr>
        <w:pStyle w:val="ListBullet"/>
      </w:pPr>
      <w:r>
        <w:t>Tracking : reconnaissance répétable sous plusieurs lumières et distances, avec solution manuelle de secours.</w:t>
      </w:r>
    </w:p>
    <w:p>
      <w:pPr>
        <w:pStyle w:val="ListBullet"/>
      </w:pPr>
      <w:r>
        <w:t>Stabilité : aucun redémarrage de page durant un parcours standard sur téléphones de référence et Quest.</w:t>
      </w:r>
    </w:p>
    <w:p>
      <w:pPr>
        <w:pStyle w:val="ListBullet"/>
      </w:pPr>
      <w:r>
        <w:t>Temps vers premier contenu utile : cible inférieure à 5 secondes sur connexion moyenne, hors média lourd explicite.</w:t>
      </w:r>
    </w:p>
    <w:p>
      <w:pPr>
        <w:pStyle w:val="ListBullet"/>
      </w:pPr>
      <w:r>
        <w:t>Accessibilité : transcriptions, sous-titres, textes alternatifs, contraste et navigation de secours validés.</w:t>
      </w:r>
    </w:p>
    <w:p>
      <w:pPr>
        <w:pStyle w:val="Heading1"/>
      </w:pPr>
      <w:r>
        <w:t>14. Risques et réponses</w:t>
      </w:r>
    </w:p>
    <w:tbl>
      <w:tblPr>
        <w:tblStyle w:val="TableGrid"/>
        <w:tblW w:type="auto" w:w="0"/>
        <w:jc w:val="center"/>
        <w:tblLayout w:type="fixed"/>
        <w:tblLook w:firstColumn="1" w:firstRow="1" w:lastColumn="0" w:lastRow="0" w:noHBand="0" w:noVBand="1" w:val="04A0"/>
      </w:tblPr>
      <w:tblGrid>
        <w:gridCol w:w="2232"/>
        <w:gridCol w:w="3096"/>
        <w:gridCol w:w="4392"/>
      </w:tblGrid>
      <w:tr>
        <w:trPr>
          <w:tblHeader w:val="true"/>
          <w:cantSplit/>
        </w:trPr>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Risque</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Impact</w:t>
            </w:r>
          </w:p>
        </w:tc>
        <w:tc>
          <w:tcPr>
            <w:tcW w:type="dxa" w:w="3331"/>
            <w:vAlign w:val="center"/>
            <w:tcMar>
              <w:top w:w="90" w:type="dxa"/>
              <w:start w:w="120" w:type="dxa"/>
              <w:bottom w:w="90" w:type="dxa"/>
              <w:end w:w="120" w:type="dxa"/>
            </w:tcMar>
            <w:shd w:fill="10283F"/>
          </w:tcPr>
          <w:p>
            <w:pPr>
              <w:spacing w:after="0" w:line="247" w:lineRule="auto"/>
              <w:jc w:val="left"/>
            </w:pPr>
            <w:r/>
            <w:r>
              <w:rPr>
                <w:rFonts w:ascii="Aptos" w:hAnsi="Aptos"/>
                <w:b/>
                <w:color w:val="FFFFFF"/>
                <w:sz w:val="16"/>
              </w:rPr>
              <w:t>Réponse</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6"/>
              </w:rPr>
              <w:t>Le numérique domine le livre</w:t>
            </w:r>
          </w:p>
        </w:tc>
        <w:tc>
          <w:tcPr>
            <w:tcW w:type="dxa" w:w="3096"/>
            <w:vAlign w:val="center"/>
            <w:tcMar>
              <w:top w:w="90" w:type="dxa"/>
              <w:start w:w="120" w:type="dxa"/>
              <w:bottom w:w="90" w:type="dxa"/>
              <w:end w:w="120" w:type="dxa"/>
            </w:tcMar>
          </w:tcPr>
          <w:p>
            <w:pPr>
              <w:spacing w:after="0" w:line="247" w:lineRule="auto"/>
              <w:jc w:val="left"/>
            </w:pPr>
            <w:r/>
            <w:r>
              <w:rPr>
                <w:rFonts w:ascii="Aptos" w:hAnsi="Aptos"/>
                <w:b w:val="0"/>
                <w:color w:val="202B33"/>
                <w:sz w:val="16"/>
              </w:rPr>
              <w:t>Obsolescence et lecture fragmentée</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6"/>
              </w:rPr>
              <w:t>Geler d’abord le manuscrit autonome et limiter les appels numériques</w:t>
            </w:r>
          </w:p>
        </w:tc>
      </w:tr>
      <w:tr>
        <w:trPr>
          <w:cantSplit/>
        </w:trPr>
        <w:tc>
          <w:tcPr>
            <w:tcW w:type="dxa" w:w="22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Droits incomplets</w:t>
            </w:r>
          </w:p>
        </w:tc>
        <w:tc>
          <w:tcPr>
            <w:tcW w:type="dxa" w:w="309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Retard ou retrait d’images</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Registre des droits, alternatives Open Access et gate juridique</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6"/>
              </w:rPr>
              <w:t>Modèles trop lourds</w:t>
            </w:r>
          </w:p>
        </w:tc>
        <w:tc>
          <w:tcPr>
            <w:tcW w:type="dxa" w:w="3096"/>
            <w:vAlign w:val="center"/>
            <w:tcMar>
              <w:top w:w="90" w:type="dxa"/>
              <w:start w:w="120" w:type="dxa"/>
              <w:bottom w:w="90" w:type="dxa"/>
              <w:end w:w="120" w:type="dxa"/>
            </w:tcMar>
          </w:tcPr>
          <w:p>
            <w:pPr>
              <w:spacing w:after="0" w:line="247" w:lineRule="auto"/>
              <w:jc w:val="left"/>
            </w:pPr>
            <w:r/>
            <w:r>
              <w:rPr>
                <w:rFonts w:ascii="Aptos" w:hAnsi="Aptos"/>
                <w:b w:val="0"/>
                <w:color w:val="202B33"/>
                <w:sz w:val="16"/>
              </w:rPr>
              <w:t>Lag, crash, redémarrage mobile</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6"/>
              </w:rPr>
              <w:t>Draco, LOD, textures réduites, lazy loading, budget par salle</w:t>
            </w:r>
          </w:p>
        </w:tc>
      </w:tr>
      <w:tr>
        <w:trPr>
          <w:cantSplit/>
        </w:trPr>
        <w:tc>
          <w:tcPr>
            <w:tcW w:type="dxa" w:w="22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Tracking instable</w:t>
            </w:r>
          </w:p>
        </w:tc>
        <w:tc>
          <w:tcPr>
            <w:tcW w:type="dxa" w:w="309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Échec utilisateur</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Cible testée sur papier, éclairage varié, QR et lancement manuel</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6"/>
              </w:rPr>
              <w:t>Lien imprimé obsolète</w:t>
            </w:r>
          </w:p>
        </w:tc>
        <w:tc>
          <w:tcPr>
            <w:tcW w:type="dxa" w:w="3096"/>
            <w:vAlign w:val="center"/>
            <w:tcMar>
              <w:top w:w="90" w:type="dxa"/>
              <w:start w:w="120" w:type="dxa"/>
              <w:bottom w:w="90" w:type="dxa"/>
              <w:end w:w="120" w:type="dxa"/>
            </w:tcMar>
          </w:tcPr>
          <w:p>
            <w:pPr>
              <w:spacing w:after="0" w:line="247" w:lineRule="auto"/>
              <w:jc w:val="left"/>
            </w:pPr>
            <w:r/>
            <w:r>
              <w:rPr>
                <w:rFonts w:ascii="Aptos" w:hAnsi="Aptos"/>
                <w:b w:val="0"/>
                <w:color w:val="202B33"/>
                <w:sz w:val="16"/>
              </w:rPr>
              <w:t>Livre amputé de ses bonus</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6"/>
              </w:rPr>
              <w:t>URL courte contrôlée, redirection et page de secours</w:t>
            </w:r>
          </w:p>
        </w:tc>
      </w:tr>
      <w:tr>
        <w:trPr>
          <w:cantSplit/>
        </w:trPr>
        <w:tc>
          <w:tcPr>
            <w:tcW w:type="dxa" w:w="223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Contenu IA inexact</w:t>
            </w:r>
          </w:p>
        </w:tc>
        <w:tc>
          <w:tcPr>
            <w:tcW w:type="dxa" w:w="3096"/>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Perte de confiance</w:t>
            </w:r>
          </w:p>
        </w:tc>
        <w:tc>
          <w:tcPr>
            <w:tcW w:type="dxa" w:w="4392"/>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6"/>
              </w:rPr>
              <w:t>Prompt cadré, sources, avertissement et validation éditoriale</w:t>
            </w:r>
          </w:p>
        </w:tc>
      </w:tr>
      <w:tr>
        <w:trPr>
          <w:cantSplit/>
        </w:trPr>
        <w:tc>
          <w:tcPr>
            <w:tcW w:type="dxa" w:w="2232"/>
            <w:vAlign w:val="center"/>
            <w:tcMar>
              <w:top w:w="90" w:type="dxa"/>
              <w:start w:w="120" w:type="dxa"/>
              <w:bottom w:w="90" w:type="dxa"/>
              <w:end w:w="120" w:type="dxa"/>
            </w:tcMar>
          </w:tcPr>
          <w:p>
            <w:pPr>
              <w:spacing w:after="0" w:line="247" w:lineRule="auto"/>
              <w:jc w:val="left"/>
            </w:pPr>
            <w:r/>
            <w:r>
              <w:rPr>
                <w:rFonts w:ascii="Aptos" w:hAnsi="Aptos"/>
                <w:b w:val="0"/>
                <w:color w:val="202B33"/>
                <w:sz w:val="16"/>
              </w:rPr>
              <w:t>Incohérences multilingues</w:t>
            </w:r>
          </w:p>
        </w:tc>
        <w:tc>
          <w:tcPr>
            <w:tcW w:type="dxa" w:w="3096"/>
            <w:vAlign w:val="center"/>
            <w:tcMar>
              <w:top w:w="90" w:type="dxa"/>
              <w:start w:w="120" w:type="dxa"/>
              <w:bottom w:w="90" w:type="dxa"/>
              <w:end w:w="120" w:type="dxa"/>
            </w:tcMar>
          </w:tcPr>
          <w:p>
            <w:pPr>
              <w:spacing w:after="0" w:line="247" w:lineRule="auto"/>
              <w:jc w:val="left"/>
            </w:pPr>
            <w:r/>
            <w:r>
              <w:rPr>
                <w:rFonts w:ascii="Aptos" w:hAnsi="Aptos"/>
                <w:b w:val="0"/>
                <w:color w:val="202B33"/>
                <w:sz w:val="16"/>
              </w:rPr>
              <w:t>Expérience inégale</w:t>
            </w:r>
          </w:p>
        </w:tc>
        <w:tc>
          <w:tcPr>
            <w:tcW w:type="dxa" w:w="4392"/>
            <w:vAlign w:val="center"/>
            <w:tcMar>
              <w:top w:w="90" w:type="dxa"/>
              <w:start w:w="120" w:type="dxa"/>
              <w:bottom w:w="90" w:type="dxa"/>
              <w:end w:w="120" w:type="dxa"/>
            </w:tcMar>
          </w:tcPr>
          <w:p>
            <w:pPr>
              <w:spacing w:after="0" w:line="247" w:lineRule="auto"/>
              <w:jc w:val="left"/>
            </w:pPr>
            <w:r/>
            <w:r>
              <w:rPr>
                <w:rFonts w:ascii="Aptos" w:hAnsi="Aptos"/>
                <w:b w:val="0"/>
                <w:color w:val="202B33"/>
                <w:sz w:val="16"/>
              </w:rPr>
              <w:t>Glossaire, mémoire de traduction et QA par langue</w:t>
            </w:r>
          </w:p>
        </w:tc>
      </w:tr>
    </w:tbl>
    <w:p>
      <w:pPr>
        <w:spacing w:after="40"/>
      </w:pPr>
    </w:p>
    <w:p>
      <w:pPr>
        <w:pStyle w:val="Heading1"/>
      </w:pPr>
      <w:r>
        <w:t>15. Matrice de validation finale</w:t>
      </w:r>
    </w:p>
    <w:tbl>
      <w:tblPr>
        <w:tblStyle w:val="TableGrid"/>
        <w:tblW w:type="auto" w:w="0"/>
        <w:jc w:val="center"/>
        <w:tblLayout w:type="fixed"/>
        <w:tblLook w:firstColumn="1" w:firstRow="1" w:lastColumn="0" w:lastRow="0" w:noHBand="0" w:noVBand="1" w:val="04A0"/>
      </w:tblPr>
      <w:tblGrid>
        <w:gridCol w:w="1800"/>
        <w:gridCol w:w="7920"/>
      </w:tblGrid>
      <w:tr>
        <w:trPr>
          <w:tblHeader w:val="true"/>
          <w:cantSplit/>
        </w:trPr>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Domaine</w:t>
            </w:r>
          </w:p>
        </w:tc>
        <w:tc>
          <w:tcPr>
            <w:tcW w:type="dxa" w:w="4997"/>
            <w:vAlign w:val="center"/>
            <w:tcMar>
              <w:top w:w="90" w:type="dxa"/>
              <w:start w:w="120" w:type="dxa"/>
              <w:bottom w:w="90" w:type="dxa"/>
              <w:end w:w="120" w:type="dxa"/>
            </w:tcMar>
            <w:shd w:fill="10283F"/>
          </w:tcPr>
          <w:p>
            <w:pPr>
              <w:spacing w:after="0" w:line="247" w:lineRule="auto"/>
              <w:jc w:val="left"/>
            </w:pPr>
            <w:r/>
            <w:r>
              <w:rPr>
                <w:rFonts w:ascii="Aptos" w:hAnsi="Aptos"/>
                <w:b/>
                <w:color w:val="FFFFFF"/>
                <w:sz w:val="17"/>
              </w:rPr>
              <w:t>Critère de sortie</w:t>
            </w:r>
          </w:p>
        </w:tc>
      </w:tr>
      <w:tr>
        <w:trPr>
          <w:cantSplit/>
        </w:trPr>
        <w:tc>
          <w:tcPr>
            <w:tcW w:type="dxa" w:w="1800"/>
            <w:vAlign w:val="center"/>
            <w:tcMar>
              <w:top w:w="90" w:type="dxa"/>
              <w:start w:w="120" w:type="dxa"/>
              <w:bottom w:w="90" w:type="dxa"/>
              <w:end w:w="120" w:type="dxa"/>
            </w:tcMar>
          </w:tcPr>
          <w:p>
            <w:pPr>
              <w:spacing w:after="0" w:line="247" w:lineRule="auto"/>
              <w:jc w:val="left"/>
            </w:pPr>
            <w:r/>
            <w:r>
              <w:rPr>
                <w:rFonts w:ascii="Aptos" w:hAnsi="Aptos"/>
                <w:b w:val="0"/>
                <w:color w:val="202B33"/>
                <w:sz w:val="17"/>
              </w:rPr>
              <w:t>Éditorial</w:t>
            </w:r>
          </w:p>
        </w:tc>
        <w:tc>
          <w:tcPr>
            <w:tcW w:type="dxa" w:w="7920"/>
            <w:vAlign w:val="center"/>
            <w:tcMar>
              <w:top w:w="90" w:type="dxa"/>
              <w:start w:w="120" w:type="dxa"/>
              <w:bottom w:w="90" w:type="dxa"/>
              <w:end w:w="120" w:type="dxa"/>
            </w:tcMar>
          </w:tcPr>
          <w:p>
            <w:pPr>
              <w:spacing w:after="0" w:line="247" w:lineRule="auto"/>
              <w:jc w:val="left"/>
            </w:pPr>
            <w:r/>
            <w:r>
              <w:rPr>
                <w:rFonts w:ascii="Aptos" w:hAnsi="Aptos"/>
                <w:b w:val="0"/>
                <w:color w:val="202B33"/>
                <w:sz w:val="17"/>
              </w:rPr>
              <w:t>Les quatre monographies et 32 notices sont complètes, sourcées et relues.</w:t>
            </w:r>
          </w:p>
        </w:tc>
      </w:tr>
      <w:tr>
        <w:trPr>
          <w:cantSplit/>
        </w:trPr>
        <w:tc>
          <w:tcPr>
            <w:tcW w:type="dxa" w:w="18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Autonomie</w:t>
            </w:r>
          </w:p>
        </w:tc>
        <w:tc>
          <w:tcPr>
            <w:tcW w:type="dxa" w:w="79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Le livre reste pleinement utile sans accès numérique.</w:t>
            </w:r>
          </w:p>
        </w:tc>
      </w:tr>
      <w:tr>
        <w:trPr>
          <w:cantSplit/>
        </w:trPr>
        <w:tc>
          <w:tcPr>
            <w:tcW w:type="dxa" w:w="1800"/>
            <w:vAlign w:val="center"/>
            <w:tcMar>
              <w:top w:w="90" w:type="dxa"/>
              <w:start w:w="120" w:type="dxa"/>
              <w:bottom w:w="90" w:type="dxa"/>
              <w:end w:w="120" w:type="dxa"/>
            </w:tcMar>
          </w:tcPr>
          <w:p>
            <w:pPr>
              <w:spacing w:after="0" w:line="247" w:lineRule="auto"/>
              <w:jc w:val="left"/>
            </w:pPr>
            <w:r/>
            <w:r>
              <w:rPr>
                <w:rFonts w:ascii="Aptos" w:hAnsi="Aptos"/>
                <w:b w:val="0"/>
                <w:color w:val="202B33"/>
                <w:sz w:val="17"/>
              </w:rPr>
              <w:t>Iconographie</w:t>
            </w:r>
          </w:p>
        </w:tc>
        <w:tc>
          <w:tcPr>
            <w:tcW w:type="dxa" w:w="7920"/>
            <w:vAlign w:val="center"/>
            <w:tcMar>
              <w:top w:w="90" w:type="dxa"/>
              <w:start w:w="120" w:type="dxa"/>
              <w:bottom w:w="90" w:type="dxa"/>
              <w:end w:w="120" w:type="dxa"/>
            </w:tcMar>
          </w:tcPr>
          <w:p>
            <w:pPr>
              <w:spacing w:after="0" w:line="247" w:lineRule="auto"/>
              <w:jc w:val="left"/>
            </w:pPr>
            <w:r/>
            <w:r>
              <w:rPr>
                <w:rFonts w:ascii="Aptos" w:hAnsi="Aptos"/>
                <w:b w:val="0"/>
                <w:color w:val="202B33"/>
                <w:sz w:val="17"/>
              </w:rPr>
              <w:t>Masters, colorimétrie, détails, légendes et crédits sont validés.</w:t>
            </w:r>
          </w:p>
        </w:tc>
      </w:tr>
      <w:tr>
        <w:trPr>
          <w:cantSplit/>
        </w:trPr>
        <w:tc>
          <w:tcPr>
            <w:tcW w:type="dxa" w:w="18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Droits</w:t>
            </w:r>
          </w:p>
        </w:tc>
        <w:tc>
          <w:tcPr>
            <w:tcW w:type="dxa" w:w="79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Chaque actif possède un statut et une preuve exploitable.</w:t>
            </w:r>
          </w:p>
        </w:tc>
      </w:tr>
      <w:tr>
        <w:trPr>
          <w:cantSplit/>
        </w:trPr>
        <w:tc>
          <w:tcPr>
            <w:tcW w:type="dxa" w:w="1800"/>
            <w:vAlign w:val="center"/>
            <w:tcMar>
              <w:top w:w="90" w:type="dxa"/>
              <w:start w:w="120" w:type="dxa"/>
              <w:bottom w:w="90" w:type="dxa"/>
              <w:end w:w="120" w:type="dxa"/>
            </w:tcMar>
          </w:tcPr>
          <w:p>
            <w:pPr>
              <w:spacing w:after="0" w:line="247" w:lineRule="auto"/>
              <w:jc w:val="left"/>
            </w:pPr>
            <w:r/>
            <w:r>
              <w:rPr>
                <w:rFonts w:ascii="Aptos" w:hAnsi="Aptos"/>
                <w:b w:val="0"/>
                <w:color w:val="202B33"/>
                <w:sz w:val="17"/>
              </w:rPr>
              <w:t>Print</w:t>
            </w:r>
          </w:p>
        </w:tc>
        <w:tc>
          <w:tcPr>
            <w:tcW w:type="dxa" w:w="7920"/>
            <w:vAlign w:val="center"/>
            <w:tcMar>
              <w:top w:w="90" w:type="dxa"/>
              <w:start w:w="120" w:type="dxa"/>
              <w:bottom w:w="90" w:type="dxa"/>
              <w:end w:w="120" w:type="dxa"/>
            </w:tcMar>
          </w:tcPr>
          <w:p>
            <w:pPr>
              <w:spacing w:after="0" w:line="247" w:lineRule="auto"/>
              <w:jc w:val="left"/>
            </w:pPr>
            <w:r/>
            <w:r>
              <w:rPr>
                <w:rFonts w:ascii="Aptos" w:hAnsi="Aptos"/>
                <w:b w:val="0"/>
                <w:color w:val="202B33"/>
                <w:sz w:val="17"/>
              </w:rPr>
              <w:t>BAT, papier, reliure, contraste, QR et index sont approuvés.</w:t>
            </w:r>
          </w:p>
        </w:tc>
      </w:tr>
      <w:tr>
        <w:trPr>
          <w:cantSplit/>
        </w:trPr>
        <w:tc>
          <w:tcPr>
            <w:tcW w:type="dxa" w:w="18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AR</w:t>
            </w:r>
          </w:p>
        </w:tc>
        <w:tc>
          <w:tcPr>
            <w:tcW w:type="dxa" w:w="79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Cibles présentes, testées sur papier, avec fallback manuel.</w:t>
            </w:r>
          </w:p>
        </w:tc>
      </w:tr>
      <w:tr>
        <w:trPr>
          <w:cantSplit/>
        </w:trPr>
        <w:tc>
          <w:tcPr>
            <w:tcW w:type="dxa" w:w="1800"/>
            <w:vAlign w:val="center"/>
            <w:tcMar>
              <w:top w:w="90" w:type="dxa"/>
              <w:start w:w="120" w:type="dxa"/>
              <w:bottom w:w="90" w:type="dxa"/>
              <w:end w:w="120" w:type="dxa"/>
            </w:tcMar>
          </w:tcPr>
          <w:p>
            <w:pPr>
              <w:spacing w:after="0" w:line="247" w:lineRule="auto"/>
              <w:jc w:val="left"/>
            </w:pPr>
            <w:r/>
            <w:r>
              <w:rPr>
                <w:rFonts w:ascii="Aptos" w:hAnsi="Aptos"/>
                <w:b w:val="0"/>
                <w:color w:val="202B33"/>
                <w:sz w:val="17"/>
              </w:rPr>
              <w:t>3D / VR</w:t>
            </w:r>
          </w:p>
        </w:tc>
        <w:tc>
          <w:tcPr>
            <w:tcW w:type="dxa" w:w="7920"/>
            <w:vAlign w:val="center"/>
            <w:tcMar>
              <w:top w:w="90" w:type="dxa"/>
              <w:start w:w="120" w:type="dxa"/>
              <w:bottom w:w="90" w:type="dxa"/>
              <w:end w:w="120" w:type="dxa"/>
            </w:tcMar>
          </w:tcPr>
          <w:p>
            <w:pPr>
              <w:spacing w:after="0" w:line="247" w:lineRule="auto"/>
              <w:jc w:val="left"/>
            </w:pPr>
            <w:r/>
            <w:r>
              <w:rPr>
                <w:rFonts w:ascii="Aptos" w:hAnsi="Aptos"/>
                <w:b w:val="0"/>
                <w:color w:val="202B33"/>
                <w:sz w:val="17"/>
              </w:rPr>
              <w:t>Échelles naturelles, orientation, performance, navigation et accessibilité sont testées.</w:t>
            </w:r>
          </w:p>
        </w:tc>
      </w:tr>
      <w:tr>
        <w:trPr>
          <w:cantSplit/>
        </w:trPr>
        <w:tc>
          <w:tcPr>
            <w:tcW w:type="dxa" w:w="18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Audio / vidéo</w:t>
            </w:r>
          </w:p>
        </w:tc>
        <w:tc>
          <w:tcPr>
            <w:tcW w:type="dxa" w:w="79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Langues, niveaux, sous-titres, transcriptions et crédits sont complets.</w:t>
            </w:r>
          </w:p>
        </w:tc>
      </w:tr>
      <w:tr>
        <w:trPr>
          <w:cantSplit/>
        </w:trPr>
        <w:tc>
          <w:tcPr>
            <w:tcW w:type="dxa" w:w="1800"/>
            <w:vAlign w:val="center"/>
            <w:tcMar>
              <w:top w:w="90" w:type="dxa"/>
              <w:start w:w="120" w:type="dxa"/>
              <w:bottom w:w="90" w:type="dxa"/>
              <w:end w:w="120" w:type="dxa"/>
            </w:tcMar>
          </w:tcPr>
          <w:p>
            <w:pPr>
              <w:spacing w:after="0" w:line="247" w:lineRule="auto"/>
              <w:jc w:val="left"/>
            </w:pPr>
            <w:r/>
            <w:r>
              <w:rPr>
                <w:rFonts w:ascii="Aptos" w:hAnsi="Aptos"/>
                <w:b w:val="0"/>
                <w:color w:val="202B33"/>
                <w:sz w:val="17"/>
              </w:rPr>
              <w:t>IA</w:t>
            </w:r>
          </w:p>
        </w:tc>
        <w:tc>
          <w:tcPr>
            <w:tcW w:type="dxa" w:w="7920"/>
            <w:vAlign w:val="center"/>
            <w:tcMar>
              <w:top w:w="90" w:type="dxa"/>
              <w:start w:w="120" w:type="dxa"/>
              <w:bottom w:w="90" w:type="dxa"/>
              <w:end w:w="120" w:type="dxa"/>
            </w:tcMar>
          </w:tcPr>
          <w:p>
            <w:pPr>
              <w:spacing w:after="0" w:line="247" w:lineRule="auto"/>
              <w:jc w:val="left"/>
            </w:pPr>
            <w:r/>
            <w:r>
              <w:rPr>
                <w:rFonts w:ascii="Aptos" w:hAnsi="Aptos"/>
                <w:b w:val="0"/>
                <w:color w:val="202B33"/>
                <w:sz w:val="17"/>
              </w:rPr>
              <w:t>Guide identifié, contextualisé et limité aux usages d’accompagnement.</w:t>
            </w:r>
          </w:p>
        </w:tc>
      </w:tr>
      <w:tr>
        <w:trPr>
          <w:cantSplit/>
        </w:trPr>
        <w:tc>
          <w:tcPr>
            <w:tcW w:type="dxa" w:w="180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Archivage</w:t>
            </w:r>
          </w:p>
        </w:tc>
        <w:tc>
          <w:tcPr>
            <w:tcW w:type="dxa" w:w="7920"/>
            <w:vAlign w:val="center"/>
            <w:tcMar>
              <w:top w:w="90" w:type="dxa"/>
              <w:start w:w="120" w:type="dxa"/>
              <w:bottom w:w="90" w:type="dxa"/>
              <w:end w:w="120" w:type="dxa"/>
            </w:tcMar>
            <w:shd w:fill="F5F7F9"/>
          </w:tcPr>
          <w:p>
            <w:pPr>
              <w:spacing w:after="0" w:line="247" w:lineRule="auto"/>
              <w:jc w:val="left"/>
            </w:pPr>
            <w:r/>
            <w:r>
              <w:rPr>
                <w:rFonts w:ascii="Aptos" w:hAnsi="Aptos"/>
                <w:b w:val="0"/>
                <w:color w:val="202B33"/>
                <w:sz w:val="17"/>
              </w:rPr>
              <w:t>Sources, masters, livrables, versions et changelog sont conservés.</w:t>
            </w:r>
          </w:p>
        </w:tc>
      </w:tr>
    </w:tbl>
    <w:p>
      <w:pPr>
        <w:spacing w:after="40"/>
      </w:pPr>
    </w:p>
    <w:p>
      <w:r>
        <w:br w:type="page"/>
      </w:r>
    </w:p>
    <w:p>
      <w:pPr>
        <w:pStyle w:val="Heading1"/>
      </w:pPr>
      <w:r>
        <w:t>16. Prochaines décisions</w:t>
      </w:r>
    </w:p>
    <w:p>
      <w:pPr>
        <w:spacing w:after="60" w:line="269" w:lineRule="auto"/>
        <w:numPr>
          <w:ilvl w:val="0"/>
          <w:numId w:val="13"/>
        </w:numPr>
      </w:pPr>
      <w:r>
        <w:t>Valider le sommaire éditorial définitif et la pagination cible du livre.</w:t>
      </w:r>
    </w:p>
    <w:p>
      <w:pPr>
        <w:spacing w:after="60" w:line="269" w:lineRule="auto"/>
        <w:numPr>
          <w:ilvl w:val="0"/>
          <w:numId w:val="13"/>
        </w:numPr>
      </w:pPr>
      <w:r>
        <w:t>Désigner les responsables de validation scientifique, iconographique, juridique et technique.</w:t>
      </w:r>
    </w:p>
    <w:p>
      <w:pPr>
        <w:spacing w:after="60" w:line="269" w:lineRule="auto"/>
        <w:numPr>
          <w:ilvl w:val="0"/>
          <w:numId w:val="13"/>
        </w:numPr>
      </w:pPr>
      <w:r>
        <w:t>Terminer les quatre dossiers signatures imprimés avant d’élargir les expériences numériques.</w:t>
      </w:r>
    </w:p>
    <w:p>
      <w:pPr>
        <w:spacing w:after="60" w:line="269" w:lineRule="auto"/>
        <w:numPr>
          <w:ilvl w:val="0"/>
          <w:numId w:val="13"/>
        </w:numPr>
      </w:pPr>
      <w:r>
        <w:t>Produire et tester la cible MindAR d’Impression, Sunrise, sans publier de chemin incomplet.</w:t>
      </w:r>
    </w:p>
    <w:p>
      <w:pPr>
        <w:spacing w:after="60" w:line="269" w:lineRule="auto"/>
        <w:numPr>
          <w:ilvl w:val="0"/>
          <w:numId w:val="13"/>
        </w:numPr>
      </w:pPr>
      <w:r>
        <w:t>Établir un budget de poids par page Web, modèle GLB, texture, vidéo et salle VR.</w:t>
      </w:r>
    </w:p>
    <w:p>
      <w:pPr>
        <w:spacing w:after="60" w:line="269" w:lineRule="auto"/>
        <w:numPr>
          <w:ilvl w:val="0"/>
          <w:numId w:val="13"/>
        </w:numPr>
      </w:pPr>
      <w:r>
        <w:t>Réaliser un prototype papier de 32–48 pages et le tester comme livre, indépendamment de l’application.</w:t>
      </w:r>
    </w:p>
    <w:p>
      <w:pPr>
        <w:spacing w:after="60" w:line="269" w:lineRule="auto"/>
        <w:numPr>
          <w:ilvl w:val="0"/>
          <w:numId w:val="13"/>
        </w:numPr>
      </w:pPr>
      <w:r>
        <w:t>Après validation du prototype, lancer les 28 notices restantes par lots éditoriaux.</w:t>
      </w:r>
    </w:p>
    <w:tbl>
      <w:tblPr>
        <w:tblW w:type="auto" w:w="0"/>
        <w:jc w:val="center"/>
        <w:tblLayout w:type="fixed"/>
        <w:tblLook w:firstColumn="1" w:firstRow="1" w:lastColumn="0" w:lastRow="0" w:noHBand="0" w:noVBand="1" w:val="04A0"/>
      </w:tblPr>
      <w:tblGrid>
        <w:gridCol w:w="9720"/>
      </w:tblGrid>
      <w:tr>
        <w:trPr>
          <w:cantSplit/>
        </w:trPr>
        <w:tc>
          <w:tcPr>
            <w:tcW w:type="dxa" w:w="9994"/>
            <w:shd w:fill="F5EFE2"/>
            <w:tcMar>
              <w:top w:w="150" w:type="dxa"/>
              <w:start w:w="180" w:type="dxa"/>
              <w:bottom w:w="150" w:type="dxa"/>
              <w:end w:w="180" w:type="dxa"/>
            </w:tcMar>
          </w:tcPr>
          <w:p>
            <w:pPr>
              <w:spacing w:after="60"/>
            </w:pPr>
            <w:r/>
            <w:r>
              <w:rPr>
                <w:rFonts w:ascii="Aptos" w:hAnsi="Aptos"/>
                <w:b/>
                <w:color w:val="B28A3B"/>
                <w:sz w:val="18"/>
              </w:rPr>
              <w:t>CRITÈRE DE RÉUSSITE</w:t>
            </w:r>
          </w:p>
          <w:p>
            <w:pPr>
              <w:spacing w:after="0" w:line="269" w:lineRule="auto"/>
            </w:pPr>
            <w:r>
              <w:rPr>
                <w:rFonts w:ascii="Aptos" w:hAnsi="Aptos"/>
                <w:b/>
                <w:color w:val="10283F"/>
                <w:sz w:val="20"/>
              </w:rPr>
              <w:t>ARTDACI est réussi si le livre peut devenir une référence durable sur les quatre peintres, tandis que ses extensions numériques donnent envie d’aller plus loin sans jamais être nécessaires pour comprendre.</w:t>
            </w:r>
          </w:p>
        </w:tc>
      </w:tr>
    </w:tbl>
    <w:p>
      <w:pPr>
        <w:spacing w:after="20"/>
      </w:pPr>
    </w:p>
    <w:sectPr w:rsidR="00FC693F" w:rsidRPr="0006063C" w:rsidSect="00034616">
      <w:headerReference w:type="default" r:id="rId9"/>
      <w:footerReference w:type="default" r:id="rId10"/>
      <w:pgSz w:w="12240" w:h="15840"/>
      <w:pgMar w:top="1037" w:right="1123" w:bottom="1037"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75"/>
        <w:sz w:val="16"/>
      </w:rPr>
      <w:t xml:space="preserve">Plan directeur · version adaptée au projet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D6B75"/>
        <w:sz w:val="16"/>
      </w:rPr>
      <w:t>ARTDACI  |  Master Production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40" w:hanging="280"/>
      </w:pPr>
    </w:lvl>
  </w:abstractNum>
  <w:num w:numId="10">
    <w:abstractNumId w:val="9"/>
  </w:num>
  <w:abstractNum w:abstractNumId="10">
    <w:multiLevelType w:val="singleLevel"/>
    <w:lvl w:ilvl="0">
      <w:start w:val="1"/>
      <w:numFmt w:val="decimal"/>
      <w:lvlText w:val="%1."/>
      <w:suff w:val="space"/>
      <w:pPr>
        <w:ind w:left="540" w:hanging="280"/>
      </w:pPr>
    </w:lvl>
  </w:abstractNum>
  <w:num w:numId="11">
    <w:abstractNumId w:val="10"/>
  </w:num>
  <w:abstractNum w:abstractNumId="11">
    <w:multiLevelType w:val="singleLevel"/>
    <w:lvl w:ilvl="0">
      <w:start w:val="1"/>
      <w:numFmt w:val="decimal"/>
      <w:lvlText w:val="%1."/>
      <w:suff w:val="space"/>
      <w:pPr>
        <w:ind w:left="540" w:hanging="280"/>
      </w:pPr>
    </w:lvl>
  </w:abstractNum>
  <w:num w:numId="12">
    <w:abstractNumId w:val="11"/>
  </w:num>
  <w:abstractNum w:abstractNumId="12">
    <w:multiLevelType w:val="singleLevel"/>
    <w:lvl w:ilvl="0">
      <w:start w:val="1"/>
      <w:numFmt w:val="decimal"/>
      <w:lvlText w:val="%1."/>
      <w:suff w:val="space"/>
      <w:pPr>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028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E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028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461"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461"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ARTDACI Master Production Plan amélioré</dc:title>
  <dc:subject>Plan directeur du livre imprimé autonome et de ses extensions numériques facultatives</dc:subject>
  <dc:creator>ARTDACI</dc:creator>
  <cp:keywords>ARTDACI, livre d'art, Da Vinci, Vermeer, Van Gogh, Monet, AR, VR, 3D, QR, IA</cp:keywords>
  <dc:description>generated by python-docx</dc:description>
  <cp:lastModifiedBy/>
  <cp:revision>1</cp:revision>
  <dcterms:created xsi:type="dcterms:W3CDTF">2013-12-23T23:15:00Z</dcterms:created>
  <dcterms:modified xsi:type="dcterms:W3CDTF">2013-12-23T23:15:00Z</dcterms:modified>
  <cp:category/>
</cp:coreProperties>
</file>