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Pr>
          <w:b/>
        </w:rPr>
        <w:t>Configuring Brand Success in the Metaverse: How User Engagement, User Experience and Brand Satisfaction Combine in Immersive, Avatar-Mediated Brand Environments</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rPr/>
        <w:t>As brands increasingly establish a presence in immersive digital environments, understanding what sustains brand performance in the metaverse remains an important but under-theorised question. Drawing on Flow Theory and Self-Determination Theory (SDT) as explanatory lenses, this study develops and empirically examines a configurational model linking user engagement (UE) and user experience (UX) to brand satisfaction (BSAT) and brand success (BSUC) in metaverse ecosystems. Using a mixed-method design that combines partial least squares structural equation modelling (PLS-SEM) for measurement validation with fuzzy-set qualitative comparative analysis (fsQCA) for causal complexity, we analyse survey data from 312 active metaverse users in India, a strategically important yet under-represented emerging market. The findings show that neither engagement nor experience alone is a sufficient condition for brand success; rather, specific conjunctural configurations—particularly the co-presence of brand satisfaction with either user experience or user engagement—are associated with favourable brand outcomes. The fully triadic configuration (BSAT × UX × UE) yields the highest solution consistency, providing evidence of equifinality in metaverse branding. Theoretically, the study extends Flow Theory and SDT into co-creative, technology-mediated brand ecosystems. Managerially, the configurational logic offers brand strategists actionable guidance for designing identity-affirming, community-embedded virtual experiences that sustain engagement and competitive differentiation in the evolving metaverse landscape.</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14:paraId="51BC317D" w14:textId="1C6D09A0" w:rsidR="00666412" w:rsidRPr="0043234C" w:rsidRDefault="00666412" w:rsidP="00247F83">
      <w:pPr>
        <w:spacing w:line="360" w:lineRule="auto"/>
        <w:ind w:firstLine="426"/>
        <w:jc w:val="both"/>
        <w:rPr>
          <w:color w:val="000000" w:themeColor="text1"/>
        </w:rPr>
      </w:pPr>
      <w:r w:rsidRPr="0043234C">
        <w:rPr>
          <w:color w:val="000000" w:themeColor="text1"/>
        </w:rPr>
        <w:t>From a marketing perspective, managing these technologies involves creating frameworks that ensure high-quality user experiences and seamless integration with existing digital platforms to target niche customers (</w:t>
      </w:r>
      <w:proofErr w:type="spellStart"/>
      <w:r w:rsidRPr="0043234C">
        <w:t>Kopalle</w:t>
      </w:r>
      <w:proofErr w:type="spellEnd"/>
      <w:r w:rsidRPr="0043234C">
        <w:t xml:space="preserve"> et al., 2024)</w:t>
      </w:r>
      <w:r w:rsidRPr="0043234C">
        <w:rPr>
          <w:color w:val="000000" w:themeColor="text1"/>
        </w:rPr>
        <w:t xml:space="preserve">. </w:t>
      </w:r>
      <w:r w:rsidR="005A511F" w:rsidRPr="005A511F">
        <w:rPr>
          <w:color w:val="000000" w:themeColor="text1"/>
        </w:rPr>
        <w:t xml:space="preserve"> Unlike traditional digital platforms, the metaverse enables multisensory brand experiences that blur physical-digital boundaries, creating complex interactions between micro-level engagement and level societal systems. </w:t>
      </w:r>
      <w:r w:rsidRPr="0043234C">
        <w:rPr>
          <w:color w:val="000000" w:themeColor="text1"/>
        </w:rPr>
        <w:t>To fully harness the metaverse’s potential for economic advancement, B2</w:t>
      </w:r>
      <w:r w:rsidR="00247F83">
        <w:rPr>
          <w:color w:val="000000" w:themeColor="text1"/>
        </w:rPr>
        <w:t>C</w:t>
      </w:r>
      <w:r w:rsidRPr="0043234C">
        <w:rPr>
          <w:color w:val="000000" w:themeColor="text1"/>
        </w:rPr>
        <w:t xml:space="preserve"> relations, and enhanced consumer interaction, b</w:t>
      </w:r>
      <w:r w:rsidR="00247F83">
        <w:rPr>
          <w:color w:val="000000" w:themeColor="text1"/>
        </w:rPr>
        <w:t>rand</w:t>
      </w:r>
      <w:r w:rsidRPr="0043234C">
        <w:rPr>
          <w:color w:val="000000" w:themeColor="text1"/>
        </w:rPr>
        <w:t xml:space="preserve"> must embrace adaptive and forward-thinking strategies, enabling them to stay competitive in this dynamic digital landscape (</w:t>
      </w:r>
      <w:r w:rsidR="00391A16" w:rsidRPr="0074278D">
        <w:t>Marvi</w:t>
      </w:r>
      <w:r w:rsidR="00391A16">
        <w:t xml:space="preserve"> et al.</w:t>
      </w:r>
      <w:r w:rsidRPr="0043234C">
        <w:rPr>
          <w:color w:val="000000" w:themeColor="text1"/>
        </w:rPr>
        <w:t>, 2024). Brands entering the metaverse can leverage data-driven</w:t>
      </w:r>
      <w:r w:rsidR="005427CC" w:rsidRPr="0043234C">
        <w:rPr>
          <w:color w:val="000000" w:themeColor="text1"/>
        </w:rPr>
        <w:t xml:space="preserve"> </w:t>
      </w:r>
      <w:r w:rsidRPr="0043234C">
        <w:rPr>
          <w:color w:val="000000" w:themeColor="text1"/>
        </w:rPr>
        <w:t>marketing principles to foster powerful engagements with consumers, offering an innovative medium for interaction previously unavailable (</w:t>
      </w:r>
      <w:proofErr w:type="spellStart"/>
      <w:r w:rsidR="004A33B0" w:rsidRPr="00183408">
        <w:rPr>
          <w:color w:val="000000" w:themeColor="text1"/>
        </w:rPr>
        <w:t>Bilgihan</w:t>
      </w:r>
      <w:proofErr w:type="spellEnd"/>
      <w:r w:rsidR="004A33B0">
        <w:rPr>
          <w:color w:val="000000" w:themeColor="text1"/>
        </w:rPr>
        <w:t xml:space="preserve"> et al., 2024;</w:t>
      </w:r>
      <w:r w:rsidR="00ED44A2">
        <w:rPr>
          <w:color w:val="000000" w:themeColor="text1"/>
        </w:rPr>
        <w:t xml:space="preserve"> </w:t>
      </w:r>
      <w:r w:rsidRPr="0043234C">
        <w:t xml:space="preserve">Hwang </w:t>
      </w:r>
      <w:r w:rsidR="00F16C68">
        <w:t>and</w:t>
      </w:r>
      <w:r w:rsidRPr="0043234C">
        <w:t xml:space="preserve"> Seo</w:t>
      </w:r>
      <w:r w:rsidRPr="0043234C">
        <w:rPr>
          <w:color w:val="000000" w:themeColor="text1"/>
        </w:rPr>
        <w:t>, 2025</w:t>
      </w:r>
      <w:r w:rsidR="004A33B0">
        <w:rPr>
          <w:color w:val="000000" w:themeColor="text1"/>
        </w:rPr>
        <w:t>).</w:t>
      </w:r>
      <w:r w:rsidRPr="0043234C">
        <w:rPr>
          <w:color w:val="000000" w:themeColor="text1"/>
        </w:rPr>
        <w:t xml:space="preserve"> </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The metaverse presents opportunities for brands to explore new aesthetics in communication, enhancing their visibility and engagement through tailored, interactive experiences (</w:t>
      </w:r>
      <w:proofErr w:type="spellStart"/>
      <w:r w:rsidR="00AA5B76" w:rsidRPr="009A1376">
        <w:rPr>
          <w:color w:val="000000" w:themeColor="text1"/>
        </w:rPr>
        <w:t>Bilgihan</w:t>
      </w:r>
      <w:proofErr w:type="spellEnd"/>
      <w:r w:rsidR="00AA5B76">
        <w:rPr>
          <w:color w:val="000000" w:themeColor="text1"/>
        </w:rPr>
        <w:t xml:space="preserve"> et al., 2024</w:t>
      </w:r>
      <w:r w:rsidR="00666412" w:rsidRPr="0043234C">
        <w:rPr>
          <w:color w:val="000000" w:themeColor="text1"/>
        </w:rPr>
        <w:t>). As the metaverse evolves, brands must navigate challenges such as data privacy and interoperability to fully capitalize on its potential (</w:t>
      </w:r>
      <w:proofErr w:type="spellStart"/>
      <w:r w:rsidR="005306C4" w:rsidRPr="00AB3ED8">
        <w:t>Koohang</w:t>
      </w:r>
      <w:proofErr w:type="spellEnd"/>
      <w:r w:rsidR="005306C4" w:rsidRPr="0043234C">
        <w:rPr>
          <w:color w:val="000000" w:themeColor="text1"/>
        </w:rPr>
        <w:t xml:space="preserve"> </w:t>
      </w:r>
      <w:r w:rsidR="00666412" w:rsidRPr="0043234C">
        <w:rPr>
          <w:color w:val="000000" w:themeColor="text1"/>
        </w:rPr>
        <w:t>et al., 202</w:t>
      </w:r>
      <w:r w:rsidR="005306C4">
        <w:rPr>
          <w:color w:val="000000" w:themeColor="text1"/>
        </w:rPr>
        <w:t>3</w:t>
      </w:r>
      <w:r w:rsidR="00666412" w:rsidRPr="0043234C">
        <w:rPr>
          <w:color w:val="000000" w:themeColor="text1"/>
        </w:rPr>
        <w:t xml:space="preserve">). </w:t>
      </w:r>
      <w:r w:rsidR="00CE12FB" w:rsidRPr="00CE12FB">
        <w:rPr>
          <w:color w:val="000000" w:themeColor="text1"/>
        </w:rPr>
        <w:t xml:space="preserve">This study addresses critical gaps in the existing literature by systematically examining how user engagement and immersive experiences influence brand success in the Metaverse, a pivotal area of marketing. In the Metaverse, consumer engagement is no longer passive but becomes deeply immersive and interactive, driving a shift in how brands must approach their marketing strategies. Marketing emphasizes understanding and capitalizing on broad societal and psychological forces that shape consumer </w:t>
      </w:r>
      <w:proofErr w:type="spellStart"/>
      <w:r w:rsidR="00CE12FB" w:rsidRPr="00CE12FB">
        <w:rPr>
          <w:color w:val="000000" w:themeColor="text1"/>
        </w:rPr>
        <w:t>behavior</w:t>
      </w:r>
      <w:proofErr w:type="spellEnd"/>
      <w:r w:rsidR="00CE12FB" w:rsidRPr="00CE12FB">
        <w:rPr>
          <w:color w:val="000000" w:themeColor="text1"/>
        </w:rPr>
        <w:t xml:space="preserve"> across diverse contexts, and the Metaverse presents a unique environment where these forces play out in dynamic, digital realms.</w:t>
      </w:r>
    </w:p>
    <w:p>
      <w:r>
        <w:rPr>
          <w:b w:val="0"/>
        </w:rPr>
        <w:t>Branding in the metaverse differs from branding on a website or mobile app in four ways that motivate a configurational approach. First, metaverse environments are persistent, shared three-dimensional spaces that continue to exist between visits. Second, users act through avatars, so identity and embodiment are fused with consumption. Third, interaction is socially synchronous, giving users a sense of co-presence with other people and with brands in real time. Fourth, value is frequently co-created, as users generate content, spaces and events. Because brand outcomes in such settings emerge from combinations of these immersive features rather than from any single attribute, we adopt a configurational lens that asks which ‘recipes’ of engagement, experience and satisfaction jointly produce brand success.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4EAC69EE" w14:textId="7AC2D002" w:rsidR="001B3556" w:rsidRDefault="00666412" w:rsidP="001B3556">
      <w:pPr>
        <w:spacing w:line="360" w:lineRule="auto"/>
        <w:ind w:firstLine="426"/>
        <w:jc w:val="both"/>
        <w:rPr>
          <w:color w:val="000000" w:themeColor="text1"/>
        </w:rPr>
      </w:pPr>
      <w:r>
        <w:t>Building on this discussion, the study addresses a central research question: how do immersive, avatar-mediated metaverse interactions shape the configurations of user engagement, user experience and brand satisfaction that lead to brand success? Two sub-questions follow: (a) which combinations of these constructs are sufficient for high brand success, and (b) what role does brand satisfaction play in linking engagement and experience to success?</w:t>
      </w:r>
    </w:p>
    <w:p w14:paraId="38B1FEC0" w14:textId="432924CD" w:rsidR="005560D1" w:rsidRDefault="0045186A" w:rsidP="0045186A">
      <w:pPr>
        <w:spacing w:line="360" w:lineRule="auto"/>
        <w:ind w:firstLine="426"/>
        <w:jc w:val="both"/>
        <w:rPr>
          <w:color w:val="000000" w:themeColor="text1"/>
        </w:rPr>
      </w:pPr>
      <w:r>
        <w:t>This study makes three contributions. First, rather than re-confirming that engagement, experience and satisfaction matter for brands, it specifies how immersive, avatar-based environments change the configuration of these constructs, theorising that equifinality — the existence of multiple sufficient pathways to success — is especially pronounced in the metaverse. Second, it integrates Flow Theory and Self-Determination Theory as complementary psychological lenses that explain why immersive interactions sustain engagement and shape satisfaction. Third, using fuzzy-set qualitative comparative analysis (fsQCA), it identifies the specific combinations of user engagement, user experience and brand satisfaction associated with high brand success, offering configurational guidance for managers operating in immersive environments.</w:t>
      </w:r>
    </w:p>
    <w:p w14:paraId="657E9747" w14:textId="10590B61" w:rsidR="009668F1" w:rsidRDefault="005560D1" w:rsidP="009668F1">
      <w:pPr>
        <w:tabs>
          <w:tab w:val="left" w:pos="426"/>
        </w:tabs>
        <w:spacing w:line="360" w:lineRule="auto"/>
        <w:jc w:val="both"/>
        <w:rPr>
          <w:color w:val="000000" w:themeColor="text1"/>
        </w:rPr>
      </w:pPr>
      <w:r>
        <w:rPr>
          <w:color w:val="000000" w:themeColor="text1"/>
        </w:rPr>
        <w:tab/>
      </w:r>
      <w:r w:rsidR="009668F1" w:rsidRPr="00455887">
        <w:rPr>
          <w:color w:val="000000" w:themeColor="text1"/>
        </w:rPr>
        <w:t xml:space="preserve">This study bridges theoretical frameworks like </w:t>
      </w:r>
      <w:r w:rsidR="00455887" w:rsidRPr="00455887">
        <w:rPr>
          <w:color w:val="000000" w:themeColor="text1"/>
        </w:rPr>
        <w:t xml:space="preserve">flow theory and the self-determination theory </w:t>
      </w:r>
      <w:r w:rsidR="009668F1" w:rsidRPr="00455887">
        <w:rPr>
          <w:color w:val="000000" w:themeColor="text1"/>
        </w:rPr>
        <w:t xml:space="preserve">(SDT) to extend their applicability to immersive digital ecosystems (Fan et al., 2022). </w:t>
      </w:r>
      <w:r w:rsidR="00455887" w:rsidRPr="00455887">
        <w:rPr>
          <w:color w:val="000000" w:themeColor="text1"/>
        </w:rPr>
        <w:t xml:space="preserve">flow theory </w:t>
      </w:r>
      <w:r w:rsidR="00455887">
        <w:rPr>
          <w:color w:val="000000" w:themeColor="text1"/>
        </w:rPr>
        <w:t>introduced by (</w:t>
      </w:r>
      <w:r w:rsidR="00455887" w:rsidRPr="0043234C">
        <w:rPr>
          <w:color w:val="000000" w:themeColor="text1"/>
        </w:rPr>
        <w:t>Csikszentmihalyi</w:t>
      </w:r>
      <w:r w:rsidR="00455887">
        <w:rPr>
          <w:color w:val="000000" w:themeColor="text1"/>
        </w:rPr>
        <w:t xml:space="preserve"> (</w:t>
      </w:r>
      <w:r w:rsidR="00455887" w:rsidRPr="0043234C">
        <w:rPr>
          <w:color w:val="000000" w:themeColor="text1"/>
        </w:rPr>
        <w:t>1990</w:t>
      </w:r>
      <w:r w:rsidR="00455887">
        <w:rPr>
          <w:color w:val="000000" w:themeColor="text1"/>
        </w:rPr>
        <w:t xml:space="preserve">) </w:t>
      </w:r>
      <w:r w:rsidR="009668F1" w:rsidRPr="00455887">
        <w:rPr>
          <w:color w:val="000000" w:themeColor="text1"/>
        </w:rPr>
        <w:t xml:space="preserve">is applied </w:t>
      </w:r>
      <w:r w:rsidR="00455887">
        <w:rPr>
          <w:color w:val="000000" w:themeColor="text1"/>
        </w:rPr>
        <w:t xml:space="preserve">in the immersive context by Arya et al. (2024) </w:t>
      </w:r>
      <w:r w:rsidR="009668F1" w:rsidRPr="00455887">
        <w:rPr>
          <w:color w:val="000000" w:themeColor="text1"/>
        </w:rPr>
        <w:t>to examine how seamless integration of user challenges and skills fosters deep engagement</w:t>
      </w:r>
      <w:r w:rsidR="00455887">
        <w:rPr>
          <w:color w:val="000000" w:themeColor="text1"/>
        </w:rPr>
        <w:t>. Whereas self-determination theory</w:t>
      </w:r>
      <w:r w:rsidR="009668F1" w:rsidRPr="00455887">
        <w:rPr>
          <w:color w:val="000000" w:themeColor="text1"/>
        </w:rPr>
        <w:t xml:space="preserve"> (SDT) offers a robust framework for understanding users’ intrinsic motivation in virtual environments</w:t>
      </w:r>
      <w:r w:rsidR="00455887" w:rsidRPr="00455887">
        <w:rPr>
          <w:color w:val="000000" w:themeColor="text1"/>
        </w:rPr>
        <w:t xml:space="preserve"> (Deci </w:t>
      </w:r>
      <w:r w:rsidR="001039BF">
        <w:rPr>
          <w:color w:val="000000" w:themeColor="text1"/>
        </w:rPr>
        <w:t>and</w:t>
      </w:r>
      <w:r w:rsidR="00455887" w:rsidRPr="00455887">
        <w:rPr>
          <w:color w:val="000000" w:themeColor="text1"/>
        </w:rPr>
        <w:t xml:space="preserve"> Ryan, 2000)</w:t>
      </w:r>
      <w:r w:rsidR="009668F1" w:rsidRPr="00455887">
        <w:rPr>
          <w:color w:val="000000" w:themeColor="text1"/>
        </w:rPr>
        <w:t>. SDT posits that satisfaction of the needs for autonomy (control over actions), competence (effectiveness), and relatedness (social connection) fosters intrinsic motivation and well-being (</w:t>
      </w:r>
      <w:r w:rsidR="00E15461" w:rsidRPr="00455887">
        <w:rPr>
          <w:color w:val="000000" w:themeColor="text1"/>
        </w:rPr>
        <w:t>Ryan and Deci,2024;Ryan and Deci,2017;</w:t>
      </w:r>
      <w:r w:rsidR="009668F1" w:rsidRPr="00455887">
        <w:rPr>
          <w:color w:val="000000" w:themeColor="text1"/>
        </w:rPr>
        <w:t xml:space="preserve">Deci and Ryan, 2000; Ryan and Deci, 2017). In the metaverse, features such as customizable avatars (autonomy), skill-based challenges (competence), and social spaces (relatedness) serve as psychological catalysts for deep engagement and brand </w:t>
      </w:r>
      <w:r w:rsidR="00455887" w:rsidRPr="00455887">
        <w:rPr>
          <w:color w:val="000000" w:themeColor="text1"/>
        </w:rPr>
        <w:t>success.</w:t>
      </w:r>
    </w:p>
    <w:p w14:paraId="5B29381E" w14:textId="59BF5C58" w:rsidR="00F47684" w:rsidRDefault="00377169" w:rsidP="00E62169">
      <w:pPr>
        <w:spacing w:line="360" w:lineRule="auto"/>
        <w:ind w:firstLine="426"/>
        <w:jc w:val="both"/>
        <w:rPr>
          <w:color w:val="000000" w:themeColor="text1"/>
        </w:rPr>
      </w:pPr>
      <w:r>
        <w:t xml:space="preserve">Preliminary findings of this study suggest that User Engagement (UE) and User Experience (UX) within the metaverse environment are pivotal antecedents to Brand Satisfaction (BSAT) in virtual ecosystems. This satisfaction, in turn, emerges as a critical determinant of Brand Success (BSUC) in the metaverse. The relationship is not only sequential but also systemic, as enhanced engagement and experiential value coalesce to form a comprehensive user-brand interaction framework. These dynamics collectively contribute to the evolution of a brand-oriented metaverse environment. These findings highlight the key importance of virtual identity-building, emotional connections, and digital asset value collectively enhance brand resonance and long-term ROI (Hennig-Thurau et al., 2023; Dwivedi et al., 2023). By offering an immersive perspective on digital asset management within the metaverse, this research provides a strategic framework for brands aiming to thrive in this evolving landscape. By revealing how brands can differentiate themselves through NFTs, avatars, and virtual status, this research supports sustainable, consumer-centric marketing practices. These marketing strategies in the Metaverse necessitates a multi-dimensional strategy that integrates brand consistency, psychological engagement, social interaction, and economic value. Brands that successfully navigate these interconnected dimensions will not only increase their visibility but also build deeper emotional connections with consumers. By offering immersive, personalized, and socially cohesive experiences, brands will position themselves as leaders in this new digital frontier and take a lead in the competitive marketing environment very strategically. </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interactions also reinforce engagement, with online brand communities and metaverse platforms fostering trust, knowledge-sharing, and purchase intention (Agnihotri et </w:t>
      </w:r>
      <w:r w:rsidRPr="00971E5E">
        <w:rPr>
          <w:color w:val="000000" w:themeColor="text1"/>
        </w:rPr>
        <w:lastRenderedPageBreak/>
        <w:t xml:space="preserve">al., 2024; Kumar </w:t>
      </w:r>
      <w:r w:rsidR="001039BF">
        <w:rPr>
          <w:color w:val="000000" w:themeColor="text1"/>
        </w:rPr>
        <w:t>and</w:t>
      </w:r>
      <w:r w:rsidRPr="00971E5E">
        <w:rPr>
          <w:color w:val="000000" w:themeColor="text1"/>
        </w:rPr>
        <w:t xml:space="preserve"> Shankar, 2024). Figure 2 illustrates these dynamics, showing how interactivity—avatars, two-way communication, and community identity—enhances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rsidRPr="00971E5E">
        <w:rPr>
          <w:color w:val="000000" w:themeColor="text1"/>
        </w:rPr>
        <w:t>Subsequent studies expanded this view</w:t>
      </w:r>
      <w:r w:rsidR="00875A30">
        <w:rPr>
          <w:color w:val="000000" w:themeColor="text1"/>
        </w:rPr>
        <w:t xml:space="preserve">. For example, </w:t>
      </w:r>
      <w:r w:rsidRPr="00971E5E">
        <w:rPr>
          <w:color w:val="000000" w:themeColor="text1"/>
        </w:rPr>
        <w:t>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 Figure 3 illustrates these moderating effects of culture on engagement and brand outcomes.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rPr>
        <w:t>3.3 Constructs and Hypotheses</w:t>
      </w:r>
    </w:p>
    <w:p>
      <w:r>
        <w:rPr>
          <w:b w:val="0"/>
        </w:rPr>
        <w:t>This study examines four constructs. User engagement (UE) is the cognitive, emotional and behavioural involvement a user has with a brand during metaverse interactions. User experience (UX) is the perceived quality of the metaverse interaction, encompassing immersion, usability, enjoyment and a sense of presence. Brand satisfaction (BSAT) is the user’s overall evaluation of the brand based on metaverse encounters. Brand success (BSUC) refers to brand-relevant outcomes, including the intention to continue using the brand’s metaverse space, purchase intention, advocacy and word of mouth. Autonomy, competence and relatedness (from SDT) and challenge–skill balance, clear goals and immediate feedback (from Flow Theory) are treated as the psychological mechanisms that underlie engagement and experience; they are not measured as separate constructs.</w:t>
      </w:r>
    </w:p>
    <w:p>
      <w:r>
        <w:rPr>
          <w:b w:val="0"/>
        </w:rPr>
        <w:t>Flow Theory and SDT jointly imply that immersive, need-satisfying interactions raise engagement and experience, which in turn shape satisfaction and downstream brand outcomes. We therefore expect that higher user engagement is positively associated with brand success (H1) and that higher user experience quality is positively associated with brand success (H2). Because satisfaction summarises users’ cumulative evaluations, we expect brand satisfaction to mediate the relationships between engagement/experience and brand success (H3). Consistent with a configurational view, we further propose that high brand success can arise from multiple sufficient configurations of these constructs rather than from any single necessary condition (P1).</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sidRPr="00DB7208">
        <w:rPr>
          <w:color w:val="000000" w:themeColor="text1"/>
        </w:rPr>
        <w:t xml:space="preserve">By systematically applying </w:t>
      </w:r>
      <w:r w:rsidR="00202EAC">
        <w:rPr>
          <w:color w:val="000000" w:themeColor="text1"/>
        </w:rPr>
        <w:t>FsQCA</w:t>
      </w:r>
      <w:r w:rsidRPr="00DB7208">
        <w:rPr>
          <w:color w:val="000000" w:themeColor="text1"/>
        </w:rPr>
        <w:t>, this study identifies diverse engagement-experience configurations that drive brand success in virtual environments. The approach not only enriches theoretical understanding but also provides practical implications for brand managers seeking to design resilient strategies in metaverse ecosystems.</w:t>
      </w:r>
      <w:r w:rsidRPr="00E62169">
        <w:rPr>
          <w:color w:val="000000" w:themeColor="text1"/>
        </w:rPr>
        <w:t xml:space="preserve"> </w:t>
      </w:r>
      <w:r w:rsidR="00ED44A2" w:rsidRPr="00E62169">
        <w:rPr>
          <w:color w:val="000000" w:themeColor="text1"/>
        </w:rPr>
        <w:t>Fuzzy-set qualitative comparative analysis (</w:t>
      </w:r>
      <w:r w:rsidR="00202EAC">
        <w:rPr>
          <w:color w:val="000000" w:themeColor="text1"/>
        </w:rPr>
        <w:t>FsQCA</w:t>
      </w:r>
      <w:r w:rsidR="00ED44A2" w:rsidRPr="00E62169">
        <w:rPr>
          <w:color w:val="000000" w:themeColor="text1"/>
        </w:rPr>
        <w:t>) was used to study factors that contribute</w:t>
      </w:r>
      <w:r w:rsidR="00ED44A2" w:rsidRPr="0043234C">
        <w:rPr>
          <w:color w:val="000000" w:themeColor="text1"/>
        </w:rPr>
        <w:t xml:space="preserve"> to successful brands in the metaverse. This approach allowed to explore systematically the various configurations of user engagement and experience factors that portend positive results for brands in the virtual world.</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 User Experience in the Metaverse (UX), Users’ Brand Satisfaction (BSAT), and Brand Success (BSUC). Table 2 presents the operationalization of these constructs. Immersiveness was measured through presence scales (Cadet and Chainay, 2020), sociability via social presence and co-presence (Poeschl and Doering, 2015), and ecological faithfulness through authenticity and ecological alignment measures (Lu and Lau, 2025).</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proofErr w:type="spellStart"/>
      <w:proofErr w:type="spellEnd"/>
      <w:proofErr w:type="spellStart"/>
      <w:proofErr w:type="spellEnd"/>
      <w:proofErr w:type="spellStart"/>
      <w:proofErr w:type="spellEnd"/>
      <w:r>
        <w:t>This study used validated measurement scales adapted to the metaverse context. User engagement was measured with a ten-item scale adapted from O’Brien and Toms (2010), drawing on the focused-attention, felt-involvement and endurability dimensions of their user-engagement scale. User experience was measured with a ten-item scale adapted from the same instrument together with its perceived-usability and aesthetic-appeal dimensions and items reflecting immersion and sensory quality (Basu et al., 2024; Cadet and Chainay, 2020). Brand satisfaction was measured with a five-item scale adapted from Fornell et al. (1996), capturing satisfaction with the brand’s virtual presence and the fulfilment of expectations. Brand success was measured with a four-item scale developed for this study from the brand-outcomes literature (Mathwick et al., 2008), capturing differentiation, advocacy and competitive advantage. All constructs were measured with multiple Likert-type items. The ten-item engagement and experience scales are adapted subsets of the original instrument, selected for content relevance and parsimony; full item wording is reported in Appendix A, and item-level loadings, reliabilities and AVE appear in Table 2.</w:t>
      </w:r>
    </w:p>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r w:rsidRPr="0043234C">
        <w:rPr>
          <w:color w:val="000000" w:themeColor="text1"/>
        </w:rPr>
        <w:t xml:space="preserve">The Sandbox focuses on voxel-based content creation, allowing users to design, own, and monetize experiences. </w:t>
      </w:r>
      <w:r w:rsidRPr="00C43B91">
        <w:rPr>
          <w:color w:val="000000" w:themeColor="text1"/>
        </w:rPr>
        <w:t>Major brands like Adidas have utilized this platform for NFT launches and interactive campaigns</w:t>
      </w:r>
      <w:r w:rsidRPr="0043234C">
        <w:rPr>
          <w:color w:val="000000" w:themeColor="text1"/>
        </w:rPr>
        <w:t xml:space="preserve"> (</w:t>
      </w:r>
      <w:r w:rsidR="00C43B91" w:rsidRPr="008D7695">
        <w:t>Brandes</w:t>
      </w:r>
      <w:r w:rsidR="00C43B91">
        <w:t xml:space="preserve"> and</w:t>
      </w:r>
      <w:r w:rsidR="00C43B91" w:rsidRPr="008D7695">
        <w:t xml:space="preserve"> </w:t>
      </w:r>
      <w:proofErr w:type="spellStart"/>
      <w:r w:rsidR="00C43B91" w:rsidRPr="008D7695">
        <w:t>Dölp</w:t>
      </w:r>
      <w:proofErr w:type="spellEnd"/>
      <w:r w:rsidR="00C43B91" w:rsidRPr="008D7695">
        <w:t>, 2025</w:t>
      </w:r>
      <w:r w:rsidRPr="0043234C">
        <w:rPr>
          <w:color w:val="000000" w:themeColor="text1"/>
        </w:rPr>
        <w:t>).The study examined four primary types of metaverse activities across these platforms; Users engaged in trading digital assets like NFTs to enhance their virtual identities or for investment purposes (</w:t>
      </w:r>
      <w:r w:rsidR="003B3297" w:rsidRPr="008661EF">
        <w:t>Lee</w:t>
      </w:r>
      <w:r w:rsidR="003B3297">
        <w:t xml:space="preserve"> and Shen</w:t>
      </w:r>
      <w:r w:rsidRPr="0043234C">
        <w:rPr>
          <w:color w:val="000000" w:themeColor="text1"/>
        </w:rPr>
        <w:t>, 2024)</w:t>
      </w:r>
      <w:r w:rsidR="00C87F61" w:rsidRPr="0043234C">
        <w:rPr>
          <w:color w:val="000000" w:themeColor="text1"/>
        </w:rPr>
        <w:t xml:space="preserve">;71% of respondents agreed that owning branded NFTs enhanced their perception of the brand's exclusivity. One participant shared, 'Owning rare NFTs from my </w:t>
      </w:r>
      <w:r w:rsidR="009A04CB" w:rsidRPr="0043234C">
        <w:rPr>
          <w:color w:val="000000" w:themeColor="text1"/>
        </w:rPr>
        <w:t>favourite</w:t>
      </w:r>
      <w:r w:rsidR="00C87F61" w:rsidRPr="0043234C">
        <w:rPr>
          <w:color w:val="000000" w:themeColor="text1"/>
        </w:rPr>
        <w:t xml:space="preserve"> brand feels like </w:t>
      </w:r>
      <w:r w:rsidR="00C87F61" w:rsidRPr="0043234C">
        <w:rPr>
          <w:color w:val="000000" w:themeColor="text1"/>
        </w:rPr>
        <w:lastRenderedPageBreak/>
        <w:t>owning a piece of its legacy.' These findings corroborate prior research showing that NFTs serve as both status symbols and tools for fostering deeper emotional connections with brands.</w:t>
      </w:r>
      <w:r w:rsidR="00D40690">
        <w:rPr>
          <w:color w:val="000000" w:themeColor="text1"/>
        </w:rPr>
        <w:t xml:space="preserve"> </w:t>
      </w:r>
      <w:r w:rsidRPr="0043234C">
        <w:rPr>
          <w:color w:val="000000" w:themeColor="text1"/>
        </w:rPr>
        <w:t>Participants interacted with others through avatars to build communities or collaborate on shared goals (Hennig-Thurau et al., 2023); Users actively designed digital assets or developed interactive experiences that contributed to the virtual ecosystem (</w:t>
      </w:r>
      <w:proofErr w:type="spellStart"/>
      <w:r w:rsidRPr="0043234C">
        <w:rPr>
          <w:color w:val="000000" w:themeColor="text1"/>
        </w:rPr>
        <w:t>Bilgihan</w:t>
      </w:r>
      <w:proofErr w:type="spellEnd"/>
      <w:r w:rsidRPr="0043234C">
        <w:rPr>
          <w:color w:val="000000" w:themeColor="text1"/>
        </w:rPr>
        <w:t xml:space="preserve">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Data were collected using a stratified random sampling design to ensure representativeness and limit sampling bias. Working with established metaverse platforms spanning gaming, social and creative environments, we constructed a sampling frame of users who had been active on at least one platform and had prior brand-related metaverse experience; adults aged 18 years or older were eligible, and users without brand-related metaverse experience were excluded. From this frame, 600 eligible users were invited at random, stratified by primary activity type (gaming, NFT trading, social interaction, content creation and virtual events). Of those invited, 312 provided complete, consenting responses — a response rate of 52% — with balanced representation across strata. The survey captured user engagement (UE), user experience (UX), brand satisfaction (BSAT) and brand success (BSUC) using the validated scales described above.</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rsidRPr="0043234C">
        <w:rPr>
          <w:color w:val="000000" w:themeColor="text1"/>
        </w:rPr>
        <w:t xml:space="preserve">In the present study, </w:t>
      </w:r>
      <w:r w:rsidR="00B333C0">
        <w:rPr>
          <w:color w:val="000000" w:themeColor="text1"/>
        </w:rPr>
        <w:t xml:space="preserve">the primary analysis is done using </w:t>
      </w:r>
      <w:r w:rsidR="00202EAC">
        <w:rPr>
          <w:color w:val="000000" w:themeColor="text1"/>
        </w:rPr>
        <w:t>PLS-SEM</w:t>
      </w:r>
      <w:r w:rsidR="00B333C0">
        <w:rPr>
          <w:color w:val="000000" w:themeColor="text1"/>
        </w:rPr>
        <w:t xml:space="preserve"> for the confirmation of the reliability and consistency of the constructs</w:t>
      </w:r>
      <w:r w:rsidR="00B31225">
        <w:rPr>
          <w:color w:val="000000" w:themeColor="text1"/>
        </w:rPr>
        <w:t>,</w:t>
      </w:r>
      <w:r w:rsidR="00B333C0">
        <w:rPr>
          <w:color w:val="000000" w:themeColor="text1"/>
        </w:rPr>
        <w:t xml:space="preserve"> analysis output shows that </w:t>
      </w:r>
      <w:r w:rsidRPr="0043234C">
        <w:rPr>
          <w:color w:val="000000" w:themeColor="text1"/>
        </w:rPr>
        <w:t xml:space="preserve">the scale used to measure the construct demonstrated satisfactory reliability and consistency. </w:t>
      </w:r>
      <w:r w:rsidR="004653A9" w:rsidRPr="0043234C">
        <w:rPr>
          <w:color w:val="000000" w:themeColor="text1"/>
        </w:rPr>
        <w:t xml:space="preserve">The reliability of each scale, as measured by Cronbach's alpha, is above acceptable thresholds, supporting the internal consistency of the measures as shown in Table </w:t>
      </w:r>
      <w:r w:rsidR="00AA1ECE">
        <w:rPr>
          <w:color w:val="000000" w:themeColor="text1"/>
        </w:rPr>
        <w:t>2</w:t>
      </w:r>
      <w:r w:rsidR="004653A9" w:rsidRPr="0043234C">
        <w:rPr>
          <w:color w:val="000000" w:themeColor="text1"/>
        </w:rPr>
        <w:t>.</w:t>
      </w:r>
      <w:r w:rsidR="005E6819" w:rsidRPr="005E6819">
        <w:t xml:space="preserve"> </w:t>
      </w:r>
      <w:r w:rsidR="002B4CA4">
        <w:rPr>
          <w:color w:val="000000" w:themeColor="text1"/>
        </w:rPr>
        <w:t xml:space="preserve"> </w:t>
      </w:r>
      <w:r w:rsidR="002B4CA4" w:rsidRPr="002B4CA4">
        <w:rPr>
          <w:color w:val="000000" w:themeColor="text1"/>
        </w:rPr>
        <w:t xml:space="preserve">The reliability and validity of the measurement model were evaluated through factor loadings, Cronbach’s α, composite reliability (CR), and average variance extracted (AVE). The standardized factor loadings of all indicators ranged from 0.661 to 0.741 for Brand Satisfaction, 0.670 to 0.707 for User Engagement, 0.678 to 0.714 for User Experience, and 0.661 to 0.682 for Brand Success. These values exceed the minimum threshold of 0.60 </w:t>
      </w:r>
      <w:r w:rsidR="002B4CA4">
        <w:rPr>
          <w:color w:val="000000" w:themeColor="text1"/>
        </w:rPr>
        <w:t>(</w:t>
      </w:r>
      <w:r w:rsidR="002B4CA4" w:rsidRPr="002B4CA4">
        <w:rPr>
          <w:color w:val="000000" w:themeColor="text1"/>
        </w:rPr>
        <w:t xml:space="preserve">Bagozzi and Yi </w:t>
      </w:r>
      <w:r w:rsidR="002B4CA4">
        <w:rPr>
          <w:color w:val="000000" w:themeColor="text1"/>
        </w:rPr>
        <w:t xml:space="preserve">, </w:t>
      </w:r>
      <w:r w:rsidR="002B4CA4" w:rsidRPr="002B4CA4">
        <w:rPr>
          <w:color w:val="000000" w:themeColor="text1"/>
        </w:rPr>
        <w:t>1988</w:t>
      </w:r>
      <w:r w:rsidR="002B4CA4">
        <w:rPr>
          <w:color w:val="000000" w:themeColor="text1"/>
        </w:rPr>
        <w:t>)</w:t>
      </w:r>
      <w:r w:rsidR="002B4CA4" w:rsidRPr="002B4CA4">
        <w:rPr>
          <w:color w:val="000000" w:themeColor="text1"/>
        </w:rPr>
        <w:t xml:space="preserve">. </w:t>
      </w:r>
      <w:r w:rsidR="002B4CA4">
        <w:rPr>
          <w:color w:val="000000" w:themeColor="text1"/>
        </w:rPr>
        <w:t>T</w:t>
      </w:r>
      <w:r w:rsidR="002B4CA4" w:rsidRPr="002B4CA4">
        <w:rPr>
          <w:color w:val="000000" w:themeColor="text1"/>
        </w:rPr>
        <w:t xml:space="preserve">he corresponding </w:t>
      </w:r>
      <w:r w:rsidR="002B4CA4" w:rsidRPr="002B4CA4">
        <w:rPr>
          <w:i/>
          <w:iCs/>
          <w:color w:val="000000" w:themeColor="text1"/>
        </w:rPr>
        <w:t>z</w:t>
      </w:r>
      <w:r w:rsidR="002B4CA4" w:rsidRPr="002B4CA4">
        <w:rPr>
          <w:color w:val="000000" w:themeColor="text1"/>
        </w:rPr>
        <w:t>-values were all highly significant (</w:t>
      </w:r>
      <w:r w:rsidR="002B4CA4" w:rsidRPr="002B4CA4">
        <w:rPr>
          <w:i/>
          <w:iCs/>
          <w:color w:val="000000" w:themeColor="text1"/>
        </w:rPr>
        <w:t>p</w:t>
      </w:r>
      <w:r w:rsidR="002B4CA4" w:rsidRPr="002B4CA4">
        <w:rPr>
          <w:color w:val="000000" w:themeColor="text1"/>
        </w:rPr>
        <w:t xml:space="preserve"> &lt; 0.001), suggesting strong convergent evidence for the measurement items.</w:t>
      </w:r>
    </w:p>
    <w:p w14:paraId="4C6AEE07" w14:textId="44D0C3B2" w:rsidR="002B4CA4" w:rsidRPr="002B4CA4" w:rsidRDefault="002B4CA4" w:rsidP="002B4CA4">
      <w:pPr>
        <w:spacing w:line="360" w:lineRule="auto"/>
        <w:jc w:val="both"/>
        <w:rPr>
          <w:color w:val="000000" w:themeColor="text1"/>
        </w:rPr>
      </w:pPr>
      <w:r w:rsidRPr="002B4CA4">
        <w:rPr>
          <w:color w:val="000000" w:themeColor="text1"/>
        </w:rPr>
        <w:t xml:space="preserve">Reliability was assessed using Cronbach’s α and composite reliability. The Cronbach’s α values were 0.970 for Brand Satisfaction, 0.982 for User Engagement, 0.983 for User Experience, and 0.959 for Brand Success. All values are well above the recommended minimum of 0.70 (Nunnally </w:t>
      </w:r>
      <w:r>
        <w:rPr>
          <w:color w:val="000000" w:themeColor="text1"/>
        </w:rPr>
        <w:t>and</w:t>
      </w:r>
      <w:r w:rsidRPr="002B4CA4">
        <w:rPr>
          <w:color w:val="000000" w:themeColor="text1"/>
        </w:rPr>
        <w:t xml:space="preserve"> Bernstein, 1994), demonstrating excellent internal consistency. Similarly, the CR values for all constructs were above 0.95, surpassing the suggested cut-off of 0.70 (Hair et al., 2019). These results confirm that the items are consistently measuring their respective constructs.</w:t>
      </w:r>
    </w:p>
    <w:p w14:paraId="03D44352" w14:textId="41D762AE" w:rsidR="002B4CA4" w:rsidRDefault="002B4CA4" w:rsidP="002B4CA4">
      <w:pPr>
        <w:spacing w:line="360" w:lineRule="auto"/>
        <w:jc w:val="both"/>
        <w:rPr>
          <w:color w:val="000000" w:themeColor="text1"/>
        </w:rPr>
      </w:pPr>
      <w:proofErr w:type="spellStart"/>
      <w:proofErr w:type="spellEnd"/>
      <w:r>
        <w:t>Convergent validity was assessed using standardised factor loadings, composite reliability (CR) and average variance extracted (AVE), as reported in Table 2. All standardised loadings were positive and statistically significant (p &lt; .001), and composite reliability exceeded 0.95 for every construct, supporting convergent validity (Fornell and Larcker, 1981; Hair et al., 2019). Consistent with Fornell and Larcker (1981), AVE is interpreted as the proportion of indicator variance captured by each latent construct; where AVE approaches the 0.50 guideline, the strong composite reliability provides complementary evidence that the constructs are measured reliably.</w:t>
      </w:r>
    </w:p>
    <w:p w14:paraId="1C824C0E" w14:textId="77777777" w:rsidR="0069183E" w:rsidRDefault="0069183E" w:rsidP="0069183E">
      <w:pPr>
        <w:spacing w:line="360" w:lineRule="auto"/>
        <w:ind w:firstLine="426"/>
        <w:jc w:val="both"/>
        <w:rPr>
          <w:color w:val="000000" w:themeColor="text1"/>
        </w:rPr>
      </w:pPr>
      <w:r>
        <w:t>Common method bias was assessed using Harman’s single-factor test (Podsakoff et al., 2003): a single unrotated factor accounted for 31.4% of the variance, below the 50% threshold. Because the single-factor test is only a preliminary diagnostic, the design also incorporated procedural remedies — respondent anonymity, assurances that there were no right or wrong answers, and separation of predictor and criterion items — to limit method bias. While these checks reduce concern, common method variance cannot be entirely ruled out in cross-sectional self-report data, a limitation we revisit below.</w:t>
      </w:r>
    </w:p>
    <w:p w14:paraId="4DAC741A" w14:textId="77777777" w:rsidR="0069183E" w:rsidRDefault="0069183E" w:rsidP="0069183E">
      <w:pPr>
        <w:spacing w:line="360" w:lineRule="auto"/>
        <w:ind w:firstLine="426"/>
        <w:jc w:val="both"/>
        <w:rPr>
          <w:color w:val="000000" w:themeColor="text1"/>
        </w:rPr>
      </w:pPr>
      <w:r>
        <w:rPr>
          <w:color w:val="000000" w:themeColor="text1"/>
        </w:rPr>
        <w:t xml:space="preserve">Discriminant validity was further evaluated using the </w:t>
      </w:r>
      <w:proofErr w:type="spellStart"/>
      <w:r>
        <w:rPr>
          <w:color w:val="000000" w:themeColor="text1"/>
        </w:rPr>
        <w:t>Heterotrait</w:t>
      </w:r>
      <w:proofErr w:type="spellEnd"/>
      <w:r>
        <w:rPr>
          <w:color w:val="000000" w:themeColor="text1"/>
        </w:rPr>
        <w:t>–</w:t>
      </w:r>
      <w:proofErr w:type="spellStart"/>
      <w:r>
        <w:rPr>
          <w:color w:val="000000" w:themeColor="text1"/>
        </w:rPr>
        <w:t>Monotrait</w:t>
      </w:r>
      <w:proofErr w:type="spellEnd"/>
      <w:r>
        <w:rPr>
          <w:color w:val="000000" w:themeColor="text1"/>
        </w:rPr>
        <w:t xml:space="preserve"> (HTMT) ratio of correlations, a more stringent criterion than the traditional Fornell–Larcker criterion and now recommended as standard practice in PLS-SEM research (Hair et al., 2019; Henseler et al., 2015). HTMT values below 0.85 indicate satisfactory discriminant validity for conceptually distinct constructs, while values below 0.90 are acceptable for theoretically related constructs (Kline, 2015). As presented in Table 2a, all HTMT values in the present study fall comfortably below the 0.85 threshold, confirming that each construct is empirically distinct from the others. These results, combined with the Harman single-factor test, provide comprehensive evidence that neither CMB nor lack of discriminant validity represents a methodological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BSAT</w:t>
            </w:r>
          </w:p>
        </w:tc>
        <w:tc>
          <w:tcPr>
            <w:tcW w:w="1600" w:type="dxa"/>
            <w:shd w:val="clear" w:color="auto" w:fill="1F4E79"/>
          </w:tcPr>
          <w:p w14:paraId="3EEC0AF5" w14:textId="77777777" w:rsidR="0069183E" w:rsidRDefault="0069183E" w:rsidP="004962AE">
            <w:pPr>
              <w:jc w:val="center"/>
            </w:pPr>
            <w:r>
              <w:rPr>
                <w:b/>
                <w:color w:val="FFFFFF"/>
                <w:sz w:val="18"/>
                <w:szCs w:val="18"/>
              </w:rPr>
              <w:t>BSUC</w:t>
            </w:r>
          </w:p>
        </w:tc>
        <w:tc>
          <w:tcPr>
            <w:tcW w:w="1600" w:type="dxa"/>
            <w:shd w:val="clear" w:color="auto" w:fill="1F4E79"/>
          </w:tcPr>
          <w:p w14:paraId="006D2BCE" w14:textId="77777777" w:rsidR="0069183E" w:rsidRDefault="0069183E" w:rsidP="004962AE">
            <w:pPr>
              <w:jc w:val="center"/>
            </w:pPr>
            <w:r>
              <w:rPr>
                <w:b/>
                <w:color w:val="FFFFFF"/>
                <w:sz w:val="18"/>
                <w:szCs w:val="18"/>
              </w:rPr>
              <w:t>UX</w:t>
            </w:r>
          </w:p>
        </w:tc>
        <w:tc>
          <w:tcPr>
            <w:tcW w:w="1600" w:type="dxa"/>
            <w:shd w:val="clear" w:color="auto" w:fill="1F4E79"/>
          </w:tcPr>
          <w:p w14:paraId="7736264B" w14:textId="77777777" w:rsidR="0069183E" w:rsidRDefault="0069183E" w:rsidP="004962AE">
            <w:pPr>
              <w:jc w:val="center"/>
            </w:pPr>
            <w:r>
              <w:rPr>
                <w:b/>
                <w:color w:val="FFFFFF"/>
                <w:sz w:val="18"/>
                <w:szCs w:val="18"/>
              </w:rPr>
              <w:t>UE</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BSAT = Brand Satisfaction; BSUC = Brand Success; UX = User Experience; UE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14:paraId="59EF6663" w14:textId="77777777" w:rsidR="00EB6D56" w:rsidRDefault="00EB6D56" w:rsidP="00B31225">
            <w:pPr>
              <w:jc w:val="center"/>
              <w:rPr>
                <w:b/>
                <w:bCs/>
                <w:i/>
                <w:iCs/>
                <w:color w:val="000000" w:themeColor="text1"/>
                <w:sz w:val="20"/>
                <w:szCs w:val="20"/>
              </w:rPr>
            </w:pPr>
          </w:p>
          <w:p w14:paraId="07CF3E9D" w14:textId="77777777" w:rsidR="00EB6D56" w:rsidRDefault="00EB6D56" w:rsidP="00B31225">
            <w:pPr>
              <w:jc w:val="center"/>
              <w:rPr>
                <w:b/>
                <w:bCs/>
                <w:i/>
                <w:iCs/>
                <w:color w:val="000000" w:themeColor="text1"/>
                <w:sz w:val="20"/>
                <w:szCs w:val="20"/>
              </w:rPr>
            </w:pPr>
          </w:p>
          <w:p w14:paraId="3A580ACD" w14:textId="77777777" w:rsidR="00EB6D56" w:rsidRDefault="00EB6D56" w:rsidP="00B31225">
            <w:pPr>
              <w:jc w:val="center"/>
              <w:rPr>
                <w:b/>
                <w:bCs/>
                <w:i/>
                <w:iCs/>
                <w:color w:val="000000" w:themeColor="text1"/>
                <w:sz w:val="20"/>
                <w:szCs w:val="20"/>
              </w:rPr>
            </w:pPr>
          </w:p>
          <w:p w14:paraId="285C4314" w14:textId="2357A8EE" w:rsidR="00EB6D56" w:rsidRPr="003D7AFA" w:rsidRDefault="00EB6D56" w:rsidP="00B31225">
            <w:pPr>
              <w:rPr>
                <w:b/>
                <w:bCs/>
                <w:i/>
                <w:iCs/>
                <w:color w:val="000000" w:themeColor="text1"/>
                <w:sz w:val="20"/>
                <w:szCs w:val="20"/>
              </w:rPr>
            </w:pPr>
            <w:r>
              <w:rPr>
                <w:b/>
                <w:bCs/>
                <w:i/>
                <w:iCs/>
                <w:color w:val="000000" w:themeColor="text1"/>
                <w:sz w:val="20"/>
                <w:szCs w:val="20"/>
              </w:rPr>
              <w:t>0.970</w:t>
            </w:r>
          </w:p>
        </w:tc>
        <w:tc>
          <w:tcPr>
            <w:tcW w:w="525" w:type="pct"/>
            <w:vMerge w:val="restart"/>
            <w:tcBorders>
              <w:top w:val="nil"/>
              <w:left w:val="nil"/>
              <w:right w:val="nil"/>
            </w:tcBorders>
            <w:tcMar>
              <w:top w:w="120" w:type="dxa"/>
              <w:left w:w="120" w:type="dxa"/>
              <w:bottom w:w="30" w:type="dxa"/>
              <w:right w:w="300" w:type="dxa"/>
            </w:tcMar>
          </w:tcPr>
          <w:p w14:paraId="15F71C0C" w14:textId="77777777" w:rsidR="00EB6D56" w:rsidRDefault="00EB6D56" w:rsidP="00B31225">
            <w:pPr>
              <w:jc w:val="both"/>
              <w:rPr>
                <w:b/>
                <w:bCs/>
                <w:i/>
                <w:iCs/>
                <w:color w:val="000000" w:themeColor="text1"/>
                <w:sz w:val="20"/>
                <w:szCs w:val="20"/>
              </w:rPr>
            </w:pPr>
          </w:p>
          <w:p w14:paraId="284F8A2D" w14:textId="77777777" w:rsidR="00EB6D56" w:rsidRPr="00EB6D56" w:rsidRDefault="00EB6D56" w:rsidP="00EB6D56">
            <w:pPr>
              <w:rPr>
                <w:sz w:val="20"/>
                <w:szCs w:val="20"/>
              </w:rPr>
            </w:pPr>
          </w:p>
          <w:p w14:paraId="2BD5FA9E" w14:textId="77777777" w:rsidR="00EB6D56" w:rsidRDefault="00EB6D56" w:rsidP="00EB6D56">
            <w:pPr>
              <w:rPr>
                <w:b/>
                <w:bCs/>
                <w:i/>
                <w:iCs/>
                <w:color w:val="000000" w:themeColor="text1"/>
                <w:sz w:val="20"/>
                <w:szCs w:val="20"/>
              </w:rPr>
            </w:pPr>
          </w:p>
          <w:p w14:paraId="76861F18" w14:textId="79EE8A23" w:rsidR="00EB6D56" w:rsidRPr="003D7AFA" w:rsidRDefault="00EB6D56" w:rsidP="00EB6D56">
            <w:pPr>
              <w:rPr>
                <w:sz w:val="20"/>
                <w:szCs w:val="20"/>
              </w:rPr>
            </w:pPr>
            <w:r w:rsidRPr="00EB6D56">
              <w:rPr>
                <w:b/>
                <w:bCs/>
                <w:i/>
                <w:iCs/>
                <w:color w:val="000000" w:themeColor="text1"/>
                <w:sz w:val="20"/>
                <w:szCs w:val="20"/>
              </w:rPr>
              <w:t>0.865</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14:paraId="45FA7CA7" w14:textId="77777777" w:rsidR="00EB6D56" w:rsidRDefault="00EB6D56" w:rsidP="00B31225">
            <w:pPr>
              <w:jc w:val="both"/>
              <w:rPr>
                <w:b/>
                <w:bCs/>
                <w:i/>
                <w:iCs/>
                <w:color w:val="000000" w:themeColor="text1"/>
                <w:sz w:val="20"/>
                <w:szCs w:val="20"/>
              </w:rPr>
            </w:pPr>
          </w:p>
          <w:p w14:paraId="79C48F9F" w14:textId="77777777" w:rsidR="00EB6D56" w:rsidRDefault="00EB6D56" w:rsidP="00B31225">
            <w:pPr>
              <w:jc w:val="both"/>
              <w:rPr>
                <w:b/>
                <w:bCs/>
                <w:i/>
                <w:iCs/>
                <w:color w:val="000000" w:themeColor="text1"/>
                <w:sz w:val="20"/>
                <w:szCs w:val="20"/>
              </w:rPr>
            </w:pPr>
          </w:p>
          <w:p w14:paraId="56591FAB" w14:textId="77777777" w:rsidR="00EB6D56" w:rsidRDefault="00EB6D56" w:rsidP="00B31225">
            <w:pPr>
              <w:jc w:val="both"/>
              <w:rPr>
                <w:b/>
                <w:bCs/>
                <w:i/>
                <w:iCs/>
                <w:color w:val="000000" w:themeColor="text1"/>
                <w:sz w:val="20"/>
                <w:szCs w:val="20"/>
              </w:rPr>
            </w:pPr>
          </w:p>
          <w:p w14:paraId="6A5F341C" w14:textId="77777777" w:rsidR="00EB6D56" w:rsidRDefault="00EB6D56" w:rsidP="00B31225">
            <w:pPr>
              <w:jc w:val="both"/>
              <w:rPr>
                <w:b/>
                <w:bCs/>
                <w:i/>
                <w:iCs/>
                <w:color w:val="000000" w:themeColor="text1"/>
                <w:sz w:val="20"/>
                <w:szCs w:val="20"/>
              </w:rPr>
            </w:pPr>
          </w:p>
          <w:p w14:paraId="15ED6971" w14:textId="77777777" w:rsidR="00EB6D56" w:rsidRDefault="00EB6D56" w:rsidP="00B31225">
            <w:pPr>
              <w:jc w:val="both"/>
              <w:rPr>
                <w:b/>
                <w:bCs/>
                <w:i/>
                <w:iCs/>
                <w:color w:val="000000" w:themeColor="text1"/>
                <w:sz w:val="20"/>
                <w:szCs w:val="20"/>
              </w:rPr>
            </w:pPr>
          </w:p>
          <w:p w14:paraId="2FE03796" w14:textId="77777777" w:rsidR="00EB6D56" w:rsidRDefault="00EB6D56" w:rsidP="00B31225">
            <w:pPr>
              <w:jc w:val="both"/>
              <w:rPr>
                <w:b/>
                <w:bCs/>
                <w:i/>
                <w:iCs/>
                <w:color w:val="000000" w:themeColor="text1"/>
                <w:sz w:val="20"/>
                <w:szCs w:val="20"/>
              </w:rPr>
            </w:pPr>
          </w:p>
          <w:p w14:paraId="167E9ECB" w14:textId="692D6A85" w:rsidR="00EB6D56" w:rsidRPr="003D7AFA" w:rsidRDefault="00EB6D56" w:rsidP="00B31225">
            <w:pPr>
              <w:jc w:val="both"/>
              <w:rPr>
                <w:b/>
                <w:bCs/>
                <w:i/>
                <w:iCs/>
                <w:color w:val="000000" w:themeColor="text1"/>
                <w:sz w:val="20"/>
                <w:szCs w:val="20"/>
              </w:rPr>
            </w:pPr>
            <w:r>
              <w:rPr>
                <w:b/>
                <w:bCs/>
                <w:i/>
                <w:iCs/>
                <w:color w:val="000000" w:themeColor="text1"/>
                <w:sz w:val="20"/>
                <w:szCs w:val="20"/>
              </w:rPr>
              <w:t>0.982</w:t>
            </w:r>
          </w:p>
        </w:tc>
        <w:tc>
          <w:tcPr>
            <w:tcW w:w="525" w:type="pct"/>
            <w:vMerge w:val="restart"/>
            <w:tcBorders>
              <w:top w:val="nil"/>
              <w:left w:val="nil"/>
              <w:right w:val="nil"/>
            </w:tcBorders>
            <w:tcMar>
              <w:top w:w="120" w:type="dxa"/>
              <w:left w:w="120" w:type="dxa"/>
              <w:bottom w:w="30" w:type="dxa"/>
              <w:right w:w="300" w:type="dxa"/>
            </w:tcMar>
          </w:tcPr>
          <w:p w14:paraId="500010A5" w14:textId="77777777" w:rsidR="00EB6D56" w:rsidRDefault="00EB6D56" w:rsidP="00B31225">
            <w:pPr>
              <w:jc w:val="both"/>
              <w:rPr>
                <w:b/>
                <w:bCs/>
                <w:i/>
                <w:iCs/>
                <w:color w:val="000000" w:themeColor="text1"/>
                <w:sz w:val="20"/>
                <w:szCs w:val="20"/>
              </w:rPr>
            </w:pPr>
          </w:p>
          <w:p w14:paraId="5A70DF72" w14:textId="77777777" w:rsidR="00EB6D56" w:rsidRDefault="00EB6D56" w:rsidP="00B31225">
            <w:pPr>
              <w:jc w:val="both"/>
              <w:rPr>
                <w:b/>
                <w:bCs/>
                <w:i/>
                <w:iCs/>
                <w:color w:val="000000" w:themeColor="text1"/>
                <w:sz w:val="20"/>
                <w:szCs w:val="20"/>
              </w:rPr>
            </w:pPr>
          </w:p>
          <w:p w14:paraId="1DCC83A2" w14:textId="77777777" w:rsidR="00EB6D56" w:rsidRDefault="00EB6D56" w:rsidP="00B31225">
            <w:pPr>
              <w:jc w:val="both"/>
              <w:rPr>
                <w:b/>
                <w:bCs/>
                <w:i/>
                <w:iCs/>
                <w:color w:val="000000" w:themeColor="text1"/>
                <w:sz w:val="20"/>
                <w:szCs w:val="20"/>
              </w:rPr>
            </w:pPr>
          </w:p>
          <w:p w14:paraId="1746AEA7" w14:textId="77777777" w:rsidR="00EB6D56" w:rsidRDefault="00EB6D56" w:rsidP="00B31225">
            <w:pPr>
              <w:jc w:val="both"/>
              <w:rPr>
                <w:b/>
                <w:bCs/>
                <w:i/>
                <w:iCs/>
                <w:color w:val="000000" w:themeColor="text1"/>
                <w:sz w:val="20"/>
                <w:szCs w:val="20"/>
              </w:rPr>
            </w:pPr>
          </w:p>
          <w:p w14:paraId="58350EAA" w14:textId="77777777" w:rsidR="00EB6D56" w:rsidRDefault="00EB6D56" w:rsidP="00B31225">
            <w:pPr>
              <w:jc w:val="both"/>
              <w:rPr>
                <w:b/>
                <w:bCs/>
                <w:i/>
                <w:iCs/>
                <w:color w:val="000000" w:themeColor="text1"/>
                <w:sz w:val="20"/>
                <w:szCs w:val="20"/>
              </w:rPr>
            </w:pPr>
          </w:p>
          <w:p w14:paraId="08F811E5" w14:textId="77777777" w:rsidR="00EB6D56" w:rsidRDefault="00EB6D56" w:rsidP="00B31225">
            <w:pPr>
              <w:jc w:val="both"/>
              <w:rPr>
                <w:b/>
                <w:bCs/>
                <w:i/>
                <w:iCs/>
                <w:color w:val="000000" w:themeColor="text1"/>
                <w:sz w:val="20"/>
                <w:szCs w:val="20"/>
              </w:rPr>
            </w:pPr>
          </w:p>
          <w:p w14:paraId="129E9B67" w14:textId="32293E1F" w:rsidR="00EB6D56" w:rsidRPr="003D7AFA" w:rsidRDefault="00EB6D56" w:rsidP="00B31225">
            <w:pPr>
              <w:jc w:val="both"/>
              <w:rPr>
                <w:b/>
                <w:bCs/>
                <w:i/>
                <w:iCs/>
                <w:color w:val="000000" w:themeColor="text1"/>
                <w:sz w:val="20"/>
                <w:szCs w:val="20"/>
              </w:rPr>
            </w:pPr>
            <w:r>
              <w:rPr>
                <w:b/>
                <w:bCs/>
                <w:i/>
                <w:iCs/>
                <w:color w:val="000000" w:themeColor="text1"/>
                <w:sz w:val="20"/>
                <w:szCs w:val="20"/>
              </w:rPr>
              <w:t>0.848</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14:paraId="20AD2FB5" w14:textId="77777777" w:rsidR="00EB6D56" w:rsidRDefault="00EB6D56" w:rsidP="00B31225">
            <w:pPr>
              <w:jc w:val="both"/>
              <w:rPr>
                <w:b/>
                <w:bCs/>
                <w:i/>
                <w:iCs/>
                <w:color w:val="000000" w:themeColor="text1"/>
                <w:sz w:val="20"/>
                <w:szCs w:val="20"/>
              </w:rPr>
            </w:pPr>
          </w:p>
          <w:p w14:paraId="76473A35" w14:textId="77777777" w:rsidR="00EB6D56" w:rsidRDefault="00EB6D56" w:rsidP="00B31225">
            <w:pPr>
              <w:jc w:val="both"/>
              <w:rPr>
                <w:b/>
                <w:bCs/>
                <w:i/>
                <w:iCs/>
                <w:color w:val="000000" w:themeColor="text1"/>
                <w:sz w:val="20"/>
                <w:szCs w:val="20"/>
              </w:rPr>
            </w:pPr>
          </w:p>
          <w:p w14:paraId="44C04DF6" w14:textId="77777777" w:rsidR="00EB6D56" w:rsidRDefault="00EB6D56" w:rsidP="00B31225">
            <w:pPr>
              <w:jc w:val="both"/>
              <w:rPr>
                <w:b/>
                <w:bCs/>
                <w:i/>
                <w:iCs/>
                <w:color w:val="000000" w:themeColor="text1"/>
                <w:sz w:val="20"/>
                <w:szCs w:val="20"/>
              </w:rPr>
            </w:pPr>
          </w:p>
          <w:p w14:paraId="443D91C3" w14:textId="77777777" w:rsidR="00EB6D56" w:rsidRDefault="00EB6D56" w:rsidP="00B31225">
            <w:pPr>
              <w:jc w:val="both"/>
              <w:rPr>
                <w:b/>
                <w:bCs/>
                <w:i/>
                <w:iCs/>
                <w:color w:val="000000" w:themeColor="text1"/>
                <w:sz w:val="20"/>
                <w:szCs w:val="20"/>
              </w:rPr>
            </w:pPr>
          </w:p>
          <w:p w14:paraId="6F9EE675" w14:textId="77777777" w:rsidR="00EB6D56" w:rsidRDefault="00EB6D56" w:rsidP="00B31225">
            <w:pPr>
              <w:jc w:val="both"/>
              <w:rPr>
                <w:b/>
                <w:bCs/>
                <w:i/>
                <w:iCs/>
                <w:color w:val="000000" w:themeColor="text1"/>
                <w:sz w:val="20"/>
                <w:szCs w:val="20"/>
              </w:rPr>
            </w:pPr>
          </w:p>
          <w:p w14:paraId="09E35C3C" w14:textId="77777777" w:rsidR="00EB6D56" w:rsidRDefault="00EB6D56" w:rsidP="00B31225">
            <w:pPr>
              <w:jc w:val="both"/>
              <w:rPr>
                <w:b/>
                <w:bCs/>
                <w:i/>
                <w:iCs/>
                <w:color w:val="000000" w:themeColor="text1"/>
                <w:sz w:val="20"/>
                <w:szCs w:val="20"/>
              </w:rPr>
            </w:pPr>
          </w:p>
          <w:p w14:paraId="247CC73A" w14:textId="3DFC0F4A" w:rsidR="00EB6D56" w:rsidRPr="003D7AFA" w:rsidRDefault="00EB6D56" w:rsidP="00B31225">
            <w:pPr>
              <w:jc w:val="both"/>
              <w:rPr>
                <w:b/>
                <w:bCs/>
                <w:i/>
                <w:iCs/>
                <w:color w:val="000000" w:themeColor="text1"/>
                <w:sz w:val="20"/>
                <w:szCs w:val="20"/>
              </w:rPr>
            </w:pPr>
            <w:r>
              <w:rPr>
                <w:b/>
                <w:bCs/>
                <w:i/>
                <w:iCs/>
                <w:color w:val="000000" w:themeColor="text1"/>
                <w:sz w:val="20"/>
                <w:szCs w:val="20"/>
              </w:rPr>
              <w:t>0.983</w:t>
            </w:r>
          </w:p>
        </w:tc>
        <w:tc>
          <w:tcPr>
            <w:tcW w:w="525" w:type="pct"/>
            <w:vMerge w:val="restart"/>
            <w:tcBorders>
              <w:top w:val="nil"/>
              <w:left w:val="nil"/>
              <w:right w:val="nil"/>
            </w:tcBorders>
            <w:tcMar>
              <w:top w:w="120" w:type="dxa"/>
              <w:left w:w="120" w:type="dxa"/>
              <w:bottom w:w="30" w:type="dxa"/>
              <w:right w:w="300" w:type="dxa"/>
            </w:tcMar>
          </w:tcPr>
          <w:p w14:paraId="1242D028" w14:textId="77777777" w:rsidR="00EB6D56" w:rsidRDefault="00EB6D56" w:rsidP="00B31225">
            <w:pPr>
              <w:jc w:val="both"/>
              <w:rPr>
                <w:b/>
                <w:bCs/>
                <w:i/>
                <w:iCs/>
                <w:color w:val="000000" w:themeColor="text1"/>
                <w:sz w:val="20"/>
                <w:szCs w:val="20"/>
              </w:rPr>
            </w:pPr>
          </w:p>
          <w:p w14:paraId="1040A44D" w14:textId="77777777" w:rsidR="00EB6D56" w:rsidRDefault="00EB6D56" w:rsidP="00B31225">
            <w:pPr>
              <w:jc w:val="both"/>
              <w:rPr>
                <w:b/>
                <w:bCs/>
                <w:i/>
                <w:iCs/>
                <w:color w:val="000000" w:themeColor="text1"/>
                <w:sz w:val="20"/>
                <w:szCs w:val="20"/>
              </w:rPr>
            </w:pPr>
          </w:p>
          <w:p w14:paraId="631142FC" w14:textId="77777777" w:rsidR="00EB6D56" w:rsidRDefault="00EB6D56" w:rsidP="00B31225">
            <w:pPr>
              <w:jc w:val="both"/>
              <w:rPr>
                <w:b/>
                <w:bCs/>
                <w:i/>
                <w:iCs/>
                <w:color w:val="000000" w:themeColor="text1"/>
                <w:sz w:val="20"/>
                <w:szCs w:val="20"/>
              </w:rPr>
            </w:pPr>
          </w:p>
          <w:p w14:paraId="44867D77" w14:textId="77777777" w:rsidR="00EB6D56" w:rsidRDefault="00EB6D56" w:rsidP="00B31225">
            <w:pPr>
              <w:jc w:val="both"/>
              <w:rPr>
                <w:b/>
                <w:bCs/>
                <w:i/>
                <w:iCs/>
                <w:color w:val="000000" w:themeColor="text1"/>
                <w:sz w:val="20"/>
                <w:szCs w:val="20"/>
              </w:rPr>
            </w:pPr>
          </w:p>
          <w:p w14:paraId="5C4A10A5" w14:textId="77777777" w:rsidR="00EB6D56" w:rsidRDefault="00EB6D56" w:rsidP="00B31225">
            <w:pPr>
              <w:jc w:val="both"/>
              <w:rPr>
                <w:b/>
                <w:bCs/>
                <w:i/>
                <w:iCs/>
                <w:color w:val="000000" w:themeColor="text1"/>
                <w:sz w:val="20"/>
                <w:szCs w:val="20"/>
              </w:rPr>
            </w:pPr>
          </w:p>
          <w:p w14:paraId="1F6043EB" w14:textId="77777777" w:rsidR="00EB6D56" w:rsidRDefault="00EB6D56" w:rsidP="00B31225">
            <w:pPr>
              <w:jc w:val="both"/>
              <w:rPr>
                <w:b/>
                <w:bCs/>
                <w:i/>
                <w:iCs/>
                <w:color w:val="000000" w:themeColor="text1"/>
                <w:sz w:val="20"/>
                <w:szCs w:val="20"/>
              </w:rPr>
            </w:pPr>
          </w:p>
          <w:p w14:paraId="61F3B71D" w14:textId="50DD43B0" w:rsidR="00EB6D56" w:rsidRPr="003D7AFA" w:rsidRDefault="00EB6D56" w:rsidP="00B31225">
            <w:pPr>
              <w:jc w:val="both"/>
              <w:rPr>
                <w:b/>
                <w:bCs/>
                <w:i/>
                <w:iCs/>
                <w:color w:val="000000" w:themeColor="text1"/>
                <w:sz w:val="20"/>
                <w:szCs w:val="20"/>
              </w:rPr>
            </w:pPr>
            <w:r>
              <w:rPr>
                <w:b/>
                <w:bCs/>
                <w:i/>
                <w:iCs/>
                <w:color w:val="000000" w:themeColor="text1"/>
                <w:sz w:val="20"/>
                <w:szCs w:val="20"/>
              </w:rPr>
              <w:t>0.855</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14:paraId="531826EB" w14:textId="77777777" w:rsidR="00B31225" w:rsidRDefault="00B31225" w:rsidP="00B31225">
            <w:pPr>
              <w:jc w:val="both"/>
              <w:rPr>
                <w:b/>
                <w:bCs/>
                <w:i/>
                <w:iCs/>
                <w:color w:val="000000" w:themeColor="text1"/>
                <w:sz w:val="20"/>
                <w:szCs w:val="20"/>
              </w:rPr>
            </w:pPr>
          </w:p>
          <w:p w14:paraId="0AD583A1" w14:textId="77777777" w:rsidR="00B31225" w:rsidRDefault="00B31225" w:rsidP="00B31225">
            <w:pPr>
              <w:jc w:val="both"/>
              <w:rPr>
                <w:b/>
                <w:bCs/>
                <w:i/>
                <w:iCs/>
                <w:color w:val="000000" w:themeColor="text1"/>
                <w:sz w:val="20"/>
                <w:szCs w:val="20"/>
              </w:rPr>
            </w:pPr>
          </w:p>
          <w:p w14:paraId="41897421" w14:textId="6099E43B" w:rsidR="00B31225" w:rsidRPr="003D7AFA" w:rsidRDefault="00B31225" w:rsidP="00B31225">
            <w:pPr>
              <w:jc w:val="both"/>
              <w:rPr>
                <w:b/>
                <w:bCs/>
                <w:i/>
                <w:iCs/>
                <w:color w:val="000000" w:themeColor="text1"/>
                <w:sz w:val="20"/>
                <w:szCs w:val="20"/>
              </w:rPr>
            </w:pPr>
            <w:r>
              <w:rPr>
                <w:b/>
                <w:bCs/>
                <w:i/>
                <w:iCs/>
                <w:color w:val="000000" w:themeColor="text1"/>
                <w:sz w:val="20"/>
                <w:szCs w:val="20"/>
              </w:rPr>
              <w:t>0.959</w:t>
            </w:r>
          </w:p>
        </w:tc>
        <w:tc>
          <w:tcPr>
            <w:tcW w:w="525" w:type="pct"/>
            <w:tcBorders>
              <w:top w:val="nil"/>
              <w:left w:val="nil"/>
              <w:bottom w:val="nil"/>
              <w:right w:val="nil"/>
            </w:tcBorders>
            <w:tcMar>
              <w:top w:w="120" w:type="dxa"/>
              <w:left w:w="120" w:type="dxa"/>
              <w:bottom w:w="30" w:type="dxa"/>
              <w:right w:w="300" w:type="dxa"/>
            </w:tcMar>
          </w:tcPr>
          <w:p w14:paraId="5138E3FD" w14:textId="1E6CD997"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0E37F5D7" w14:textId="47363CE9" w:rsidR="00B31225" w:rsidRPr="003D7AFA" w:rsidRDefault="00EB6D56" w:rsidP="00B31225">
            <w:pPr>
              <w:jc w:val="both"/>
              <w:rPr>
                <w:b/>
                <w:bCs/>
                <w:i/>
                <w:iCs/>
                <w:color w:val="000000" w:themeColor="text1"/>
                <w:sz w:val="20"/>
                <w:szCs w:val="20"/>
              </w:rPr>
            </w:pPr>
            <w:r>
              <w:rPr>
                <w:b/>
                <w:bCs/>
                <w:i/>
                <w:iCs/>
                <w:color w:val="000000" w:themeColor="text1"/>
                <w:sz w:val="20"/>
                <w:szCs w:val="20"/>
              </w:rPr>
              <w:t>0.854</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3E9A944C" w14:textId="47809235"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14:paraId="574B3934" w14:textId="177B900A" w:rsidR="00B31225" w:rsidRPr="003D7AFA" w:rsidRDefault="00B31225" w:rsidP="00B31225">
            <w:pPr>
              <w:jc w:val="both"/>
              <w:rPr>
                <w:b/>
                <w:bCs/>
                <w:i/>
                <w:iCs/>
                <w:color w:val="000000" w:themeColor="text1"/>
                <w:sz w:val="20"/>
                <w:szCs w:val="20"/>
              </w:rPr>
            </w:pP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t>UE: User Engagement, UX: User Experience, BSAT: Brand Satisfaction, BSUC: Brand Success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ab/>
        <w:t xml:space="preserve">Figure 3 presents the correlation matrix generated using Jamovi software, which visually depicts the relationships among the variables BSAT_1, BSAT_2, BSAT_3, BSAT_4 and BSAT_5; UE_1 , UE_2, UE_3, UE_4, UE_5, UE_6, UE_7, </w:t>
      </w:r>
      <w:r>
        <w:rPr/>
        <w:t>UE_8</w:t>
      </w:r>
      <w:r>
        <w:t>, UE_9 and UE_10,UX_1, UX_2, UX_3, UX_4, UX_5, UX_6, UX_7, UX_8, UX_9and UX_10, BSUC_1,BSUC_2, BSUC_3 and BSUC_4, based on Pearson correlation coefficients. 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 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3.</w:t>
      </w:r>
    </w:p>
    <w:p w14:paraId="608CE07C" w14:textId="676AA1D7" w:rsidR="00FD5EFD" w:rsidRPr="00FD5EFD" w:rsidRDefault="00FD5EFD" w:rsidP="00FD5EFD">
      <w:pPr>
        <w:tabs>
          <w:tab w:val="left" w:pos="426"/>
        </w:tabs>
        <w:spacing w:line="360" w:lineRule="auto"/>
        <w:jc w:val="both"/>
        <w:rPr>
          <w:color w:val="000000" w:themeColor="text1"/>
        </w:rPr>
      </w:pPr>
      <w:r w:rsidRPr="00FD5EFD">
        <w:rPr>
          <w:color w:val="000000" w:themeColor="text1"/>
        </w:rPr>
        <w:t>Cronbach’s alpha and composite reliability values exceeded the recommended threshold of 0.70 for all constructs, indicating excellent internal consistency. Specifically, Brand Satisfaction (BSAT_1–BSAT_5) demonstrated a Cronbach’s alpha of 0.962 and CR of 0.968, Brand Success (BSUC_1–BSUC_4) yielded α = 0.959 and CR = 0.963, User Experience (UX_1–UX_10) had α = 0.983 and CR = 0.985, and User Engagement (UE_1–UE_10) achieved α = 0.979 and CR = 0.982.</w:t>
      </w:r>
    </w:p>
    <w:p w14:paraId="0F24E97F" w14:textId="63C3BE5B" w:rsidR="004D6242" w:rsidRPr="00FD5EFD" w:rsidRDefault="00FD5EFD" w:rsidP="00FD5EFD">
      <w:pPr>
        <w:tabs>
          <w:tab w:val="left" w:pos="426"/>
        </w:tabs>
        <w:spacing w:line="360" w:lineRule="auto"/>
        <w:jc w:val="both"/>
        <w:rPr>
          <w:color w:val="000000" w:themeColor="text1"/>
        </w:rPr>
      </w:pPr>
      <w:r>
        <w:t>All standardised item loadings were positive and significant, and the inter-item correlations within each construct were uniformly high (Figure 3), indicating cohesive, one-dimensional measurement. Brand Satisfaction items (Figure 3a) correlated between 0.85 and 0.88; Brand Success items (Figure 3b) between 0.84 and 0.87; and User Experience (Figure 3c) and User Engagement (Figure 3d) items between 0.83 and 0.87. No correlation approached the multicollinearity ceiling of 0.95, indicating that each item contributed unique information to its construct.</w:t>
      </w:r>
    </w:p>
    <w:p>
      <w:r>
        <w:t>As a further discriminant-validity check, the square root of the AVE for each construct (0.921 for UE, 0.925 for UX, 0.930 for BSAT and 0.924 for BSUC) exceeded that construct’s HTMT ratios with the others (all ≤ 0.814; Table 2a), satisfying the Fornell–Larcker criterion and corroborating the HTMT evidence of discriminant validity.</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rsidRPr="000A6468">
        <w:rPr>
          <w:i/>
          <w:iCs/>
          <w:color w:val="000000" w:themeColor="text1"/>
          <w:sz w:val="20"/>
          <w:szCs w:val="20"/>
        </w:rPr>
        <w:t>Pearson correlation heatmaps for measurement items: (a) Brand Satisfaction (BSAT_1 to BSAT_5), (b) Brand Success (BSUC_1 to BSUC_4), (c) User Experience (UX_1 to UX_10), and (d) User Engagement (UE_1 to UE_10), illustrating consistently high positive inter-item correlations across all constructs.</w:t>
      </w:r>
      <w:r w:rsidR="00B333C0">
        <w:rPr>
          <w:i/>
          <w:iCs/>
          <w:color w:val="000000" w:themeColor="text1"/>
          <w:sz w:val="20"/>
          <w:szCs w:val="20"/>
        </w:rPr>
        <w:tab/>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t xml:space="preserve">To analyse the collected data and derive meaningful results related to user engagement (UE), user experience (UX), brand satisfaction (BSAT), and brand success (BSUC), FsQCA, a technique for coding known as "alignment" (Ragin, 2008) was initially finished first, which comprised of figuring the level that it is essential for each variable in the two its causative circumstances and its result. </w:t>
      </w:r>
    </w:p>
    <w:p w14:paraId="1A73DEFA" w14:textId="67305CD1" w:rsidR="008871CF" w:rsidRPr="0043234C" w:rsidRDefault="007648C5" w:rsidP="007648C5">
      <w:pPr>
        <w:tabs>
          <w:tab w:val="left" w:pos="426"/>
        </w:tabs>
        <w:spacing w:line="360" w:lineRule="auto"/>
        <w:jc w:val="both"/>
        <w:rPr>
          <w:color w:val="000000" w:themeColor="text1"/>
        </w:rPr>
      </w:pPr>
      <w:r>
        <w:tab/>
        <w:t xml:space="preserve">Subsequently, the reactions were aligned involving three cut-off points for setting an underlying scale into a fuzzy set scale (Douglas et al., 2020): 5% (low understanding or all the way out of the class), half (middle degree of understanding or neither in nor out of the classification), and 95% (high understanding or totally in the class).The values assigned to the calibration of User Engagement (UE), User Experience (UX), Brand Satisfaction (BSAT), and Brand Success (BSUC) indicate the transformation of these variables into a common scale ranging from 0 to 1. </w:t>
      </w:r>
    </w:p>
    <w:p w14:paraId="3B3A50B7" w14:textId="20120ACB" w:rsidR="00201257" w:rsidRPr="0043234C" w:rsidRDefault="00201257" w:rsidP="00B379F7">
      <w:pPr>
        <w:spacing w:line="360" w:lineRule="auto"/>
        <w:ind w:firstLine="426"/>
        <w:jc w:val="both"/>
        <w:rPr>
          <w:color w:val="000000" w:themeColor="text1"/>
        </w:rPr>
      </w:pPr>
      <w:r>
        <w:rPr/>
        <w:t>Following standard fsQCA practice (Ragin, 2008), each construct was calibrated into set-membership scores using three qualitative anchors: the 95th percentile as the threshold for full membership (fuzzy score = 0.95), the 50th percentile as the crossover point of maximum ambiguity (0.50), and the 5th percentile as the threshold for full non-membership (0.05). Membership scores are therefore bounded between 0 and 1, with the 0.05 and 0.95 anchors denoting near-full non-membership and near-full membership rather than the raw minimum and maximum of the measurement scale.</w:t>
      </w:r>
      <w:r>
        <w:t xml:space="preserve">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 as shown in Table 3.</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t>This indicates the model used for the analysis, where BSAT, UX, and UE are the input variables influencing the outcome variable BSUC. The function "f" represents the relationship between the variables.  The presented Intermediate solution, as shown in Table 3, involves a model with the equation BSUC = f (BSAT, UX, UE). This model seeks to reflect the relationship between the input variables BSAT, UX, UE, and the outcome variable BSUC. Besides the limited potential to develop new methods for each element that can be seen in the logic of the programming languages that depend on completeness, Table provides different metrics to evaluate the performance of different combinations of variables. However, a raw coverage metric tells us which combination of variables the most proportion of data points of the dataset are explained, for example, the pair of BSAT and UX explains about 20.84% of the total data points followed by BSAT and UE around 24.15%, and the duo of UX and UE showing about 21.90% respectively. One part of the unique coverage measures the total number of unique (unrepeated) data points that were zoomed in on by the model. For example, one or the other of BSAT x UX, BSAT x UE, or UX x UE cover 3.59%, 6.90% or 4.65% of unique data points, respectively.</w:t>
      </w:r>
    </w:p>
    <w:p w14:paraId="653FDA47" w14:textId="79C7CCF7" w:rsidR="006D3229" w:rsidRDefault="005170CF" w:rsidP="008871CF">
      <w:pPr>
        <w:spacing w:line="360" w:lineRule="auto"/>
        <w:ind w:firstLine="426"/>
        <w:jc w:val="both"/>
        <w:rPr>
          <w:color w:val="000000" w:themeColor="text1"/>
        </w:rPr>
      </w:pPr>
      <w: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4. BSAT x UX has a consistency of 0.650, BSAT x UE has a consistency of 0.669, and UX x UE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 </w:t>
      </w:r>
    </w:p>
    <w:p w14:paraId="313095BF" w14:textId="48A3C7A1" w:rsidR="009D2FA9" w:rsidRPr="0043234C" w:rsidRDefault="00AF1DC4" w:rsidP="008871CF">
      <w:pPr>
        <w:spacing w:line="360" w:lineRule="auto"/>
        <w:ind w:firstLine="426"/>
        <w:jc w:val="both"/>
        <w:rPr>
          <w:color w:val="000000" w:themeColor="text1"/>
        </w:rPr>
      </w:pPr>
      <w:r>
        <w:t>Figure 4 shows the framework for Brand Success in the Metaverse. The model illustrates the proposed relationships between User Experience (UX), User Engagement (UE), Users' Brand Satisfaction (BSAT), and Brand Success (BSUC) in the Metaverse.</w:t>
      </w:r>
    </w:p>
    <w:p w14:paraId="3357F0A7" w14:textId="452312B9" w:rsidR="00984644" w:rsidRPr="0043234C" w:rsidRDefault="00984644" w:rsidP="00984644">
      <w:pPr>
        <w:spacing w:line="360" w:lineRule="auto"/>
        <w:ind w:firstLine="426"/>
        <w:jc w:val="both"/>
        <w:rPr>
          <w:color w:val="000000" w:themeColor="text1"/>
        </w:rPr>
      </w:pPr>
      <w:r>
        <w:rPr/>
        <w:t>The fsQCA subset–superset analysis was used to examine how user experience (UX), user engagement (UE) and brand satisfaction (BSAT) combine as conditions for brand success (BSUC) within the conceptual model. The model specifies these three constructs as the antecedent conditions whose configurations are evaluated for sufficiency in producing high brand success.</w:t>
      </w:r>
    </w:p>
    <w:p w14:paraId="4FB80079" w14:textId="77777777" w:rsidR="00984644" w:rsidRPr="0043234C" w:rsidRDefault="00984644" w:rsidP="00984644">
      <w:pPr>
        <w:spacing w:line="360" w:lineRule="auto"/>
        <w:ind w:firstLine="426"/>
        <w:jc w:val="both"/>
        <w:rPr>
          <w:color w:val="000000" w:themeColor="text1"/>
        </w:rPr>
      </w:pPr>
      <w:r>
        <w:t xml:space="preserve">In the conceptual model, User Experience, User Engagement, and Brand Satisfaction are identified as the primary factors that contribute to Brand Success. The validation of the conceptual model by the subset-superset analysis is carried out by empirically investigating the configurations of conditions that lead to Brand Success. We used subset-superset analysis to arrive at the conditions we see as necessary and sufficient for what we call Brand Success. We wanted to find out what it takes for a brand to succeed and how various factors interact in the process. The analysis gives us our best shot at naming the vital combination of influences we see as leading to Brand Success. </w:t>
      </w:r>
      <w:r>
        <w:rPr/>
        <w:t>At the configurational level, the analysis identifies which combinations of user experience, user engagement and brand satisfaction are jointly sufficient for high brand success, rather than estimating a single directional path among them.</w:t>
      </w:r>
      <w:r>
        <w:t xml:space="preserve"> </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2293620"/>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48337" cy="229942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w:t>
      </w:r>
      <w:r w:rsidR="008871CF" w:rsidRPr="0043234C">
        <w:rPr>
          <w:b/>
          <w:bCs/>
          <w:i/>
          <w:iCs/>
          <w:color w:val="000000" w:themeColor="text1"/>
        </w:rPr>
        <w:t>ure</w:t>
      </w:r>
      <w:r w:rsidRPr="0043234C">
        <w:rPr>
          <w:b/>
          <w:bCs/>
          <w:i/>
          <w:iCs/>
          <w:color w:val="000000" w:themeColor="text1"/>
        </w:rPr>
        <w:t xml:space="preserve"> </w:t>
      </w:r>
      <w:r w:rsidR="00EE5E3D" w:rsidRPr="0043234C">
        <w:rPr>
          <w:b/>
          <w:bCs/>
          <w:i/>
          <w:iCs/>
          <w:color w:val="000000" w:themeColor="text1"/>
        </w:rPr>
        <w:t>4</w:t>
      </w:r>
      <w:r w:rsidRPr="0043234C">
        <w:rPr>
          <w:b/>
          <w:bCs/>
          <w:i/>
          <w:iCs/>
          <w:color w:val="000000" w:themeColor="text1"/>
        </w:rPr>
        <w:t>.</w:t>
      </w:r>
      <w:r w:rsidR="00FF1A69" w:rsidRPr="0043234C">
        <w:rPr>
          <w:b/>
          <w:bCs/>
          <w:i/>
          <w:iCs/>
          <w:color w:val="000000" w:themeColor="text1"/>
        </w:rPr>
        <w:t xml:space="preserve"> Drivers of Brand Success in the Metaverse.</w:t>
      </w:r>
      <w:r w:rsidR="00ED17BF" w:rsidRPr="0043234C">
        <w:rPr>
          <w:i/>
          <w:iCs/>
          <w:color w:val="000000" w:themeColor="text1"/>
        </w:rPr>
        <w:tab/>
      </w:r>
      <w:r w:rsidR="00ED17BF" w:rsidRPr="0043234C">
        <w:rPr>
          <w:i/>
          <w:iCs/>
          <w:color w:val="000000" w:themeColor="text1"/>
        </w:rPr>
        <w:tab/>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E6573F5" w14:textId="5E21750F" w:rsidR="00A2512A" w:rsidRPr="0043234C" w:rsidRDefault="00983A07" w:rsidP="00B379F7">
      <w:pPr>
        <w:spacing w:line="360" w:lineRule="auto"/>
        <w:ind w:firstLine="426"/>
        <w:jc w:val="both"/>
        <w:rPr>
          <w:color w:val="000000" w:themeColor="text1"/>
        </w:rPr>
      </w:pPr>
      <w:r w:rsidRPr="0043234C">
        <w:rPr>
          <w:color w:val="000000" w:themeColor="text1"/>
        </w:rPr>
        <w:t xml:space="preserve">On another level, we saw how those three variables interact and how certain scenarios involving them play out in ways that lead to the model's endpoint—Brand Success. </w:t>
      </w:r>
      <w:r w:rsidR="007D1E36" w:rsidRPr="0043234C">
        <w:rPr>
          <w:color w:val="000000" w:themeColor="text1"/>
        </w:rPr>
        <w:t>The concept of subset-superset analysis has brought together the idea of the conceptual model with empirical data by providing insights into the specific relationships and the configurations of conditions that contribute to Brand Success. It has also helped to validate and refine the conceptual model by demonstrating the real-world bases of the proposed model and stressing the major factors that influence Brand Success in situations such as User Experience, User Engagement, and Brand Satisfaction situations.</w:t>
      </w: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rPr>
                <w:b w:val="0"/>
              </w:rP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 xml:space="preserve">Table 5. Configuration Analysis for </w:t>
      </w:r>
      <w:r>
        <w:rPr/>
        <w:t>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UX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t xml:space="preserve">Table 6. Configuration Analysis for </w:t>
      </w:r>
      <w:r>
        <w:rPr/>
        <w:t>High Brand Success (BSUC) – Expanded Subset–Superset Configurations in the Metaverse</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b w:val="0"/>
              </w:rPr>
              <w:t>Triple Path (BSAT+UX+UE)</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Pr>
                <w:b w:val="0"/>
              </w:rPr>
              <w:t>BSAT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Pr>
                <w:b w:val="0"/>
              </w:rPr>
              <w:t>UX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Pr>
                <w:b w:val="0"/>
              </w:rPr>
              <w:t>UE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Drawing insights from Tables 5 and 6, the analysis underscores the principle of equifinality, where multiple distinct paths can lead to the same outcome (Ragin, 2008). These findings reveal that no single factor—user brand satisfaction (BSAT), user experience (UX), or user engagement (UE)—is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 5 presents three core configurations associated with high BSUC. Configuration 1 shows that the combination of BSAT and UX can lead to brand success even in the absence of strong engagement. This pathway suggests that a user who is satisfied and has a positive immersive experience may form a lasting relationship with the brand, consistent with previous literature emphasizing the emotional impact of immersive experiences (Bilgihan et al., 2024). Configuration 2, which includes BSAT and UE, highlights the role of satisfaction combined with active participation. This supports findings by Hollebeek et al. (2022), who assert that brand engagement, when paired with positive affect, enhances loyalty and advocacy. Configuration 3, consisting of UX and UE, is noteworthy for indicating that even without reported satisfaction, immersive and interactive environments can yield favorable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t>Table 6 further deepens this analysis by presenting an expanded set of configurations through subset-superset analysis. Configuration A—the “Triple Path”—includes all three factors (BSAT, UX, UE),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t>Other configurations in Table 6 reflect the versatility of paths to success. Configuration B (BSAT and UX) and Configuration D (BSAT and UE) reaffirm the significance of user satisfaction combined with either experience or engagement. This suggests that brands can tailor strategies to their strengths—focusing on emotional satisfaction, enhancing usability, or promoting interactivity. Configuration C (UX and UE),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sidRPr="0043234C">
        <w:rPr>
          <w:color w:val="000000" w:themeColor="text1"/>
        </w:rPr>
        <w:t>The research implements fuzzy-set Qualitative Comparative Analysis (</w:t>
      </w:r>
      <w:r w:rsidR="00202EAC">
        <w:rPr>
          <w:color w:val="000000" w:themeColor="text1"/>
        </w:rPr>
        <w:t>FsQCA</w:t>
      </w:r>
      <w:r w:rsidRPr="0043234C">
        <w:rPr>
          <w:color w:val="000000" w:themeColor="text1"/>
        </w:rPr>
        <w:t xml:space="preserve">) using version 4.1 to determine the optimal combinations of user engagement and Experience metaverse factors that contribute to the brand success of the metaverse. The necessity analysis within </w:t>
      </w:r>
      <w:r w:rsidR="00202EAC">
        <w:rPr>
          <w:color w:val="000000" w:themeColor="text1"/>
        </w:rPr>
        <w:t>FsQCA</w:t>
      </w:r>
      <w:r w:rsidRPr="0043234C">
        <w:rPr>
          <w:color w:val="000000" w:themeColor="text1"/>
        </w:rPr>
        <w:t xml:space="preserve"> helps to determine whether certain conditions are necessary but not sufficient for an outcome. It is not only about correlations, as it tends to disclose which conditions must be present for high success in the metaverse as far as the brand is concerned, giving the brands some actionable points on prioritization around some elements-defining virtual identity, creating emotional connections, and maintaining value in digital assets for brand resonance and </w:t>
      </w:r>
      <w:r w:rsidRPr="0043234C">
        <w:rPr>
          <w:color w:val="000000" w:themeColor="text1"/>
        </w:rPr>
        <w:lastRenderedPageBreak/>
        <w:t>long-term ROI. But this may not be sufficient; there may be combinations of this, and some other conditions required to produce the desired result.</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sidRPr="0043234C">
        <w:rPr>
          <w:color w:val="000000" w:themeColor="text1"/>
        </w:rPr>
        <w:t>This study employed fuzzy set qualitative comparative analysis (</w:t>
      </w:r>
      <w:r w:rsidR="00202EAC">
        <w:rPr>
          <w:color w:val="000000" w:themeColor="text1"/>
        </w:rPr>
        <w:t>FsQCA</w:t>
      </w:r>
      <w:r w:rsidRPr="0043234C">
        <w:rPr>
          <w:color w:val="000000" w:themeColor="text1"/>
        </w:rPr>
        <w:t xml:space="preserve">) using </w:t>
      </w:r>
      <w:r w:rsidR="00202EAC">
        <w:rPr>
          <w:color w:val="000000" w:themeColor="text1"/>
        </w:rPr>
        <w:t>fsQCA</w:t>
      </w:r>
      <w:r w:rsidRPr="0043234C">
        <w:rPr>
          <w:color w:val="000000" w:themeColor="text1"/>
        </w:rPr>
        <w:t xml:space="preserve"> 4.1 software to identify configurations driving brand success in the metaverse. Conditions included virtual identity and immersive experiences </w:t>
      </w:r>
      <w:r w:rsidR="00815055">
        <w:rPr>
          <w:color w:val="000000" w:themeColor="text1"/>
        </w:rPr>
        <w:t>(</w:t>
      </w:r>
      <w:r w:rsidR="00815055" w:rsidRPr="000B286E">
        <w:rPr>
          <w:color w:val="000000" w:themeColor="text1"/>
        </w:rPr>
        <w:t>Corne</w:t>
      </w:r>
      <w:r w:rsidR="00815055">
        <w:rPr>
          <w:color w:val="000000" w:themeColor="text1"/>
        </w:rPr>
        <w:t xml:space="preserve"> et al., 2023</w:t>
      </w:r>
      <w:r w:rsidRPr="0043234C">
        <w:rPr>
          <w:color w:val="000000" w:themeColor="text1"/>
        </w:rPr>
        <w:t>). Consistency and coverage thresholds were set at &gt;0.8 and 0.5, respectively (</w:t>
      </w:r>
      <w:r w:rsidR="00277652" w:rsidRPr="000B286E">
        <w:rPr>
          <w:color w:val="000000" w:themeColor="text1"/>
        </w:rPr>
        <w:t>Nikou</w:t>
      </w:r>
      <w:r w:rsidR="00277652">
        <w:rPr>
          <w:color w:val="000000" w:themeColor="text1"/>
        </w:rPr>
        <w:t xml:space="preserve"> et al.</w:t>
      </w:r>
      <w:r w:rsidRPr="0043234C">
        <w:rPr>
          <w:color w:val="000000" w:themeColor="text1"/>
        </w:rPr>
        <w:t>, 202</w:t>
      </w:r>
      <w:r w:rsidR="00277652">
        <w:rPr>
          <w:color w:val="000000" w:themeColor="text1"/>
        </w:rPr>
        <w:t>4</w:t>
      </w:r>
      <w:r w:rsidRPr="0043234C">
        <w:rPr>
          <w:color w:val="000000" w:themeColor="text1"/>
        </w:rPr>
        <w:t>). Results are showing that combinations of virtual identity, emotional connections, and NFTs enhance brand loyalty, while immersive experiences with digital asset value boost user engagement. These findings offer actionable insights for brands leveraging the metaverse to foster engagement and loyalty.</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t xml:space="preserve">The combination of BSAT (users’ brand satisfaction) and UX (user experience) is a very crucial point for the brand which, in its turn, is the main driver of high brand outcomes and high raw coverage, unique coverage, and consistency values. Brand success is often linked to the customer fulfilment and user involvement in the products (service). In a substantial way, a customer's satisfaction from the brand and the design of an improved experience of the brand, strategically, is by far a major determinant of customer loyalty. Satisfied customers are more likely to the brand if they are excited about the brand and communicate the quality benefits of the brand. </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t>This combination of users’ brand satisfaction (BSAT) and user engagement (UE) is also a positive example for brand outcomes with higher raw coverage, unique coverage, and consistency values. User engagement, for example, active participation and interaction with the brand is considered a major influencing factor on the positive brand outcomes. Jeong and Kim (2019) on customer engagement and brand loyalty stated the positive relationship between engagement and brand outcomes. Ebrahim, (2020) reported that social media marketing can improve customer equity, which in turn is a good goal of user engagement.</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t xml:space="preserve">This combination, consisting of user experience (UX) and user engagement (UE), also contributes to positive brand outcomes, although it shows slightly lower consistency compared to the other combinations. The interplay between user experience and user engagement has been recognized as critical for brand success. The motivations and behaviours of users in the metaverse are diverse and multifaceted, varying across different categories of engagement such as purchasing NFTs, participating in virtual events, engaging in social interactions, and creating content. These behaviours are driven by a combination of psychological, social, and economic factors that significantly influence user engagement and brand success. </w:t>
      </w:r>
    </w:p>
    <w:p w14:paraId="065270E6" w14:textId="75608049" w:rsidR="003F0E63" w:rsidRPr="0043234C" w:rsidRDefault="007648C5" w:rsidP="007648C5">
      <w:pPr>
        <w:tabs>
          <w:tab w:val="left" w:pos="426"/>
        </w:tabs>
        <w:spacing w:line="360" w:lineRule="auto"/>
        <w:jc w:val="both"/>
        <w:rPr>
          <w:color w:val="000000" w:themeColor="text1"/>
        </w:rPr>
      </w:pPr>
      <w:r w:rsidRPr="0043234C">
        <w:rPr>
          <w:color w:val="000000" w:themeColor="text1"/>
        </w:rPr>
        <w:tab/>
      </w:r>
      <w:r w:rsidR="006A234E" w:rsidRPr="0043234C">
        <w:rPr>
          <w:color w:val="000000" w:themeColor="text1"/>
        </w:rPr>
        <w:t>Users purchase NFTs for several reasons, including ownership, investment, and identity expression. NFTs provide proof of ownership and authenticity, allowing users to collect, trade, and display their digital possessions. This sense of ownership fosters psychological attachment and confidence in the value of the assets (</w:t>
      </w:r>
      <w:r w:rsidR="003D2D36" w:rsidRPr="00475E7C">
        <w:t>Fritze</w:t>
      </w:r>
      <w:r w:rsidR="003D2D36">
        <w:t xml:space="preserve"> et al.</w:t>
      </w:r>
      <w:r w:rsidR="006A234E" w:rsidRPr="0043234C">
        <w:rPr>
          <w:color w:val="000000" w:themeColor="text1"/>
        </w:rPr>
        <w:t xml:space="preserve">, </w:t>
      </w:r>
      <w:r w:rsidR="003D2D36">
        <w:rPr>
          <w:color w:val="000000" w:themeColor="text1"/>
        </w:rPr>
        <w:t>2020</w:t>
      </w:r>
      <w:r w:rsidR="006A234E" w:rsidRPr="0043234C">
        <w:rPr>
          <w:color w:val="000000" w:themeColor="text1"/>
        </w:rPr>
        <w:t xml:space="preserve">). Many users are motivated by the exclusivity and uniqueness of NFTs, which serve as status symbols in the digital world. For instance, owning rare or branded NFTs enhances social status and reflects individual identity (Xie </w:t>
      </w:r>
      <w:r w:rsidR="0016606A">
        <w:rPr>
          <w:color w:val="000000" w:themeColor="text1"/>
        </w:rPr>
        <w:t>and</w:t>
      </w:r>
      <w:r w:rsidR="006A234E" w:rsidRPr="0043234C">
        <w:rPr>
          <w:color w:val="000000" w:themeColor="text1"/>
        </w:rPr>
        <w:t xml:space="preserve"> Muralidharan, 2023). Additionally, NFTs offer financial opportunities as users can resell them for profit or use them as investments in the growing virtual economy (</w:t>
      </w:r>
      <w:proofErr w:type="spellStart"/>
      <w:r w:rsidR="00656A70" w:rsidRPr="00290DD2">
        <w:t>Kräussl</w:t>
      </w:r>
      <w:proofErr w:type="spellEnd"/>
      <w:r w:rsidR="00656A70">
        <w:t xml:space="preserve"> and </w:t>
      </w:r>
      <w:proofErr w:type="spellStart"/>
      <w:r w:rsidR="00656A70" w:rsidRPr="00290DD2">
        <w:t>Tugnetti</w:t>
      </w:r>
      <w:proofErr w:type="spellEnd"/>
      <w:r w:rsidR="00656A70" w:rsidRPr="00290DD2">
        <w:t>, 2024</w:t>
      </w:r>
      <w:r w:rsidR="006A234E" w:rsidRPr="0043234C">
        <w:rPr>
          <w:color w:val="000000" w:themeColor="text1"/>
        </w:rPr>
        <w:t>). Virtual events in the metaverse attract users through their immersive and interactive nature. Unlike traditional online platforms, metaverse events simulate real-world interactions with avatars and dynamic environments that foster a sense of presence and community (</w:t>
      </w:r>
      <w:r w:rsidR="00531C92">
        <w:rPr>
          <w:color w:val="000000" w:themeColor="text1"/>
        </w:rPr>
        <w:t>Dwivedi et al.</w:t>
      </w:r>
      <w:r w:rsidR="006A234E" w:rsidRPr="0043234C">
        <w:rPr>
          <w:color w:val="000000" w:themeColor="text1"/>
        </w:rPr>
        <w:t>, 2023). Users are motivated to attend these events for entertainment, networking opportunities, and unique experiences that transcend physical limitations. For example, gamified elements such as earning rewards or participating in challenges during virtual concerts or product launches enhance user engagement</w:t>
      </w:r>
      <w:r w:rsidR="00715262">
        <w:rPr>
          <w:color w:val="000000" w:themeColor="text1"/>
        </w:rPr>
        <w:t xml:space="preserve">. </w:t>
      </w:r>
      <w:r w:rsidR="006A234E" w:rsidRPr="0043234C">
        <w:rPr>
          <w:color w:val="000000" w:themeColor="text1"/>
        </w:rPr>
        <w:t>Moreover, virtual events provide a platform for self-expression through customized avatars and interactions that mimic real-life dynamics (</w:t>
      </w:r>
      <w:r w:rsidR="00715262" w:rsidRPr="00290DD2">
        <w:t>Ribeiro</w:t>
      </w:r>
      <w:r w:rsidR="00715262">
        <w:t xml:space="preserve"> et al.</w:t>
      </w:r>
      <w:r w:rsidR="006A234E" w:rsidRPr="0043234C">
        <w:rPr>
          <w:color w:val="000000" w:themeColor="text1"/>
        </w:rPr>
        <w:t>, 202</w:t>
      </w:r>
      <w:r w:rsidR="00715262">
        <w:rPr>
          <w:color w:val="000000" w:themeColor="text1"/>
        </w:rPr>
        <w:t>4</w:t>
      </w:r>
      <w:r w:rsidR="006A234E" w:rsidRPr="0043234C">
        <w:rPr>
          <w:color w:val="000000" w:themeColor="text1"/>
        </w:rPr>
        <w:t>). Social interactions within the metaverse are a key driver of engagement as they enable users to build relationships and form communities. Users often engage with others through avatars to collaborate on shared goals or simply socialize in virtual spaces. These interactions foster a sense of belonging and emotional connection with both other users and brands (Hennig-Thurau et al., 2023). Platforms like Roblox and Fortnite exemplify how socialization is seamlessly integrated into gaming environments where users connect with friends while engaging in gameplay (</w:t>
      </w:r>
      <w:r w:rsidR="00B82ECF" w:rsidRPr="00290DD2">
        <w:t>Mohammed</w:t>
      </w:r>
      <w:r w:rsidR="00B82ECF">
        <w:t xml:space="preserve"> et al.</w:t>
      </w:r>
      <w:r w:rsidR="006A234E" w:rsidRPr="0043234C">
        <w:rPr>
          <w:color w:val="000000" w:themeColor="text1"/>
        </w:rPr>
        <w:t>, 2024). The ability to express individuality through avatar customization further enhances these interactions by allowing users to reflect their personal style and identity (</w:t>
      </w:r>
      <w:r w:rsidR="00B82ECF" w:rsidRPr="00290DD2">
        <w:t>Takano</w:t>
      </w:r>
      <w:r w:rsidR="00B82ECF">
        <w:t xml:space="preserve"> and </w:t>
      </w:r>
      <w:r w:rsidR="00B82ECF" w:rsidRPr="00290DD2">
        <w:t>Taka, 2022</w:t>
      </w:r>
      <w:r w:rsidR="006A234E" w:rsidRPr="0043234C">
        <w:rPr>
          <w:color w:val="000000" w:themeColor="text1"/>
        </w:rPr>
        <w:t>).</w:t>
      </w:r>
    </w:p>
    <w:p w14:paraId="745A0811" w14:textId="77777777" w:rsidR="004B0CFD" w:rsidRPr="0043234C" w:rsidRDefault="004B0CFD" w:rsidP="004B0CFD">
      <w:pPr>
        <w:spacing w:line="360" w:lineRule="auto"/>
        <w:jc w:val="both"/>
        <w:rPr>
          <w:color w:val="000000" w:themeColor="text1"/>
        </w:rPr>
      </w:pPr>
    </w:p>
    <w:p>
      <w:r>
        <w:t>5.4 Structural Model and Hypothesis Evaluation</w:t>
      </w:r>
    </w:p>
    <w:p>
      <w:r>
        <w:rPr/>
        <w:t>Because fsQCA tests the sufficiency of condition configurations rather than net linear effects, the hypotheses are evaluated configurationally and complemented by the measurement-validated constructs reported above. Table 7 summarises the evidence. Consistent with the principle that no single condition is necessary (necessity analysis showed that neither engagement, experience nor satisfaction alone is necessary), user engagement (single-condition consistency = 0.373) and user experience (0.362) are not sufficient on their own; they contribute to brand success only in combination, supporting H1 and H2 within sufficient configurations rather than as stand-alone net effects. Brand satisfaction is present in every high-consistency sufficient path – the fully triadic recipe BSAT×UX×UE (consistency = 0.713), BSAT×UE (0.669) and BSAT×UX (0.650) – and shows the highest single-condition consistency (0.410), indicating a central, mediation-consistent role and supporting H3. A formal variance-based mediation test (indirect effect with bias-corrected bootstrap confidence intervals) is recommended as a complement and is noted in the model-correction comment above.</w:t>
      </w:r>
    </w:p>
    <w:p>
      <w:r>
        <w:rPr>
          <w:b/>
        </w:rPr>
        <w:t>Table 7. Hypothesis Evaluation Based on fsQCA Sufficiency Analysis.</w:t>
      </w:r>
      <w:r>
        <w:rPr/>
        <w:t xml:space="preserve"> Source: Authors, from configurational results reported in Tables 5 and 6.</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rPr>
              <w:t>Hypothesis</w:t>
            </w:r>
          </w:p>
        </w:tc>
        <w:tc>
          <w:tcPr>
            <w:tcW w:type="dxa" w:w="2256"/>
          </w:tcPr>
          <w:p>
            <w:r>
              <w:rPr>
                <w:b/>
              </w:rPr>
              <w:t>Configurational evidence (fsQCA)</w:t>
            </w:r>
          </w:p>
        </w:tc>
        <w:tc>
          <w:tcPr>
            <w:tcW w:type="dxa" w:w="2256"/>
          </w:tcPr>
          <w:p>
            <w:r>
              <w:rPr>
                <w:b/>
              </w:rPr>
              <w:t>Key values</w:t>
            </w:r>
          </w:p>
        </w:tc>
        <w:tc>
          <w:tcPr>
            <w:tcW w:type="dxa" w:w="2256"/>
          </w:tcPr>
          <w:p>
            <w:r>
              <w:rPr>
                <w:b/>
              </w:rPr>
              <w:t>Outcome</w:t>
            </w:r>
          </w:p>
        </w:tc>
      </w:tr>
      <w:tr>
        <w:tc>
          <w:tcPr>
            <w:tcW w:type="dxa" w:w="2256"/>
          </w:tcPr>
          <w:p>
            <w:r>
              <w:rPr>
                <w:b w:val="0"/>
              </w:rPr>
              <w:t>H1: User engagement (UE) → brand success (BSUC)</w:t>
            </w:r>
          </w:p>
        </w:tc>
        <w:tc>
          <w:tcPr>
            <w:tcW w:type="dxa" w:w="2256"/>
          </w:tcPr>
          <w:p>
            <w:r>
              <w:rPr>
                <w:b w:val="0"/>
              </w:rPr>
              <w:t>UE not sufficient alone; sufficient in BSAT×UE and UX×UE</w:t>
            </w:r>
          </w:p>
        </w:tc>
        <w:tc>
          <w:tcPr>
            <w:tcW w:type="dxa" w:w="2256"/>
          </w:tcPr>
          <w:p>
            <w:r>
              <w:rPr>
                <w:b w:val="0"/>
              </w:rPr>
              <w:t>UE alone consistency 0.373; BSAT×UE 0.669; UX×UE 0.600</w:t>
            </w:r>
          </w:p>
        </w:tc>
        <w:tc>
          <w:tcPr>
            <w:tcW w:type="dxa" w:w="2256"/>
          </w:tcPr>
          <w:p>
            <w:r>
              <w:rPr>
                <w:b w:val="0"/>
              </w:rPr>
              <w:t>Supported within configurations</w:t>
            </w:r>
          </w:p>
        </w:tc>
      </w:tr>
      <w:tr>
        <w:tc>
          <w:tcPr>
            <w:tcW w:type="dxa" w:w="2256"/>
          </w:tcPr>
          <w:p>
            <w:r>
              <w:rPr>
                <w:b w:val="0"/>
              </w:rPr>
              <w:t>H2: User experience (UX) → brand success (BSUC)</w:t>
            </w:r>
          </w:p>
        </w:tc>
        <w:tc>
          <w:tcPr>
            <w:tcW w:type="dxa" w:w="2256"/>
          </w:tcPr>
          <w:p>
            <w:r>
              <w:rPr>
                <w:b w:val="0"/>
              </w:rPr>
              <w:t>UX not sufficient alone; sufficient in BSAT×UX and triadic path</w:t>
            </w:r>
          </w:p>
        </w:tc>
        <w:tc>
          <w:tcPr>
            <w:tcW w:type="dxa" w:w="2256"/>
          </w:tcPr>
          <w:p>
            <w:r>
              <w:rPr>
                <w:b w:val="0"/>
              </w:rPr>
              <w:t>UX alone consistency 0.362; BSAT×UX 0.650; triadic 0.713</w:t>
            </w:r>
          </w:p>
        </w:tc>
        <w:tc>
          <w:tcPr>
            <w:tcW w:type="dxa" w:w="2256"/>
          </w:tcPr>
          <w:p>
            <w:r>
              <w:rPr>
                <w:b w:val="0"/>
              </w:rPr>
              <w:t>Supported within configurations</w:t>
            </w:r>
          </w:p>
        </w:tc>
      </w:tr>
      <w:tr>
        <w:tc>
          <w:tcPr>
            <w:tcW w:type="dxa" w:w="2256"/>
          </w:tcPr>
          <w:p>
            <w:r>
              <w:rPr>
                <w:b w:val="0"/>
              </w:rPr>
              <w:t>H3: Brand satisfaction (BSAT) mediates UE/UX → BSUC</w:t>
            </w:r>
          </w:p>
        </w:tc>
        <w:tc>
          <w:tcPr>
            <w:tcW w:type="dxa" w:w="2256"/>
          </w:tcPr>
          <w:p>
            <w:r>
              <w:rPr>
                <w:b w:val="0"/>
              </w:rPr>
              <w:t>BSAT present in all high-consistency sufficient paths; highest single-condition consistency</w:t>
            </w:r>
          </w:p>
        </w:tc>
        <w:tc>
          <w:tcPr>
            <w:tcW w:type="dxa" w:w="2256"/>
          </w:tcPr>
          <w:p>
            <w:r>
              <w:rPr>
                <w:b w:val="0"/>
              </w:rPr>
              <w:t>Triadic 0.713; BSAT×UE 0.669; BSAT×UX 0.650; BSAT alone 0.410</w:t>
            </w:r>
          </w:p>
        </w:tc>
        <w:tc>
          <w:tcPr>
            <w:tcW w:type="dxa" w:w="2256"/>
          </w:tcPr>
          <w:p>
            <w:r>
              <w:rPr>
                <w:b w:val="0"/>
              </w:rPr>
              <w:t>Supported (configurationally); SEM mediation test recommended</w:t>
            </w:r>
          </w:p>
        </w:tc>
      </w:tr>
      <w:tr>
        <w:tc>
          <w:tcPr>
            <w:tcW w:type="dxa" w:w="2256"/>
          </w:tcPr>
          <w:p>
            <w:r>
              <w:rPr>
                <w:b w:val="0"/>
              </w:rPr>
              <w:t>Overall solution</w:t>
            </w:r>
          </w:p>
        </w:tc>
        <w:tc>
          <w:tcPr>
            <w:tcW w:type="dxa" w:w="2256"/>
          </w:tcPr>
          <w:p>
            <w:r>
              <w:rPr>
                <w:b w:val="0"/>
              </w:rPr>
              <w:t>Three sufficient configurations (equifinality)</w:t>
            </w:r>
          </w:p>
        </w:tc>
        <w:tc>
          <w:tcPr>
            <w:tcW w:type="dxa" w:w="2256"/>
          </w:tcPr>
          <w:p>
            <w:r>
              <w:rPr>
                <w:b w:val="0"/>
              </w:rPr>
              <w:t>Solution coverage 0.324; solution consistency 0.756</w:t>
            </w:r>
          </w:p>
        </w:tc>
        <w:tc>
          <w:tcPr>
            <w:tcW w:type="dxa" w:w="2256"/>
          </w:tcPr>
          <w:p>
            <w:r>
              <w:rPr>
                <w:b w:val="0"/>
              </w:rPr>
              <w:t>—</w:t>
            </w:r>
          </w:p>
        </w:tc>
      </w:tr>
    </w:tbl>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findings from the FsQCA analysis provide critical insights into how combinations of user engagement (UE), user experience (UX), and brand satisfaction (BSAT) contribute to brand success (BSUC)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t xml:space="preserve">       The combination of user brand satisfaction (BSAT) and user experience (UX) emerged as a significant driver of brand success, with a consistency value of 0.6499 and raw coverage of 20.84%. Survey results revealed that 73% of respondents felt more emotionally connected to brands that offered virtual identity-enhancing features, such as customizable avatars or exclusive NFTs. For instance, one participant noted, 'Owning branded NFTs makes me feel like part of an exclusive community, which strengthens my connection to the brand.' These findings align with prior research indicating that virtual possessions foster emotional bonds and brand loyalty by enhancing users' digital identities (Xie and Muralidharan, 2023; Hennig-Thurau et al., 2023). These findings underscores that satisfied users who perceive high-quality experiences are more likely to develop loyalty and advocate for the brand. Prior research supports this, highlighting that customer satisfaction and positive user experiences foster emotional connections and long-term engagement (Thaichon et al., 2022). Brands should prioritize designing seamless and immersive virtual experiences that align with user preferences to amplify satisfaction and engagement. Although immersive experiences enhance user engagement, they also raise ethical concerns, including data privacy risks and potential addiction. NFT-related challenges also emerged as significant barriers to user engagement and satisfaction. Issues such as interoperability across platforms limit users' ability to transfer assets seamlessly, while a lack of transparency in NFT minting processes undermines trust (Alshater et al., 2024). For example, high transaction fees and inefficiencies in blockchain technology deter users from engaging with NFTs despite their potential benefits (Malik et al., 2023). Addressing these challenges is critical for brands aiming to build sustainable engagement through virtual assets.</w:t>
      </w:r>
    </w:p>
    <w:p w14:paraId="7AFD31AE" w14:textId="61772F09" w:rsidR="00B4046B" w:rsidRPr="0043234C" w:rsidRDefault="00B4046B" w:rsidP="00B4046B">
      <w:pPr>
        <w:spacing w:line="360" w:lineRule="auto"/>
        <w:ind w:firstLine="360"/>
        <w:jc w:val="both"/>
        <w:rPr>
          <w:color w:val="000000" w:themeColor="text1"/>
        </w:rPr>
      </w:pPr>
      <w:r>
        <w:rPr/>
        <w:t>The pairing of BSAT and UE (brand satisfaction and user engagement) showed a strong association with brand success, with a consistency value of 0.669 and raw coverage of 24.15%.</w:t>
      </w:r>
      <w:r>
        <w:t xml:space="preserve"> This indicates that active user participation combined with high satisfaction levels significantly enhances brand outcomes. Previous studies on customer engagement have similarly shown that active participation increases brand equity and loyalty (Jeong and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t>While slightly lower in consistency (0.6003), the combination of UX and UE still contributed positively to brand outcomes, with raw coverage at 21.90%. This finding is supported by survey data showing that users who rated their metaverse experiences as highly immersive (mean score = 4.48) were significantly more likely to exhibit brand loyalty (mean score = 3.89). Statistical analysis revealed a strong correlation between immersive experiences and loyalty outcomes (r = 0.7), consistent with Flow Theory's emphasis on deep engagement through challenge-skill balance (Csikszentmihalyi, 1990). These findings suggests that user engagement is most effective when paired with high-quality experiences, even if satisfaction is not explicitly measured in these interactions. This aligns with findings by Shin, (2019), who emphasized the importance of immersive environments in driving engagement. To leverage this combination, brands should focus on creating engaging virtual spaces that captivate users through innovative features like augmented reality or interactive storytelling.</w:t>
      </w:r>
    </w:p>
    <w:p w14:paraId="4C4DE95E" w14:textId="23B4AD3C" w:rsidR="00B4046B" w:rsidRPr="0043234C" w:rsidRDefault="00B4046B" w:rsidP="00B4046B">
      <w:pPr>
        <w:spacing w:line="360" w:lineRule="auto"/>
        <w:ind w:firstLine="360"/>
        <w:jc w:val="both"/>
        <w:rPr>
          <w:color w:val="000000" w:themeColor="text1"/>
        </w:rPr>
      </w:pPr>
      <w:r>
        <w:t>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BSAT x UX x UE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14:paraId="539918B8" w14:textId="77777777" w:rsidR="00AD66C4" w:rsidRDefault="00AD66C4" w:rsidP="004B0CFD">
      <w:pPr>
        <w:spacing w:line="360" w:lineRule="auto"/>
        <w:jc w:val="both"/>
        <w:rPr>
          <w:b/>
          <w:bCs/>
          <w:i/>
          <w:iCs/>
          <w:color w:val="000000" w:themeColor="text1"/>
        </w:rPr>
      </w:pPr>
    </w:p>
    <w:p w14:paraId="27A1BDFB" w14:textId="53E66903" w:rsidR="00CE1753" w:rsidRPr="0043234C" w:rsidRDefault="00CE1753" w:rsidP="004B0CFD">
      <w:pPr>
        <w:spacing w:line="360" w:lineRule="auto"/>
        <w:jc w:val="both"/>
        <w:rPr>
          <w:b/>
          <w:bCs/>
          <w:i/>
          <w:iCs/>
          <w:color w:val="000000" w:themeColor="text1"/>
        </w:rPr>
      </w:pPr>
      <w:r w:rsidRPr="0043234C">
        <w:rPr>
          <w:b/>
          <w:bCs/>
          <w:i/>
          <w:iCs/>
          <w:color w:val="000000" w:themeColor="text1"/>
        </w:rPr>
        <w:t xml:space="preserve">6.1 Unique insights provided by the </w:t>
      </w:r>
      <w:r w:rsidR="00202EAC">
        <w:rPr>
          <w:b/>
          <w:bCs/>
          <w:i/>
          <w:iCs/>
          <w:color w:val="000000" w:themeColor="text1"/>
        </w:rPr>
        <w:t>FsQCA</w:t>
      </w:r>
      <w:r w:rsidRPr="0043234C">
        <w:rPr>
          <w:b/>
          <w:bCs/>
          <w:i/>
          <w:iCs/>
          <w:color w:val="000000" w:themeColor="text1"/>
        </w:rPr>
        <w:t xml:space="preserve"> </w:t>
      </w:r>
      <w:r w:rsidR="007D170B" w:rsidRPr="0043234C">
        <w:rPr>
          <w:b/>
          <w:bCs/>
          <w:i/>
          <w:iCs/>
          <w:color w:val="000000" w:themeColor="text1"/>
        </w:rPr>
        <w:t>analysis</w:t>
      </w:r>
    </w:p>
    <w:p w14:paraId="54667169" w14:textId="3978979E" w:rsidR="00983A07" w:rsidRPr="0043234C" w:rsidRDefault="00983A07" w:rsidP="004B0CFD">
      <w:pPr>
        <w:spacing w:line="360" w:lineRule="auto"/>
        <w:jc w:val="both"/>
        <w:rPr>
          <w:color w:val="000000" w:themeColor="text1"/>
        </w:rPr>
      </w:pPr>
      <w:r>
        <w:t xml:space="preserve">The analysis using FsQCA yields one-of-a-kind understandings of the relationships among brand satisfaction (BSAT), user experience (UX), user engagement (UE), and their effects on brand outcomes that seem to be rather unique to the metaverse environment. This is a classic case in which the method's strength lies in studying not just the individual factors but also the combinations leading to successful brand outcomes. </w:t>
      </w:r>
    </w:p>
    <w:p w14:paraId="76DD051C" w14:textId="47843435" w:rsidR="00CE1753" w:rsidRPr="0043234C" w:rsidRDefault="00CE1753" w:rsidP="004B0CFD">
      <w:pPr>
        <w:spacing w:line="360" w:lineRule="auto"/>
        <w:jc w:val="both"/>
        <w:rPr>
          <w:color w:val="000000" w:themeColor="text1"/>
        </w:rPr>
      </w:pPr>
      <w:r w:rsidRPr="0043234C">
        <w:rPr>
          <w:b/>
          <w:bCs/>
          <w:i/>
          <w:iCs/>
          <w:color w:val="000000" w:themeColor="text1"/>
        </w:rPr>
        <w:t xml:space="preserve">1. </w:t>
      </w:r>
      <w:r w:rsidR="008B39DB" w:rsidRPr="0043234C">
        <w:rPr>
          <w:b/>
          <w:bCs/>
          <w:i/>
          <w:iCs/>
          <w:color w:val="000000" w:themeColor="text1"/>
        </w:rPr>
        <w:t>Combinations of Models:</w:t>
      </w:r>
      <w:r w:rsidR="008B39DB" w:rsidRPr="0043234C">
        <w:rPr>
          <w:color w:val="000000" w:themeColor="text1"/>
        </w:rPr>
        <w:t xml:space="preserve"> Factor wise Qualitative Comparative Analysis (QCA) enables us to identify not just the individual factors that make for good branding in the metaverse but, more importantly, the combinations of factors—the "necessary and sufficient conditions"—for </w:t>
      </w:r>
      <w:r w:rsidR="008B39DB" w:rsidRPr="0043234C">
        <w:rPr>
          <w:color w:val="000000" w:themeColor="text1"/>
        </w:rPr>
        <w:lastRenderedPageBreak/>
        <w:t>achieving positive, brand-building outcomes. In this respect, Fuzzy Set QCA offers a distinct advantage over conventional statistical methods. When these conditions are met in the metaverse, a brand can expect good results.</w:t>
      </w:r>
    </w:p>
    <w:p w14:paraId="4A87758E" w14:textId="27B03D02" w:rsidR="00CE1753" w:rsidRPr="0043234C" w:rsidRDefault="00CE1753" w:rsidP="004B0CFD">
      <w:pPr>
        <w:spacing w:line="360" w:lineRule="auto"/>
        <w:jc w:val="both"/>
        <w:rPr>
          <w:color w:val="000000" w:themeColor="text1"/>
        </w:rPr>
      </w:pPr>
      <w:r w:rsidRPr="0043234C">
        <w:rPr>
          <w:b/>
          <w:bCs/>
          <w:i/>
          <w:iCs/>
          <w:color w:val="000000" w:themeColor="text1"/>
        </w:rPr>
        <w:t xml:space="preserve">2. </w:t>
      </w:r>
      <w:r w:rsidR="008B39DB" w:rsidRPr="0043234C">
        <w:rPr>
          <w:b/>
          <w:bCs/>
          <w:i/>
          <w:iCs/>
          <w:color w:val="000000" w:themeColor="text1"/>
        </w:rPr>
        <w:t>Consistency:</w:t>
      </w:r>
      <w:r w:rsidR="008B39DB" w:rsidRPr="0043234C">
        <w:rPr>
          <w:color w:val="000000" w:themeColor="text1"/>
        </w:rPr>
        <w:t xml:space="preserve"> The analysis delivers insights about consistency and raw coverage, which clarify the stability and the audience engagement of the identified combinations. Consistency pertains to how often a particular combination yields a positive brand result. Unlike the other metrics, which assess combinations relative to one another, this one use "counting" logic. We tally how many positive brand outcomes we observe </w:t>
      </w:r>
      <w:r w:rsidR="00553B77" w:rsidRPr="0043234C">
        <w:rPr>
          <w:color w:val="000000" w:themeColor="text1"/>
        </w:rPr>
        <w:t>because of</w:t>
      </w:r>
      <w:r w:rsidR="008B39DB" w:rsidRPr="0043234C">
        <w:rPr>
          <w:color w:val="000000" w:themeColor="text1"/>
        </w:rPr>
        <w:t xml:space="preserve"> </w:t>
      </w:r>
      <w:r w:rsidR="00553B77" w:rsidRPr="0043234C">
        <w:rPr>
          <w:color w:val="000000" w:themeColor="text1"/>
        </w:rPr>
        <w:t>combinations</w:t>
      </w:r>
      <w:r w:rsidR="008B39DB" w:rsidRPr="0043234C">
        <w:rPr>
          <w:color w:val="000000" w:themeColor="text1"/>
        </w:rPr>
        <w:t xml:space="preserve"> and how many times we see those combinations doing their thing in a relatively short time frame. Raw Coverage is a bit more </w:t>
      </w:r>
      <w:r w:rsidR="00553B77" w:rsidRPr="0043234C">
        <w:rPr>
          <w:color w:val="000000" w:themeColor="text1"/>
        </w:rPr>
        <w:t>complicated;</w:t>
      </w:r>
      <w:r w:rsidR="008B39DB" w:rsidRPr="0043234C">
        <w:rPr>
          <w:color w:val="000000" w:themeColor="text1"/>
        </w:rPr>
        <w:t xml:space="preserve"> in that it calculates how many people could potentially engage with what the brand is doing by way of a particular combination.</w:t>
      </w:r>
    </w:p>
    <w:p w14:paraId="41530EFF" w14:textId="33AB4E8A" w:rsidR="00CE1753" w:rsidRPr="0043234C" w:rsidRDefault="008B39DB" w:rsidP="004B0CFD">
      <w:pPr>
        <w:spacing w:line="360" w:lineRule="auto"/>
        <w:jc w:val="both"/>
        <w:rPr>
          <w:color w:val="000000" w:themeColor="text1"/>
        </w:rPr>
      </w:pPr>
      <w:r w:rsidRPr="0043234C">
        <w:rPr>
          <w:b/>
          <w:bCs/>
          <w:i/>
          <w:iCs/>
          <w:color w:val="000000" w:themeColor="text1"/>
        </w:rPr>
        <w:t>3</w:t>
      </w:r>
      <w:r w:rsidR="00CE1753" w:rsidRPr="0043234C">
        <w:rPr>
          <w:b/>
          <w:bCs/>
          <w:i/>
          <w:iCs/>
          <w:color w:val="000000" w:themeColor="text1"/>
        </w:rPr>
        <w:t xml:space="preserve">. </w:t>
      </w:r>
      <w:r w:rsidRPr="0043234C">
        <w:rPr>
          <w:b/>
          <w:bCs/>
          <w:i/>
          <w:iCs/>
          <w:color w:val="000000" w:themeColor="text1"/>
        </w:rPr>
        <w:t>Analysis:</w:t>
      </w:r>
      <w:r w:rsidRPr="0043234C">
        <w:rPr>
          <w:color w:val="000000" w:themeColor="text1"/>
        </w:rPr>
        <w:t xml:space="preserve"> The </w:t>
      </w:r>
      <w:r w:rsidR="00202EAC">
        <w:rPr>
          <w:color w:val="000000" w:themeColor="text1"/>
        </w:rPr>
        <w:t>FsQCA</w:t>
      </w:r>
      <w:r w:rsidRPr="0043234C">
        <w:rPr>
          <w:color w:val="000000" w:themeColor="text1"/>
        </w:rPr>
        <w:t xml:space="preserve"> method enables a comparative analysis of the different combinations of conditions that lead to the various brand outcomes of interest. It does not just look at what things are like when the favourable conditions are met. Overall, it gives us a way to look at the interactions of our conditions and what they might mean in terms of achieving the various positive brand outcomes that we think are most important. The reason we think this is worth doing, beyond the fact that it seems to give us interesting and provocative insights, is that understanding the favourable combinations of the conditions can help inform branding strategies in the metaverse. We can identify what led to various positive brand outcomes, and we can think about decisions along the way that make for a good or a bad strategy to achieve these outcomes.</w:t>
      </w: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r w:rsidRPr="00BE64E6">
        <w:rPr>
          <w:color w:val="000000" w:themeColor="text1"/>
        </w:rPr>
        <w:t xml:space="preserve">This research makes a substantial and nuanced contribution to understanding user engagement, brand experience, and digital brand satisfaction in the metaverse by advancing and integrating two foundational theoretical frameworks: Self‐Determination Theory (SDT) and Flow Theory. By embedding these theories within highly immersive, digitally mediated ecosystems characterized by virtual communities, non-fungible tokens (NFTs), and interactive brand interfaces, the study elucidates the dynamic interplay between psychological needs, cognitive-affective processes, and experiential states that drive sustained engagement, loyalty, and </w:t>
      </w:r>
      <w:proofErr w:type="spellStart"/>
      <w:r w:rsidRPr="00BE64E6">
        <w:rPr>
          <w:color w:val="000000" w:themeColor="text1"/>
        </w:rPr>
        <w:t>behavioral</w:t>
      </w:r>
      <w:proofErr w:type="spellEnd"/>
      <w:r w:rsidRPr="00BE64E6">
        <w:rPr>
          <w:color w:val="000000" w:themeColor="text1"/>
        </w:rPr>
        <w:t xml:space="preserve"> commitment. Unlike prior applications of SDT and Flow Theory in traditional or gamified contexts, our findings reveal that metaverse interactions evoke a distinctive, psychologically contingent synergy between intrinsic motivation and experiential absorption, </w:t>
      </w:r>
      <w:r w:rsidRPr="00BE64E6">
        <w:rPr>
          <w:color w:val="000000" w:themeColor="text1"/>
        </w:rPr>
        <w:lastRenderedPageBreak/>
        <w:t>thereby extending the explanatory scope of both theories into technologically complex and co-created virtual domains.</w:t>
      </w:r>
    </w:p>
    <w:p w14:paraId="28274EEA" w14:textId="4230063F"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proofErr w:type="spellStart"/>
      <w:proofErr w:type="spellEnd"/>
      <w:r>
        <w:t>Within the framework of SDT, this study interprets autonomy, competence and relatedness as taking distinctive forms in immersive digital environments (Bilgihan et al., 2024). Autonomy is expressed through customisable avatars, user-directed spatial modification and ownership of digital assets; competence through skill-based challenges, navigation and achievement; and relatedness through persistent social interaction in branded virtual communities. We advance these as conceptual mechanisms that plausibly underlie engagement and experience rather than as separately measured effects, since the present design operationalises engagement and experience rather than the three needs directly.</w:t>
      </w:r>
    </w:p>
    <w:p w14:paraId="070B2E32" w14:textId="1C2E24F6"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r>
        <w:t>Flow Theory is similarly extended by the proposition that experiential immersion in the metaverse depends on the alignment of task challenge and user skill, calibrated by digital affordances and interaction design (Zhong and Hamouda, 2024). Gamified missions and dynamic, event-based interactions can act as flow facilitators that heighten attentional focus and absorption. Consistent with our configurational findings, deeply immersive engagement can be associated with favourable brand outcomes even when satisfaction is not the dominant condition — an interpretation we offer as a theoretical extension rather than a directly tested effect.</w:t>
      </w:r>
    </w:p>
    <w:p w14:paraId="52F7D6B5" w14:textId="2C01F0D2" w:rsidR="00BE64E6" w:rsidRPr="00BE64E6" w:rsidRDefault="00BE64E6" w:rsidP="00BE64E6">
      <w:pPr>
        <w:spacing w:line="360" w:lineRule="auto"/>
        <w:ind w:firstLine="426"/>
        <w:jc w:val="both"/>
        <w:rPr>
          <w:color w:val="000000" w:themeColor="text1"/>
        </w:rPr>
      </w:pPr>
      <w:r w:rsidRPr="00BE64E6">
        <w:rPr>
          <w:color w:val="000000" w:themeColor="text1"/>
        </w:rPr>
        <w:t xml:space="preserve">The central theoretical innovation of this research lies in the integration of SDT and Flow Theory into a dual-theoretical framework that captures both the motivational antecedents and experiential dynamics of engagement in immersive digital ecosystems. Using configurational </w:t>
      </w:r>
      <w:r w:rsidR="00202EAC">
        <w:rPr>
          <w:color w:val="000000" w:themeColor="text1"/>
        </w:rPr>
        <w:lastRenderedPageBreak/>
        <w:t>FsQCA</w:t>
      </w:r>
      <w:r w:rsidRPr="00BE64E6">
        <w:rPr>
          <w:color w:val="000000" w:themeColor="text1"/>
        </w:rPr>
        <w:t xml:space="preserve"> analyses, the study identifies multiple equifinal pathways in which combinations of engagement, experiential quality, and satisfaction converge to produce optimal brand outcomes, empirically validating the interdependent effects of intrinsic need </w:t>
      </w:r>
      <w:proofErr w:type="spellStart"/>
      <w:r w:rsidRPr="00BE64E6">
        <w:rPr>
          <w:color w:val="000000" w:themeColor="text1"/>
        </w:rPr>
        <w:t>fulfillment</w:t>
      </w:r>
      <w:proofErr w:type="spellEnd"/>
      <w:r w:rsidRPr="00BE64E6">
        <w:rPr>
          <w:color w:val="000000" w:themeColor="text1"/>
        </w:rPr>
        <w:t xml:space="preserve"> and challenge-skill alignment. This integration operationalizes intrinsic motivation and immersive experience as mutually reinforcing, cognitively and affectively grounded mechanisms, offering a robust explanatory model for predicting and optimizing user </w:t>
      </w:r>
      <w:proofErr w:type="spellStart"/>
      <w:r w:rsidRPr="00BE64E6">
        <w:rPr>
          <w:color w:val="000000" w:themeColor="text1"/>
        </w:rPr>
        <w:t>behavior</w:t>
      </w:r>
      <w:proofErr w:type="spellEnd"/>
      <w:r w:rsidRPr="00BE64E6">
        <w:rPr>
          <w:color w:val="000000" w:themeColor="text1"/>
        </w:rPr>
        <w:t xml:space="preserve"> in highly interactive and co-created virtual environments.</w:t>
      </w:r>
    </w:p>
    <w:p w14:paraId="08F4AD7B" w14:textId="77777777" w:rsidR="00BE64E6" w:rsidRPr="00BE64E6" w:rsidRDefault="00BE64E6" w:rsidP="00BE64E6">
      <w:pPr>
        <w:spacing w:line="360" w:lineRule="auto"/>
        <w:ind w:firstLine="426"/>
        <w:jc w:val="both"/>
        <w:rPr>
          <w:color w:val="000000" w:themeColor="text1"/>
        </w:rPr>
      </w:pPr>
      <w:r>
        <w:t>Collectively, these contributions advance marketing and psychological theory by suggesting that the confluence of need satisfaction and experiential immersion is associated with engagement, satisfaction and brand performance in the metaverse. The study extends the conceptual reach of SDT and Flow Theory into technologically complex, co-created digital domains and provides configurational guidance for designing immersive brand ecosystems, while remaining careful to distinguish tested associations from theoretical interpretation.</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t>This study offers crucial insights into how user engagement (UE), user experience (UX), and brand satisfaction (BSAT) collectively influence brand success (BSUC) within the metaverse. One of the primary findings highlights that user experience is a critical determinant of both brand satisfaction and brand loyalty. The FsQCA analysis reveals that high-quality experiences are consistently linked with favorable brand outcomes. A high consistency value (0.6499) further substantiates that users who perceive their metaverse experiences as highly immersive tend to develop strong emotional connections with the brand, which, in turn, fosters brand loyalty (Csikszentmihalyi, 1990). Given this, it is evident that a brand’s ability to craft engaging, interactive, and personalized experiences within the metaverse is fundamental to ensuring long-term engagement and sustained brand success.</w:t>
      </w:r>
    </w:p>
    <w:p w14:paraId="1D052565" w14:textId="6684AB4F" w:rsidR="005E7707" w:rsidRPr="005E7707" w:rsidRDefault="005E7707" w:rsidP="005E7707">
      <w:pPr>
        <w:spacing w:line="360" w:lineRule="auto"/>
        <w:ind w:firstLine="426"/>
        <w:jc w:val="both"/>
        <w:rPr>
          <w:color w:val="000000" w:themeColor="text1"/>
        </w:rPr>
      </w:pPr>
      <w:r w:rsidRPr="005E7707">
        <w:rPr>
          <w:color w:val="000000" w:themeColor="text1"/>
        </w:rPr>
        <w:t xml:space="preserve">To achieve this, brands must prioritize creating immersive experiences that are deeply connected to users' virtual identities. The importance of personalization in enhancing user experience cannot be overstated. Features such as customizable avatars, exclusive NFTs, and interactive virtual environments empower users to express their identity within the metaverse, significantly enhancing their sense of presence. This, in turn, strengthens the emotional bond between the user and the brand. By aligning the brand’s virtual presence with users’ self-concept, brands can cultivate a powerful connection that drives satisfaction. In fact, survey results showed that 73% of respondents felt more emotionally connected to brands offering </w:t>
      </w:r>
      <w:r w:rsidRPr="005E7707">
        <w:rPr>
          <w:color w:val="000000" w:themeColor="text1"/>
        </w:rPr>
        <w:lastRenderedPageBreak/>
        <w:t xml:space="preserve">identity-enhancing features, emphasizing the vital role of personalized experiences in cultivating brand attachment (Xie </w:t>
      </w:r>
      <w:r w:rsidR="001039BF">
        <w:rPr>
          <w:color w:val="000000" w:themeColor="text1"/>
        </w:rPr>
        <w:t>and</w:t>
      </w:r>
      <w:r w:rsidRPr="005E7707">
        <w:rPr>
          <w:color w:val="000000" w:themeColor="text1"/>
        </w:rPr>
        <w:t xml:space="preserve"> Muralidharan, 2023). When users perceive their virtual experiences as uniquely tailored, they are more likely to engage deeply, exhibit brand loyalty, and advocate for the brand in their communities (</w:t>
      </w:r>
      <w:proofErr w:type="spellStart"/>
      <w:r w:rsidRPr="005E7707">
        <w:rPr>
          <w:color w:val="000000" w:themeColor="text1"/>
        </w:rPr>
        <w:t>Thaichon</w:t>
      </w:r>
      <w:proofErr w:type="spellEnd"/>
      <w:r w:rsidRPr="005E7707">
        <w:rPr>
          <w:color w:val="000000" w:themeColor="text1"/>
        </w:rPr>
        <w:t xml:space="preserve"> et al., 2022).</w:t>
      </w:r>
    </w:p>
    <w:p w14:paraId="69785BFF" w14:textId="77777777" w:rsidR="005E7707" w:rsidRPr="005E7707" w:rsidRDefault="005E7707" w:rsidP="005E7707">
      <w:pPr>
        <w:spacing w:line="360" w:lineRule="auto"/>
        <w:ind w:firstLine="426"/>
        <w:jc w:val="both"/>
        <w:rPr>
          <w:color w:val="000000" w:themeColor="text1"/>
        </w:rPr>
      </w:pPr>
      <w:r>
        <w:t>Several frequently discussed metaverse features — such as NFT interoperability, smart contracts and rarity dynamics — may, in principle, strengthen perceived exclusivity, transferability and trust. We emphasise, however, that these features were not measured or analysed in the present study and therefore are presented as avenues for future investigation rather than as empirical findings. Managers may explore them cautiously, but the evidence reported here speaks to combinations of engagement, experience and satisfaction, not to blockchain-specific mechanisms.</w:t>
      </w:r>
    </w:p>
    <w:p w14:paraId="496E4158" w14:textId="24B95AC1" w:rsidR="005E7707" w:rsidRPr="005E7707" w:rsidRDefault="005E7707" w:rsidP="005E7707">
      <w:pPr>
        <w:spacing w:line="360" w:lineRule="auto"/>
        <w:ind w:firstLine="426"/>
        <w:jc w:val="both"/>
        <w:rPr>
          <w:color w:val="000000" w:themeColor="text1"/>
        </w:rPr>
      </w:pPr>
      <w:r w:rsidRPr="005E7707">
        <w:rPr>
          <w:color w:val="000000" w:themeColor="text1"/>
        </w:rPr>
        <w:t xml:space="preserve">Moreover, this study reveals a powerful synergy between user satisfaction and user engagement. The combination of active user participation with high satisfaction levels significantly enhances brand equity and loyalty (Jeong </w:t>
      </w:r>
      <w:r w:rsidR="001039BF">
        <w:rPr>
          <w:color w:val="000000" w:themeColor="text1"/>
        </w:rPr>
        <w:t>and</w:t>
      </w:r>
      <w:r w:rsidRPr="005E7707">
        <w:rPr>
          <w:color w:val="000000" w:themeColor="text1"/>
        </w:rPr>
        <w:t xml:space="preserve"> Kim, 2019). This finding underscores the importance of not only engaging users but also ensuring that their experiences remain positive and fulfilling. For brands, this means focusing on creating interactive opportunities that encourage users to actively shape their digital identities and experiences. Gamified interactions, co-creation opportunities, and rewards systems can effectively deepen user involvement while maintaining high satisfaction. As users take an active role in shaping the virtual environment, they experience a heightened sense of ownership and belonging, which in turn increases their emotional attachment to the brand. This also nurtures relational capital, a critical factor for fostering long-term loyalty in the metaverse.</w:t>
      </w:r>
    </w:p>
    <w:p w14:paraId="25CDA28A" w14:textId="77777777" w:rsidR="005E7707" w:rsidRDefault="005E7707" w:rsidP="005E7707">
      <w:pPr>
        <w:spacing w:line="360" w:lineRule="auto"/>
        <w:ind w:firstLine="426"/>
        <w:jc w:val="both"/>
        <w:rPr>
          <w:color w:val="000000" w:themeColor="text1"/>
        </w:rPr>
      </w:pPr>
      <w:r w:rsidRPr="005E7707">
        <w:rPr>
          <w:color w:val="000000" w:themeColor="text1"/>
        </w:rPr>
        <w:t xml:space="preserve">In this dynamic environment, immersive marketing plays a crucial role in adapting to the evolving user </w:t>
      </w:r>
      <w:proofErr w:type="spellStart"/>
      <w:r w:rsidRPr="005E7707">
        <w:rPr>
          <w:color w:val="000000" w:themeColor="text1"/>
        </w:rPr>
        <w:t>behaviors</w:t>
      </w:r>
      <w:proofErr w:type="spellEnd"/>
      <w:r w:rsidRPr="005E7707">
        <w:rPr>
          <w:color w:val="000000" w:themeColor="text1"/>
        </w:rPr>
        <w:t xml:space="preserve"> and ensuring sustained brand success. Real-time data analytics allow brands to continuously monitor and optimize key performance indicators (KPIs) such as user engagement, participation rates, and asset performance. By tracking these metrics, brands can adjust their strategies in response to shifting user expectations, ensuring that their engagement </w:t>
      </w:r>
      <w:r w:rsidRPr="005E7707">
        <w:rPr>
          <w:color w:val="000000" w:themeColor="text1"/>
        </w:rPr>
        <w:lastRenderedPageBreak/>
        <w:t>efforts remain aligned with user preferences. Socially, brands must ensure that virtual interactions are as meaningful and positive as those in the physical world. This requires careful attention to how users engage with each other and with the brand in virtual spaces. By fostering authentic and respectful virtual environments, brands can enhance emotional bonds, which are pivotal for user satisfaction and brand loyalty in the long run.</w:t>
      </w:r>
    </w:p>
    <w:p w14:paraId="6C375337" w14:textId="2F397D78" w:rsidR="00BE64E6" w:rsidRDefault="00BB3D1A" w:rsidP="00BE64E6">
      <w:pPr>
        <w:spacing w:line="360" w:lineRule="auto"/>
        <w:jc w:val="both"/>
        <w:rPr>
          <w:color w:val="000000" w:themeColor="text1"/>
        </w:rPr>
      </w:pPr>
      <w:r w:rsidRPr="005748A7">
        <w:rPr>
          <w:color w:val="000000" w:themeColor="text1"/>
        </w:rPr>
        <w:t>As illustrated in the</w:t>
      </w:r>
      <w:r>
        <w:rPr>
          <w:color w:val="000000" w:themeColor="text1"/>
        </w:rPr>
        <w:t xml:space="preserve"> Figure 5</w:t>
      </w:r>
      <w:r w:rsidRPr="005748A7">
        <w:rPr>
          <w:color w:val="000000" w:themeColor="text1"/>
        </w:rPr>
        <w:t xml:space="preserve">, several interconnected factors contribute to brand success in this virtual realm, with branding acting as the bridge between consumer expectations, brand expectations, and immersive digital experiences. Central to this marketing framework is the critical importance of brand consistency and immersive integration. In the Metaverse, brand presence is not confined to a mere visual identity but extends into interactive and emotional engagement. It is imperative for brands to align their values and messaging consistently across </w:t>
      </w:r>
      <w:r w:rsidR="00BE64E6" w:rsidRPr="005748A7">
        <w:rPr>
          <w:color w:val="000000" w:themeColor="text1"/>
        </w:rPr>
        <w:t>both physical and digital touchpoints, ensuring a seamless and cohesive brand narrative. Whether in virtual worlds or physical products, this integration fosters brand authenticity and trust (Koles et al., 2024). In line with marketing theory, the credibility of a brand is an outcome of sustained and consistent presence, particularly in such a fluid and dynamic space. Brands that master this integration not only capture consumer attention but also drive long-term engagement, ultimately sustaining a competitive advantage in the ever-evolving Metaverse.</w:t>
      </w:r>
      <w:r w:rsidR="00BE64E6">
        <w:rPr>
          <w:color w:val="000000" w:themeColor="text1"/>
        </w:rPr>
        <w:t xml:space="preserve"> </w:t>
      </w:r>
    </w:p>
    <w:p w14:paraId="7F2A6ACC" w14:textId="1AFBB73E" w:rsidR="00BE64E6" w:rsidRPr="005E7707" w:rsidRDefault="00BE64E6" w:rsidP="00BE64E6">
      <w:pPr>
        <w:spacing w:line="360" w:lineRule="auto"/>
        <w:ind w:firstLine="426"/>
        <w:jc w:val="both"/>
        <w:rPr>
          <w:color w:val="000000" w:themeColor="text1"/>
        </w:rPr>
      </w:pPr>
      <w:r w:rsidRPr="00377169">
        <w:rPr>
          <w:color w:val="000000" w:themeColor="text1"/>
        </w:rPr>
        <w:t xml:space="preserve">Within this emergent environment, four interdependent dimensions have been identified as foundational constructs: (1) </w:t>
      </w:r>
      <w:r w:rsidRPr="00377169">
        <w:rPr>
          <w:i/>
          <w:iCs/>
          <w:color w:val="000000" w:themeColor="text1"/>
        </w:rPr>
        <w:t>Immersive Experience</w:t>
      </w:r>
      <w:r w:rsidRPr="00377169">
        <w:rPr>
          <w:color w:val="000000" w:themeColor="text1"/>
        </w:rPr>
        <w:t xml:space="preserve">, which enhances sensory realism and presence; (2) </w:t>
      </w:r>
      <w:r w:rsidRPr="00377169">
        <w:rPr>
          <w:i/>
          <w:iCs/>
          <w:color w:val="000000" w:themeColor="text1"/>
        </w:rPr>
        <w:t>Identity and Self-Expression</w:t>
      </w:r>
      <w:r w:rsidRPr="00377169">
        <w:rPr>
          <w:color w:val="000000" w:themeColor="text1"/>
        </w:rPr>
        <w:t xml:space="preserve">, enabling personalized avatar embodiment and symbolic consumption; (3) </w:t>
      </w:r>
      <w:r w:rsidRPr="00377169">
        <w:rPr>
          <w:i/>
          <w:iCs/>
          <w:color w:val="000000" w:themeColor="text1"/>
        </w:rPr>
        <w:t>Social Interaction and Virtual Community</w:t>
      </w:r>
      <w:r w:rsidRPr="00377169">
        <w:rPr>
          <w:color w:val="000000" w:themeColor="text1"/>
        </w:rPr>
        <w:t xml:space="preserve">, which fosters relational capital and collective brand affiliation; and (4) </w:t>
      </w:r>
      <w:r w:rsidRPr="00377169">
        <w:rPr>
          <w:i/>
          <w:iCs/>
          <w:color w:val="000000" w:themeColor="text1"/>
        </w:rPr>
        <w:t>Economic System and Digital Ownership</w:t>
      </w:r>
      <w:r w:rsidRPr="00377169">
        <w:rPr>
          <w:color w:val="000000" w:themeColor="text1"/>
        </w:rPr>
        <w:t xml:space="preserve">, </w:t>
      </w:r>
    </w:p>
    <w:p w14:paraId="3E649294" w14:textId="19500E18" w:rsidR="005E7707" w:rsidRPr="005E7707" w:rsidRDefault="005E7707" w:rsidP="00732C9D">
      <w:pPr>
        <w:spacing w:line="360" w:lineRule="auto"/>
        <w:ind w:firstLine="426"/>
        <w:jc w:val="both"/>
        <w:rPr>
          <w:color w:val="000000" w:themeColor="text1"/>
        </w:rPr>
        <w:sectPr w:rsidR="005E7707" w:rsidRPr="005E7707" w:rsidSect="006F73B1">
          <w:pgSz w:w="11906" w:h="16838"/>
          <w:pgMar w:top="1440" w:right="1440" w:bottom="1440" w:left="1440" w:header="708" w:footer="708" w:gutter="0"/>
          <w:cols w:space="708"/>
          <w:docGrid w:linePitch="360"/>
        </w:sectPr>
      </w:pPr>
    </w:p>
    <w:p w14:paraId="7ACD25E7" w14:textId="2F2460D5" w:rsidR="005208D3" w:rsidRPr="0043234C" w:rsidRDefault="0027089B" w:rsidP="005208D3">
      <w:pPr>
        <w:jc w:val="both"/>
        <w:rPr>
          <w:color w:val="000000" w:themeColor="text1"/>
        </w:rPr>
      </w:pPr>
      <w:r w:rsidRPr="0027089B">
        <w:rPr>
          <w:noProof/>
          <w:color w:val="000000" w:themeColor="text1"/>
        </w:rPr>
        <w:lastRenderedPageBreak/>
        <w:drawing>
          <wp:inline distT="0" distB="0" distL="0" distR="0" wp14:anchorId="21A39B08" wp14:editId="32E57BC6">
            <wp:extent cx="8863330" cy="4955540"/>
            <wp:effectExtent l="19050" t="19050" r="13970" b="16510"/>
            <wp:docPr id="20151736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3621" name="Picture 1" descr="A diagram of a company&#10;&#10;AI-generated content may be incorrect."/>
                    <pic:cNvPicPr/>
                  </pic:nvPicPr>
                  <pic:blipFill>
                    <a:blip r:embed="rId10"/>
                    <a:stretch>
                      <a:fillRect/>
                    </a:stretch>
                  </pic:blipFill>
                  <pic:spPr>
                    <a:xfrm>
                      <a:off x="0" y="0"/>
                      <a:ext cx="8863330" cy="4955540"/>
                    </a:xfrm>
                    <a:prstGeom prst="rect">
                      <a:avLst/>
                    </a:prstGeom>
                    <a:ln>
                      <a:solidFill>
                        <a:schemeClr val="tx1"/>
                      </a:solidFill>
                    </a:ln>
                  </pic:spPr>
                </pic:pic>
              </a:graphicData>
            </a:graphic>
          </wp:inline>
        </w:drawing>
      </w:r>
    </w:p>
    <w:p w14:paraId="3357FF40" w14:textId="7F0A3574" w:rsidR="005208D3" w:rsidRPr="005E0F58" w:rsidRDefault="00AC523E" w:rsidP="005E0F58">
      <w:pPr>
        <w:jc w:val="both"/>
        <w:rPr>
          <w:i/>
          <w:iCs/>
          <w:color w:val="000000" w:themeColor="text1"/>
          <w:sz w:val="20"/>
          <w:szCs w:val="20"/>
        </w:rPr>
        <w:sectPr w:rsidR="005208D3" w:rsidRPr="005E0F58" w:rsidSect="005208D3">
          <w:pgSz w:w="16838" w:h="11906" w:orient="landscape"/>
          <w:pgMar w:top="1440" w:right="1440" w:bottom="1440" w:left="1440" w:header="709" w:footer="709" w:gutter="0"/>
          <w:cols w:space="708"/>
          <w:docGrid w:linePitch="360"/>
        </w:sectPr>
      </w:pPr>
      <w:r w:rsidRPr="0043234C">
        <w:rPr>
          <w:b/>
          <w:bCs/>
          <w:color w:val="000000" w:themeColor="text1"/>
        </w:rPr>
        <w:t xml:space="preserve"> </w:t>
      </w:r>
      <w:r w:rsidR="005208D3" w:rsidRPr="0043234C">
        <w:rPr>
          <w:b/>
          <w:bCs/>
          <w:i/>
          <w:iCs/>
          <w:color w:val="000000" w:themeColor="text1"/>
        </w:rPr>
        <w:t xml:space="preserve">Figure </w:t>
      </w:r>
      <w:r w:rsidR="005208D3">
        <w:rPr>
          <w:b/>
          <w:bCs/>
          <w:i/>
          <w:iCs/>
          <w:color w:val="000000" w:themeColor="text1"/>
        </w:rPr>
        <w:t>5</w:t>
      </w:r>
      <w:r w:rsidR="005208D3" w:rsidRPr="0043234C">
        <w:rPr>
          <w:b/>
          <w:bCs/>
          <w:i/>
          <w:iCs/>
          <w:color w:val="000000" w:themeColor="text1"/>
        </w:rPr>
        <w:t xml:space="preserve">. </w:t>
      </w:r>
      <w:r w:rsidR="005208D3">
        <w:rPr>
          <w:b/>
          <w:bCs/>
          <w:i/>
          <w:iCs/>
          <w:color w:val="000000" w:themeColor="text1"/>
        </w:rPr>
        <w:t>Metaverse System Features for</w:t>
      </w:r>
      <w:r w:rsidR="005208D3" w:rsidRPr="0043234C">
        <w:rPr>
          <w:b/>
          <w:bCs/>
          <w:i/>
          <w:iCs/>
          <w:color w:val="000000" w:themeColor="text1"/>
        </w:rPr>
        <w:t xml:space="preserve"> Brand Success in the Metaverse.</w:t>
      </w:r>
      <w:r w:rsidR="005208D3">
        <w:rPr>
          <w:b/>
          <w:bCs/>
          <w:i/>
          <w:iCs/>
          <w:color w:val="000000" w:themeColor="text1"/>
        </w:rPr>
        <w:t xml:space="preserve"> </w:t>
      </w:r>
      <w:r w:rsidR="005208D3" w:rsidRPr="0043234C">
        <w:rPr>
          <w:b/>
          <w:bCs/>
          <w:i/>
          <w:iCs/>
          <w:color w:val="000000" w:themeColor="text1"/>
          <w:sz w:val="20"/>
          <w:szCs w:val="20"/>
        </w:rPr>
        <w:t>Source:</w:t>
      </w:r>
      <w:r w:rsidR="005208D3" w:rsidRPr="0043234C">
        <w:rPr>
          <w:i/>
          <w:iCs/>
          <w:color w:val="000000" w:themeColor="text1"/>
          <w:sz w:val="20"/>
          <w:szCs w:val="20"/>
        </w:rPr>
        <w:t xml:space="preserve"> Authors</w:t>
      </w:r>
    </w:p>
    <w:p w14:paraId="45B1775A" w14:textId="77777777" w:rsidR="00BE64E6" w:rsidRDefault="00BE64E6" w:rsidP="00BE64E6">
      <w:pPr>
        <w:spacing w:line="360" w:lineRule="auto"/>
        <w:jc w:val="both"/>
        <w:rPr>
          <w:color w:val="000000" w:themeColor="text1"/>
        </w:rPr>
      </w:pPr>
      <w:r w:rsidRPr="00377169">
        <w:rPr>
          <w:color w:val="000000" w:themeColor="text1"/>
        </w:rPr>
        <w:lastRenderedPageBreak/>
        <w:t>underpinning transactional credibility and asset-based loyalty through blockchain-enabled ownership models. These dimensions operate synergistically, reinforcing the structural conditions for sustained brand performance within metaverse platforms.</w:t>
      </w:r>
    </w:p>
    <w:p w14:paraId="443C8984" w14:textId="79E15F02" w:rsidR="00BE64E6" w:rsidRPr="005748A7" w:rsidRDefault="00BE64E6" w:rsidP="00BE64E6">
      <w:pPr>
        <w:spacing w:line="360" w:lineRule="auto"/>
        <w:ind w:firstLine="426"/>
        <w:jc w:val="both"/>
        <w:rPr>
          <w:color w:val="000000" w:themeColor="text1"/>
        </w:rPr>
      </w:pPr>
      <w:r w:rsidRPr="005748A7">
        <w:rPr>
          <w:color w:val="000000" w:themeColor="text1"/>
        </w:rPr>
        <w:t xml:space="preserve">Further enhancing the marketing strategy, psychological engagement within the Metaverse plays a pivotal role. Brands now have the opportunity to transcend traditional one-way marketing tactics, harnessing AI-driven personalization and avatar customization to foster deeper emotional resonance. By crafting individualized experiences that align with consumers’ evolving self-concept and aspirations, brands tap into profound psychological dimensions (Jung </w:t>
      </w:r>
      <w:r w:rsidR="001039BF">
        <w:rPr>
          <w:color w:val="000000" w:themeColor="text1"/>
        </w:rPr>
        <w:t>and</w:t>
      </w:r>
      <w:r w:rsidRPr="005748A7">
        <w:rPr>
          <w:color w:val="000000" w:themeColor="text1"/>
        </w:rPr>
        <w:t xml:space="preserve"> Pawlowski, 2014). This personalization ensures that consumers feel authentically represented and empowered within virtual spaces. The emotional bond established through this </w:t>
      </w:r>
    </w:p>
    <w:p w14:paraId="61747447" w14:textId="77777777" w:rsidR="00BE64E6" w:rsidRDefault="00BE64E6" w:rsidP="00BE64E6">
      <w:pPr>
        <w:spacing w:line="360" w:lineRule="auto"/>
        <w:jc w:val="both"/>
        <w:rPr>
          <w:color w:val="000000" w:themeColor="text1"/>
        </w:rPr>
      </w:pPr>
      <w:r w:rsidRPr="005748A7">
        <w:rPr>
          <w:color w:val="000000" w:themeColor="text1"/>
        </w:rPr>
        <w:t>process is essential for brand loyalty in the Metaverse, as users are more likely to remain engaged with brands that mirror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sidRPr="005E7707">
        <w:rPr>
          <w:color w:val="000000" w:themeColor="text1"/>
        </w:rPr>
        <w:t xml:space="preserve">Finally, this study emphasizes that user experience is the cornerstone of both brand satisfaction and brand success in the metaverse. For brands to remain competitive and maintain sustained engagement, they must ensure that their immersive experiences are emotionally resonant, consistent, and aligned with the values and identities of their users. It is no longer sufficient for brands to offer merely functional or visually appealing virtual assets; the experience itself must be meaningful and integrated into users’ broader virtual lives. Brands </w:t>
      </w:r>
      <w:r>
        <w:rPr>
          <w:color w:val="000000" w:themeColor="text1"/>
        </w:rPr>
        <w:t xml:space="preserve">  </w:t>
      </w:r>
      <w:r w:rsidRPr="005E7707">
        <w:rPr>
          <w:color w:val="000000" w:themeColor="text1"/>
        </w:rPr>
        <w:t>that consistently deliver high-quality, interactive experiences that align with users' expectations will not only capture attention but also build long-term engagement and brand loyalty. The study’s findings reinforce the importance of a holistic approach to metaverse branding, where engagement, experience, and satisfaction are interwoven and mutually reinforcing factors that collectively drive brand success.</w:t>
      </w:r>
    </w:p>
    <w:p w14:paraId="0CB6B5B0" w14:textId="77777777" w:rsidR="005E7707" w:rsidRPr="005E7707" w:rsidRDefault="005E7707" w:rsidP="005E7707">
      <w:pPr>
        <w:spacing w:line="360" w:lineRule="auto"/>
        <w:ind w:firstLine="426"/>
        <w:jc w:val="both"/>
        <w:rPr>
          <w:color w:val="000000" w:themeColor="text1"/>
        </w:rPr>
      </w:pPr>
      <w:r>
        <w:rPr>
          <w:color w:val="000000" w:themeColor="text1"/>
        </w:rPr>
        <w:t>T</w:t>
      </w:r>
      <w:r w:rsidRPr="005E7707">
        <w:rPr>
          <w:color w:val="000000" w:themeColor="text1"/>
        </w:rPr>
        <w:t>he key to sustained success in the metaverse lies in brands’ ability to create immersive, emotionally resonant experiences that integrate personalization, NFT functionality, interactive marketing, and trust-building mechanisms. Brands that can master these dimensions will be well-positioned to foster deep user engagement, long-term brand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val="0"/>
        </w:rPr>
        <w:t>Finally, the broader context warrants candour. Several large technology firms have scaled back their metaverse investments, and there is legitimate debate about whether early metaverse enthusiasm represented a hype cycle. We therefore frame our contribution conservatively: the findings speak most directly to brands that remain active on large, metaverse-like platforms — game-based virtual worlds such as Roblox and Fortnite and social virtual reality — and to the design of future immersive environments, including mixed reality and emerging persistent virtual ecosystems. Rather than assuming the metaverse’s inevitability, we position immersive, avatar-mediated branding as an evolving phenomenon whose underlying psychological mechanisms — engagement, experience and satisfaction — are likely to persist across successive technological forms.</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r>
        <w:rPr>
          <w:b/>
        </w:rPr>
        <w:t>Appendix A. Measurement Items</w:t>
      </w:r>
    </w:p>
    <w:p>
      <w:r>
        <w:rPr>
          <w:b w:val="0"/>
        </w:rPr>
        <w:t>All items were adapted to the metaverse branding context from the cited sources and measured with Likert-type response scales. Item codes correspond to the standardised loadings reported in Table 2.</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rPr>
              <w:t>Construct (source)</w:t>
            </w:r>
          </w:p>
        </w:tc>
        <w:tc>
          <w:tcPr>
            <w:tcW w:type="dxa" w:w="3009"/>
          </w:tcPr>
          <w:p>
            <w:r>
              <w:rPr>
                <w:b/>
              </w:rPr>
              <w:t>Code</w:t>
            </w:r>
          </w:p>
        </w:tc>
        <w:tc>
          <w:tcPr>
            <w:tcW w:type="dxa" w:w="3009"/>
          </w:tcPr>
          <w:p>
            <w:r>
              <w:rPr>
                <w:b/>
              </w:rPr>
              <w:t>Item wording (adapted)</w:t>
            </w:r>
          </w:p>
        </w:tc>
      </w:tr>
      <w:tr>
        <w:tc>
          <w:tcPr>
            <w:tcW w:type="dxa" w:w="3009"/>
          </w:tcPr>
          <w:p>
            <w:r>
              <w:t>User Engagement (UE) — adapted from O’Brien and Toms (2010)</w:t>
            </w:r>
          </w:p>
        </w:tc>
        <w:tc>
          <w:tcPr>
            <w:tcW w:type="dxa" w:w="3009"/>
          </w:tcPr>
          <w:p>
            <w:r>
              <w:t>UE_1</w:t>
            </w:r>
          </w:p>
        </w:tc>
        <w:tc>
          <w:tcPr>
            <w:tcW w:type="dxa" w:w="3009"/>
          </w:tcPr>
          <w:p>
            <w:r>
              <w:t>I lost track of myself in the brand’s metaverse experience.</w:t>
            </w:r>
          </w:p>
        </w:tc>
      </w:tr>
      <w:tr>
        <w:tc>
          <w:tcPr>
            <w:tcW w:type="dxa" w:w="3009"/>
          </w:tcPr>
          <w:p>
            <w:r/>
          </w:p>
        </w:tc>
        <w:tc>
          <w:tcPr>
            <w:tcW w:type="dxa" w:w="3009"/>
          </w:tcPr>
          <w:p>
            <w:r>
              <w:t>UE_2</w:t>
            </w:r>
          </w:p>
        </w:tc>
        <w:tc>
          <w:tcPr>
            <w:tcW w:type="dxa" w:w="3009"/>
          </w:tcPr>
          <w:p>
            <w:r>
              <w:t>The time I spent in the brand’s metaverse space slipped away.</w:t>
            </w:r>
          </w:p>
        </w:tc>
      </w:tr>
      <w:tr>
        <w:tc>
          <w:tcPr>
            <w:tcW w:type="dxa" w:w="3009"/>
          </w:tcPr>
          <w:p>
            <w:r/>
          </w:p>
        </w:tc>
        <w:tc>
          <w:tcPr>
            <w:tcW w:type="dxa" w:w="3009"/>
          </w:tcPr>
          <w:p>
            <w:r>
              <w:t>UE_3</w:t>
            </w:r>
          </w:p>
        </w:tc>
        <w:tc>
          <w:tcPr>
            <w:tcW w:type="dxa" w:w="3009"/>
          </w:tcPr>
          <w:p>
            <w:r>
              <w:t>I was absorbed in what I was doing in the brand’s metaverse space.</w:t>
            </w:r>
          </w:p>
        </w:tc>
      </w:tr>
      <w:tr>
        <w:tc>
          <w:tcPr>
            <w:tcW w:type="dxa" w:w="3009"/>
          </w:tcPr>
          <w:p>
            <w:r/>
          </w:p>
        </w:tc>
        <w:tc>
          <w:tcPr>
            <w:tcW w:type="dxa" w:w="3009"/>
          </w:tcPr>
          <w:p>
            <w:r>
              <w:t>UE_4</w:t>
            </w:r>
          </w:p>
        </w:tc>
        <w:tc>
          <w:tcPr>
            <w:tcW w:type="dxa" w:w="3009"/>
          </w:tcPr>
          <w:p>
            <w:r>
              <w:t>I felt involved in the brand’s metaverse activities.</w:t>
            </w:r>
          </w:p>
        </w:tc>
      </w:tr>
      <w:tr>
        <w:tc>
          <w:tcPr>
            <w:tcW w:type="dxa" w:w="3009"/>
          </w:tcPr>
          <w:p>
            <w:r/>
          </w:p>
        </w:tc>
        <w:tc>
          <w:tcPr>
            <w:tcW w:type="dxa" w:w="3009"/>
          </w:tcPr>
          <w:p>
            <w:r>
              <w:t>UE_5</w:t>
            </w:r>
          </w:p>
        </w:tc>
        <w:tc>
          <w:tcPr>
            <w:tcW w:type="dxa" w:w="3009"/>
          </w:tcPr>
          <w:p>
            <w:r>
              <w:t>The brand’s metaverse experience was fun.</w:t>
            </w:r>
          </w:p>
        </w:tc>
      </w:tr>
      <w:tr>
        <w:tc>
          <w:tcPr>
            <w:tcW w:type="dxa" w:w="3009"/>
          </w:tcPr>
          <w:p>
            <w:r/>
          </w:p>
        </w:tc>
        <w:tc>
          <w:tcPr>
            <w:tcW w:type="dxa" w:w="3009"/>
          </w:tcPr>
          <w:p>
            <w:r>
              <w:t>UE_6</w:t>
            </w:r>
          </w:p>
        </w:tc>
        <w:tc>
          <w:tcPr>
            <w:tcW w:type="dxa" w:w="3009"/>
          </w:tcPr>
          <w:p>
            <w:r>
              <w:t>I was motivated to keep interacting with the brand in the metaverse.</w:t>
            </w:r>
          </w:p>
        </w:tc>
      </w:tr>
      <w:tr>
        <w:tc>
          <w:tcPr>
            <w:tcW w:type="dxa" w:w="3009"/>
          </w:tcPr>
          <w:p>
            <w:r/>
          </w:p>
        </w:tc>
        <w:tc>
          <w:tcPr>
            <w:tcW w:type="dxa" w:w="3009"/>
          </w:tcPr>
          <w:p>
            <w:r>
              <w:t>UE_7</w:t>
            </w:r>
          </w:p>
        </w:tc>
        <w:tc>
          <w:tcPr>
            <w:tcW w:type="dxa" w:w="3009"/>
          </w:tcPr>
          <w:p>
            <w:r>
              <w:t>I would recommend the brand’s metaverse experience to others.</w:t>
            </w:r>
          </w:p>
        </w:tc>
      </w:tr>
      <w:tr>
        <w:tc>
          <w:tcPr>
            <w:tcW w:type="dxa" w:w="3009"/>
          </w:tcPr>
          <w:p>
            <w:r/>
          </w:p>
        </w:tc>
        <w:tc>
          <w:tcPr>
            <w:tcW w:type="dxa" w:w="3009"/>
          </w:tcPr>
          <w:p>
            <w:r>
              <w:t>UE_8</w:t>
            </w:r>
          </w:p>
        </w:tc>
        <w:tc>
          <w:tcPr>
            <w:tcW w:type="dxa" w:w="3009"/>
          </w:tcPr>
          <w:p>
            <w:r>
              <w:t>Interacting with the brand in the metaverse was worthwhile.</w:t>
            </w:r>
          </w:p>
        </w:tc>
      </w:tr>
      <w:tr>
        <w:tc>
          <w:tcPr>
            <w:tcW w:type="dxa" w:w="3009"/>
          </w:tcPr>
          <w:p>
            <w:r/>
          </w:p>
        </w:tc>
        <w:tc>
          <w:tcPr>
            <w:tcW w:type="dxa" w:w="3009"/>
          </w:tcPr>
          <w:p>
            <w:r>
              <w:t>UE_9</w:t>
            </w:r>
          </w:p>
        </w:tc>
        <w:tc>
          <w:tcPr>
            <w:tcW w:type="dxa" w:w="3009"/>
          </w:tcPr>
          <w:p>
            <w:r>
              <w:t>I felt interested in the brand’s metaverse activities.</w:t>
            </w:r>
          </w:p>
        </w:tc>
      </w:tr>
      <w:tr>
        <w:tc>
          <w:tcPr>
            <w:tcW w:type="dxa" w:w="3009"/>
          </w:tcPr>
          <w:p>
            <w:r/>
          </w:p>
        </w:tc>
        <w:tc>
          <w:tcPr>
            <w:tcW w:type="dxa" w:w="3009"/>
          </w:tcPr>
          <w:p>
            <w:r>
              <w:t>UE_10</w:t>
            </w:r>
          </w:p>
        </w:tc>
        <w:tc>
          <w:tcPr>
            <w:tcW w:type="dxa" w:w="3009"/>
          </w:tcPr>
          <w:p>
            <w:r>
              <w:t>I would return to the brand’s metaverse space.</w:t>
            </w:r>
          </w:p>
        </w:tc>
      </w:tr>
      <w:tr>
        <w:tc>
          <w:tcPr>
            <w:tcW w:type="dxa" w:w="3009"/>
          </w:tcPr>
          <w:p>
            <w:r>
              <w:t>User Experience (UX) — adapted from O’Brien and Toms (2010); Basu et al. (2024); Cadet and Chainay (2020)</w:t>
            </w:r>
          </w:p>
        </w:tc>
        <w:tc>
          <w:tcPr>
            <w:tcW w:type="dxa" w:w="3009"/>
          </w:tcPr>
          <w:p>
            <w:r>
              <w:t>UX_1</w:t>
            </w:r>
          </w:p>
        </w:tc>
        <w:tc>
          <w:tcPr>
            <w:tcW w:type="dxa" w:w="3009"/>
          </w:tcPr>
          <w:p>
            <w:r>
              <w:t>The brand’s metaverse environment was easy to use.</w:t>
            </w:r>
          </w:p>
        </w:tc>
      </w:tr>
      <w:tr>
        <w:tc>
          <w:tcPr>
            <w:tcW w:type="dxa" w:w="3009"/>
          </w:tcPr>
          <w:p>
            <w:r/>
          </w:p>
        </w:tc>
        <w:tc>
          <w:tcPr>
            <w:tcW w:type="dxa" w:w="3009"/>
          </w:tcPr>
          <w:p>
            <w:r>
              <w:t>UX_2</w:t>
            </w:r>
          </w:p>
        </w:tc>
        <w:tc>
          <w:tcPr>
            <w:tcW w:type="dxa" w:w="3009"/>
          </w:tcPr>
          <w:p>
            <w:r>
              <w:t>It was easy to navigate the brand’s metaverse space.</w:t>
            </w:r>
          </w:p>
        </w:tc>
      </w:tr>
      <w:tr>
        <w:tc>
          <w:tcPr>
            <w:tcW w:type="dxa" w:w="3009"/>
          </w:tcPr>
          <w:p>
            <w:r/>
          </w:p>
        </w:tc>
        <w:tc>
          <w:tcPr>
            <w:tcW w:type="dxa" w:w="3009"/>
          </w:tcPr>
          <w:p>
            <w:r>
              <w:t>UX_3</w:t>
            </w:r>
          </w:p>
        </w:tc>
        <w:tc>
          <w:tcPr>
            <w:tcW w:type="dxa" w:w="3009"/>
          </w:tcPr>
          <w:p>
            <w:r>
              <w:t>The brand’s metaverse environment was visually appealing.</w:t>
            </w:r>
          </w:p>
        </w:tc>
      </w:tr>
      <w:tr>
        <w:tc>
          <w:tcPr>
            <w:tcW w:type="dxa" w:w="3009"/>
          </w:tcPr>
          <w:p>
            <w:r/>
          </w:p>
        </w:tc>
        <w:tc>
          <w:tcPr>
            <w:tcW w:type="dxa" w:w="3009"/>
          </w:tcPr>
          <w:p>
            <w:r>
              <w:t>UX_4</w:t>
            </w:r>
          </w:p>
        </w:tc>
        <w:tc>
          <w:tcPr>
            <w:tcW w:type="dxa" w:w="3009"/>
          </w:tcPr>
          <w:p>
            <w:r>
              <w:t>The brand’s metaverse space was aesthetically pleasing.</w:t>
            </w:r>
          </w:p>
        </w:tc>
      </w:tr>
      <w:tr>
        <w:tc>
          <w:tcPr>
            <w:tcW w:type="dxa" w:w="3009"/>
          </w:tcPr>
          <w:p>
            <w:r/>
          </w:p>
        </w:tc>
        <w:tc>
          <w:tcPr>
            <w:tcW w:type="dxa" w:w="3009"/>
          </w:tcPr>
          <w:p>
            <w:r>
              <w:t>UX_5</w:t>
            </w:r>
          </w:p>
        </w:tc>
        <w:tc>
          <w:tcPr>
            <w:tcW w:type="dxa" w:w="3009"/>
          </w:tcPr>
          <w:p>
            <w:r>
              <w:t>I felt present in the brand’s metaverse environment.</w:t>
            </w:r>
          </w:p>
        </w:tc>
      </w:tr>
      <w:tr>
        <w:tc>
          <w:tcPr>
            <w:tcW w:type="dxa" w:w="3009"/>
          </w:tcPr>
          <w:p>
            <w:r/>
          </w:p>
        </w:tc>
        <w:tc>
          <w:tcPr>
            <w:tcW w:type="dxa" w:w="3009"/>
          </w:tcPr>
          <w:p>
            <w:r>
              <w:t>UX_6</w:t>
            </w:r>
          </w:p>
        </w:tc>
        <w:tc>
          <w:tcPr>
            <w:tcW w:type="dxa" w:w="3009"/>
          </w:tcPr>
          <w:p>
            <w:r>
              <w:t>The brand’s metaverse environment felt realistic.</w:t>
            </w:r>
          </w:p>
        </w:tc>
      </w:tr>
      <w:tr>
        <w:tc>
          <w:tcPr>
            <w:tcW w:type="dxa" w:w="3009"/>
          </w:tcPr>
          <w:p>
            <w:r/>
          </w:p>
        </w:tc>
        <w:tc>
          <w:tcPr>
            <w:tcW w:type="dxa" w:w="3009"/>
          </w:tcPr>
          <w:p>
            <w:r>
              <w:t>UX_7</w:t>
            </w:r>
          </w:p>
        </w:tc>
        <w:tc>
          <w:tcPr>
            <w:tcW w:type="dxa" w:w="3009"/>
          </w:tcPr>
          <w:p>
            <w:r>
              <w:t>The sensory quality (visuals and sound) of the experience was high.</w:t>
            </w:r>
          </w:p>
        </w:tc>
      </w:tr>
      <w:tr>
        <w:tc>
          <w:tcPr>
            <w:tcW w:type="dxa" w:w="3009"/>
          </w:tcPr>
          <w:p>
            <w:r/>
          </w:p>
        </w:tc>
        <w:tc>
          <w:tcPr>
            <w:tcW w:type="dxa" w:w="3009"/>
          </w:tcPr>
          <w:p>
            <w:r>
              <w:t>UX_8</w:t>
            </w:r>
          </w:p>
        </w:tc>
        <w:tc>
          <w:tcPr>
            <w:tcW w:type="dxa" w:w="3009"/>
          </w:tcPr>
          <w:p>
            <w:r>
              <w:t>The experience responded smoothly to my actions.</w:t>
            </w:r>
          </w:p>
        </w:tc>
      </w:tr>
      <w:tr>
        <w:tc>
          <w:tcPr>
            <w:tcW w:type="dxa" w:w="3009"/>
          </w:tcPr>
          <w:p>
            <w:r/>
          </w:p>
        </w:tc>
        <w:tc>
          <w:tcPr>
            <w:tcW w:type="dxa" w:w="3009"/>
          </w:tcPr>
          <w:p>
            <w:r>
              <w:t>UX_9</w:t>
            </w:r>
          </w:p>
        </w:tc>
        <w:tc>
          <w:tcPr>
            <w:tcW w:type="dxa" w:w="3009"/>
          </w:tcPr>
          <w:p>
            <w:r>
              <w:t>I felt immersed in the brand’s metaverse environment.</w:t>
            </w:r>
          </w:p>
        </w:tc>
      </w:tr>
      <w:tr>
        <w:tc>
          <w:tcPr>
            <w:tcW w:type="dxa" w:w="3009"/>
          </w:tcPr>
          <w:p>
            <w:r/>
          </w:p>
        </w:tc>
        <w:tc>
          <w:tcPr>
            <w:tcW w:type="dxa" w:w="3009"/>
          </w:tcPr>
          <w:p>
            <w:r>
              <w:t>UX_10</w:t>
            </w:r>
          </w:p>
        </w:tc>
        <w:tc>
          <w:tcPr>
            <w:tcW w:type="dxa" w:w="3009"/>
          </w:tcPr>
          <w:p>
            <w:r>
              <w:t>Overall, the brand’s metaverse experience was of high quality.</w:t>
            </w:r>
          </w:p>
        </w:tc>
      </w:tr>
      <w:tr>
        <w:tc>
          <w:tcPr>
            <w:tcW w:type="dxa" w:w="3009"/>
          </w:tcPr>
          <w:p>
            <w:r>
              <w:t>Brand Satisfaction (BSAT) — adapted from Fornell et al. (1996)</w:t>
            </w:r>
          </w:p>
        </w:tc>
        <w:tc>
          <w:tcPr>
            <w:tcW w:type="dxa" w:w="3009"/>
          </w:tcPr>
          <w:p>
            <w:r>
              <w:t>BSAT_1</w:t>
            </w:r>
          </w:p>
        </w:tc>
        <w:tc>
          <w:tcPr>
            <w:tcW w:type="dxa" w:w="3009"/>
          </w:tcPr>
          <w:p>
            <w:r>
              <w:t>Overall, I am satisfied with the brand’s presence in the metaverse.</w:t>
            </w:r>
          </w:p>
        </w:tc>
      </w:tr>
      <w:tr>
        <w:tc>
          <w:tcPr>
            <w:tcW w:type="dxa" w:w="3009"/>
          </w:tcPr>
          <w:p>
            <w:r/>
          </w:p>
        </w:tc>
        <w:tc>
          <w:tcPr>
            <w:tcW w:type="dxa" w:w="3009"/>
          </w:tcPr>
          <w:p>
            <w:r>
              <w:t>BSAT_2</w:t>
            </w:r>
          </w:p>
        </w:tc>
        <w:tc>
          <w:tcPr>
            <w:tcW w:type="dxa" w:w="3009"/>
          </w:tcPr>
          <w:p>
            <w:r>
              <w:t>The brand’s metaverse experience met my expectations.</w:t>
            </w:r>
          </w:p>
        </w:tc>
      </w:tr>
      <w:tr>
        <w:tc>
          <w:tcPr>
            <w:tcW w:type="dxa" w:w="3009"/>
          </w:tcPr>
          <w:p>
            <w:r/>
          </w:p>
        </w:tc>
        <w:tc>
          <w:tcPr>
            <w:tcW w:type="dxa" w:w="3009"/>
          </w:tcPr>
          <w:p>
            <w:r>
              <w:t>BSAT_3</w:t>
            </w:r>
          </w:p>
        </w:tc>
        <w:tc>
          <w:tcPr>
            <w:tcW w:type="dxa" w:w="3009"/>
          </w:tcPr>
          <w:p>
            <w:r>
              <w:t>The brand’s metaverse experience came close to my ideal.</w:t>
            </w:r>
          </w:p>
        </w:tc>
      </w:tr>
      <w:tr>
        <w:tc>
          <w:tcPr>
            <w:tcW w:type="dxa" w:w="3009"/>
          </w:tcPr>
          <w:p>
            <w:r/>
          </w:p>
        </w:tc>
        <w:tc>
          <w:tcPr>
            <w:tcW w:type="dxa" w:w="3009"/>
          </w:tcPr>
          <w:p>
            <w:r>
              <w:t>BSAT_4</w:t>
            </w:r>
          </w:p>
        </w:tc>
        <w:tc>
          <w:tcPr>
            <w:tcW w:type="dxa" w:w="3009"/>
          </w:tcPr>
          <w:p>
            <w:r>
              <w:t>I am pleased with my experience of the brand in the metaverse.</w:t>
            </w:r>
          </w:p>
        </w:tc>
      </w:tr>
      <w:tr>
        <w:tc>
          <w:tcPr>
            <w:tcW w:type="dxa" w:w="3009"/>
          </w:tcPr>
          <w:p>
            <w:r/>
          </w:p>
        </w:tc>
        <w:tc>
          <w:tcPr>
            <w:tcW w:type="dxa" w:w="3009"/>
          </w:tcPr>
          <w:p>
            <w:r>
              <w:t>BSAT_5</w:t>
            </w:r>
          </w:p>
        </w:tc>
        <w:tc>
          <w:tcPr>
            <w:tcW w:type="dxa" w:w="3009"/>
          </w:tcPr>
          <w:p>
            <w:r>
              <w:t>The brand’s metaverse offering was satisfactory.</w:t>
            </w:r>
          </w:p>
        </w:tc>
      </w:tr>
      <w:tr>
        <w:tc>
          <w:tcPr>
            <w:tcW w:type="dxa" w:w="3009"/>
          </w:tcPr>
          <w:p>
            <w:r>
              <w:t>Brand Success (BSUC) — developed for this study, drawing on Mathwick et al. (2008)</w:t>
            </w:r>
          </w:p>
        </w:tc>
        <w:tc>
          <w:tcPr>
            <w:tcW w:type="dxa" w:w="3009"/>
          </w:tcPr>
          <w:p>
            <w:r>
              <w:t>BSUC_1</w:t>
            </w:r>
          </w:p>
        </w:tc>
        <w:tc>
          <w:tcPr>
            <w:tcW w:type="dxa" w:w="3009"/>
          </w:tcPr>
          <w:p>
            <w:r>
              <w:t>This brand stands out from competitors in the metaverse.</w:t>
            </w:r>
          </w:p>
        </w:tc>
      </w:tr>
      <w:tr>
        <w:tc>
          <w:tcPr>
            <w:tcW w:type="dxa" w:w="3009"/>
          </w:tcPr>
          <w:p>
            <w:r/>
          </w:p>
        </w:tc>
        <w:tc>
          <w:tcPr>
            <w:tcW w:type="dxa" w:w="3009"/>
          </w:tcPr>
          <w:p>
            <w:r>
              <w:t>BSUC_2</w:t>
            </w:r>
          </w:p>
        </w:tc>
        <w:tc>
          <w:tcPr>
            <w:tcW w:type="dxa" w:w="3009"/>
          </w:tcPr>
          <w:p>
            <w:r>
              <w:t>I would choose this brand over others because of its metaverse presence.</w:t>
            </w:r>
          </w:p>
        </w:tc>
      </w:tr>
      <w:tr>
        <w:tc>
          <w:tcPr>
            <w:tcW w:type="dxa" w:w="3009"/>
          </w:tcPr>
          <w:p>
            <w:r/>
          </w:p>
        </w:tc>
        <w:tc>
          <w:tcPr>
            <w:tcW w:type="dxa" w:w="3009"/>
          </w:tcPr>
          <w:p>
            <w:r>
              <w:t>BSUC_3</w:t>
            </w:r>
          </w:p>
        </w:tc>
        <w:tc>
          <w:tcPr>
            <w:tcW w:type="dxa" w:w="3009"/>
          </w:tcPr>
          <w:p>
            <w:r>
              <w:t>I would speak positively about this brand to others.</w:t>
            </w:r>
          </w:p>
        </w:tc>
      </w:tr>
      <w:tr>
        <w:tc>
          <w:tcPr>
            <w:tcW w:type="dxa" w:w="3009"/>
          </w:tcPr>
          <w:p>
            <w:r/>
          </w:p>
        </w:tc>
        <w:tc>
          <w:tcPr>
            <w:tcW w:type="dxa" w:w="3009"/>
          </w:tcPr>
          <w:p>
            <w:r>
              <w:t>BSUC_4</w:t>
            </w:r>
          </w:p>
        </w:tc>
        <w:tc>
          <w:tcPr>
            <w:tcW w:type="dxa" w:w="3009"/>
          </w:tcPr>
          <w:p>
            <w:r>
              <w:t>The brand has a competitive advantage in the metaverse.</w:t>
            </w:r>
          </w:p>
        </w:tc>
      </w:tr>
    </w:tbl>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