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rPr>
          <w:highlight w:val="yellow"/>
        </w:rPr>
        <w:t>This study advances a configurational account of brand success in the metaverse in which user engagement (UE) and user experience (UX) act as antecedents of brand satisfaction (BSAT), which in turn is associated with brand success (BSUC). Rather than treating these as isolated drivers, the analysis examines how they combine, consistent with the view that brand outcomes in immersive, avatar-mediated environments emerge from configurations of engagement, experience and satisfaction rather than from any single factor.</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t xml:space="preserve">Social interactions also reinforce engagement, with online brand communities and metaverse platforms fostering trust, knowledge-sharing, and purchase intention (Agnihotri et al., 2024; Kumar and Shankar, 2024). </w:t>
      </w:r>
      <w:r>
        <w:rPr>
          <w:highlight w:val="yellow"/>
        </w:rPr>
        <w:t>Interactivity—through avatars, two-way communication and community identity—further 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t>Subsequent studies expanded this view. For example, 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Pr>
          <w:highlight w:val="yellow"/>
        </w:rPr>
        <w:t>By systematically applying fsQCA, the study identifies the engagement–experience–satisfaction configurations associated with brand success in virtual environments, complementing the measurement model with a configurational account and offering practical guidance for managers designing resilient metaverse strategies.</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All constructs were measured on seven-point Likert scales anchored from 1 (strongly disagree) to 7 (strongly agree). The ten-item engagement and experience scales are adapted subsets</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proofErr w:type="spellStart"/>
      <w:proofErr w:type="spellEnd"/>
      <w:proofErr w:type="spellStart"/>
      <w:proofErr w:type="spellEnd"/>
      <w:r>
        <w:rPr>
          <w:highlight w:val="yellow"/>
        </w:rPr>
        <w:t>The Sandbox focuses on voxel-based content creation, allowing users to design, own and monetise experiences; major brands such as Adidas have used the platform for interactive campaigns (Brandes and Dölp, 2025). Across these platforms, the study considered four primary types of metaverse activity: trading digital assets to enhance virtual identities or for investment purposes (Lee and Shen, 2024); attending virtual events; interacting with other users through avatars to build communities or collaborate on shared goals (Hennig-Thurau et al., 2023); and designing digital assets or developing interactive experiences that contribute to the virtual ecosystem (Bilgihan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In the present study, the primary analysis used PLS-SEM to confirm the reliability and consistency of the constructs; the output indicates that the measurement scales demonstrated satisfactory reliability and consistency. The measurement model was evaluated through standardized factor loadings, Cronbach’s α, composite reliability (CR) and average variance extracted (AVE). The standardized factor loadings ranged from 0.699 to 0.741 for Brand Satisfaction, 0.670 to 0.707 for User Engagement, 0.677 to 0.714 for User Experience, and 0.661 to 0.682 for Brand Success, all exceeding the 0.60 minimum (Bagozzi and Yi, 1988). The corresponding z-values were all significant (p &lt; .001), supporting convergent evidence for the items (Table 2).</w:t>
      </w:r>
    </w:p>
    <w:p w14:paraId="4C6AEE07" w14:textId="44D0C3B2" w:rsidR="002B4CA4" w:rsidRPr="002B4CA4" w:rsidRDefault="002B4CA4" w:rsidP="002B4CA4">
      <w:pPr>
        <w:spacing w:line="360" w:lineRule="auto"/>
        <w:jc w:val="both"/>
        <w:rPr>
          <w:color w:val="000000" w:themeColor="text1"/>
        </w:rPr>
      </w:pPr>
      <w:r>
        <w:t>Reliability was assessed using Cronbach’s α and composite reliability computed from the standardized loadings. Cronbach’s α values were 0.84 for Brand Satisfaction, 0.90 for User Engagement, 0.90 for User Experience and 0.77 for Brand Success, all above the 0.70 minimum (Nunnally and Bernstein, 1994). The corresponding composite reliability values were 0.84, 0.90, 0.90 and 0.77, each exceeding the 0.70 cut-off (Hair et al., 2019). These results indicate that the items consistently measure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standardized factor loadings, composite reliability (CR) and average variance extracted (AVE; Table 2). All loadings were positive and significant (p &lt; .001), and composite reliability ranged from 0.77 to 0.90, supporting convergent validity (Hair et al., 2019). The AVE values were 0.51 (Brand Satisfaction), 0.48 (User Engagement), 0.48 (User Experience) and 0.45 (Brand Success). Although three constructs fell marginally below the 0.50 guideline, convergent validity is supported by the significant loadings and adequate composite reliability, consistent with Fornell and Larcker (1981), who note that composite reliability can compensate when AVE is slightly below 0.50.</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a stringent criterion recommended in variance-based SEM research (Hair et al., 2019; Henseler et al., 2015). HTMT values below 0.85 indicate satisfactory discriminant validity. As presented in Table 2a, all HTMT values in the present study fall below the 0.85 threshold (maximum = 0.814 for the engagement–experience pair), confirming that each construct is empirically distinct. Combined with the Harman single-factor result, these checks indicate that neither common method bias nor a lack of discriminant validity poses a material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r>
              <w:t>0.841</w:t>
            </w:r>
          </w:p>
        </w:tc>
        <w:tc>
          <w:tcPr>
            <w:tcW w:w="525" w:type="pct"/>
            <w:vMerge w:val="restart"/>
            <w:tcBorders>
              <w:top w:val="nil"/>
              <w:left w:val="nil"/>
              <w:right w:val="nil"/>
            </w:tcBorders>
            <w:tcMar>
              <w:top w:w="120" w:type="dxa"/>
              <w:left w:w="120" w:type="dxa"/>
              <w:bottom w:w="30" w:type="dxa"/>
              <w:right w:w="300" w:type="dxa"/>
            </w:tcMar>
          </w:tcPr>
          <w:p>
            <w:r>
              <w:t>0.514</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r>
              <w:t>0.903</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r>
              <w:t>0.902</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r>
              <w:t>0.765</w:t>
            </w:r>
          </w:p>
        </w:tc>
        <w:tc>
          <w:tcPr>
            <w:tcW w:w="525" w:type="pct"/>
            <w:tcBorders>
              <w:top w:val="nil"/>
              <w:left w:val="nil"/>
              <w:bottom w:val="nil"/>
              <w:right w:val="nil"/>
            </w:tcBorders>
            <w:tcMar>
              <w:top w:w="120" w:type="dxa"/>
              <w:left w:w="120" w:type="dxa"/>
              <w:bottom w:w="30" w:type="dxa"/>
              <w:right w:w="300" w:type="dxa"/>
            </w:tcMar>
          </w:tcPr>
          <w:p>
            <w:r>
              <w:t>0.448</w:t>
            </w: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r>
              <w:t>0.448</w:t>
            </w: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t>Cronbach’s alpha and composite reliability exceeded the 0.70 threshold for all constructs, indicating acceptable to good internal consistency (Brand Satisfaction α = 0.84, CR = 0.84; Brand Success α = 0.77, CR = 0.77; User Experience α = 0.90, CR = 0.90; User Engagement α = 0.90, CR = 0.90).</w:t>
      </w:r>
    </w:p>
    <w:p w14:paraId="0F24E97F" w14:textId="63C3BE5B" w:rsidR="004D6242" w:rsidRPr="00FD5EFD" w:rsidRDefault="00FD5EFD" w:rsidP="00FD5EFD">
      <w:pPr>
        <w:tabs>
          <w:tab w:val="left" w:pos="426"/>
        </w:tabs>
        <w:spacing w:line="360" w:lineRule="auto"/>
        <w:jc w:val="both"/>
        <w:rPr>
          <w:color w:val="000000" w:themeColor="text1"/>
        </w:rPr>
      </w:pPr>
      <w:r>
        <w:t>All standardized item loadings were positive and significant, and the correlation heatmaps in Figure 3 show positive, statistically significant inter-item correlations within each construct (panels a–d for Brand Satisfaction, Brand Success, User Experience and User Engagement, respectively), consistent with unidimensional measurement. No inter-item correlation approached the multicollinearity ceiling of 0.95, indicating that each item contributed unique information to its construct.</w:t>
      </w:r>
    </w:p>
    <w:p>
      <w:r>
        <w:t>The square root of the AVE for each construct (0.72 for Brand Satisfaction, 0.69 for User Engagement, 0.69 for User Experience and 0.67 for Brand Success) is close to the construct intercorrelations, reflecting the conceptual proximity of these experiential constructs. Discriminant validity is therefore established primarily through the HTMT criterion (Table 2a), where every ratio is below the conservative 0.85 threshold (maximum = 0.814 for the engagement–experience pair), confirming that the constructs are empirically distinct.</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cx="5634072" cy="3196397">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cx="5634072" cy="3196397">
                          <ask:lineSketchStyleProps xmlns:ask="http://schemas.microsoft.com/office/drawing/2018/sketchyshapes" sd="0">
                            <a:custGeom>
                              <a:avLst/>
                              <a:gdLst/>
                              <a:ahLst/>
                              <a:cxnLst/>
                              <a:rect l="0" t="0" r="0" b="0"/>
                              <a:pathLst/>
                            </a:custGeom>
                            <ask:type/>
                          </ask:lineSketchStyleProps>
                        </a:ext>
                      </a:extLst>
                    </a:ln>
                    <a:extLst>
                      <a:ext uri="{53640926-AAD7-44D8-BBD7-CCE9431645EC}" cx="5634072" cy="3196397">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Figure 4. Conceptual model and hypotheses (H1–H3): user engagement (UE) and user experience (UX) as antecedents, brand satisfaction (BSAT) as mediator, and brand success (BSUC) as the outcome, framed by Flow Theory and Self-Determination Theory.</w:t>
        <w:tab/>
        <w:tab/>
      </w:r>
      <w:r w:rsidR="008871CF" w:rsidRPr="0043234C">
        <w:rPr>
          <w:b/>
          <w:bCs/>
          <w:i/>
          <w:iCs/>
          <w:color w:val="000000" w:themeColor="text1"/>
        </w:rPr>
      </w:r>
      <w:r w:rsidRPr="0043234C">
        <w:rPr>
          <w:b/>
          <w:bCs/>
          <w:i/>
          <w:iCs/>
          <w:color w:val="000000" w:themeColor="text1"/>
        </w:rPr>
      </w:r>
      <w:r w:rsidR="00EE5E3D" w:rsidRPr="0043234C">
        <w:rPr>
          <w:b/>
          <w:bCs/>
          <w:i/>
          <w:iCs/>
          <w:color w:val="000000" w:themeColor="text1"/>
        </w:rPr>
      </w:r>
      <w:r w:rsidRPr="0043234C">
        <w:rPr>
          <w:b/>
          <w:bCs/>
          <w:i/>
          <w:iCs/>
          <w:color w:val="000000" w:themeColor="text1"/>
        </w:rPr>
      </w:r>
      <w:r w:rsidR="00FF1A69" w:rsidRPr="0043234C">
        <w:rPr>
          <w:b/>
          <w:bCs/>
          <w:i/>
          <w:iCs/>
          <w:color w:val="000000" w:themeColor="text1"/>
        </w:rPr>
      </w:r>
      <w:r w:rsidR="00ED17BF" w:rsidRPr="0043234C">
        <w:rPr>
          <w:i/>
          <w:iCs/>
          <w:color w:val="000000" w:themeColor="text1"/>
        </w:rPr>
      </w:r>
      <w:r w:rsidR="00ED17BF" w:rsidRPr="0043234C">
        <w:rPr>
          <w:i/>
          <w:iCs/>
          <w:color w:val="000000" w:themeColor="text1"/>
        </w:rPr>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Pr>
          <w:highlight w:val="yellow"/>
        </w:rPr>
        <w:t>The necessity analysis examines whether any single condition must be present for high brand success. Following standard practice, a condition is treated as necessary only when its consistency exceeds 0.90 (Schneider and Wagemann, 2012). In the present data no individual condition met this threshold: user engagement, user experience and brand satisfaction recorded single-condition consistency well below the cut-off (0.373, 0.362 and 0.410, respectively). High brand success is therefore not attributable to any one necessary condition but arises from combinations of conditions, motivating the sufficiency analysis that follows.</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Pr>
          <w:highlight w:val="yellow"/>
        </w:rPr>
        <w:t>The sufficiency analysis identifies the configurations of conditions that are jointly sufficient for high brand success. The three calibrated conditions—user engagement (UE), user experience (UX) and brand satisfaction (BSAT)—were entered into the truth table, with consistency and frequency thresholds applied in line with established guidance (Ragin, 2008; Schneider and Wagemann, 2012). The resulting configurations and their consistency and coverage values are reported in Tables 5 and 6: brand satisfaction is present in every high-consistency sufficient path, while engagement and experience contribute in combination rather than in isolation.</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proofErr w:type="spellStart"/>
      <w:proofErr w:type="spellEnd"/>
      <w:proofErr w:type="spellStart"/>
      <w:proofErr w:type="spellEnd"/>
      <w:r>
        <w:rPr>
          <w:highlight w:val="yellow"/>
        </w:rPr>
        <w:t>User engagement in these settings is multifaceted, spanning asset trading, attendance at virtual events, social interaction and content creation. These behaviours reflect a combination of psychological, social and experiential motivations and are captured in the present study through the user-engagement and user-experience constructs rather than as separate platform-specific variables.</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rPr>
          <w:highlight w:val="yellow"/>
        </w:rPr>
        <w:t>The combination of brand satisfaction (BSAT) and user experience (UX) emerged as a significant configuration for brand success, with a consistency value of 0.650 and raw coverage of 20.84%. This indicates that satisfied users who also perceive high-quality, immersive experiences are more likely to develop loyalty and advocate for the brand. The pattern is consistent with prior work showing that customer satisfaction and positive user experience foster emotional connection and longer-term engagement (Thaichon et al., 2022; Bilgihan et al., 2024). Brands should therefore prioritise seamless, immersive virtual experiences that align with user preferences in order to strengthen satisfaction and engagement. At the same time, immersive environments raise ethical considerations—including data-privacy risks and the potential for excessive use—that brands and platform designers should address.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rPr>
          <w:highlight w:val="yellow"/>
        </w:rPr>
        <w:t>The combination of user experience (UX) and user engagement (UE), while slightly lower in consistency (0.600), also contributed positively to brand outcomes, with raw coverage of 21.90%. This configuration indicates that engagement is most effective when paired with high-quality experience, even where satisfaction is not the dominant condition—consistent with Flow Theory's emphasis on deep engagement through challenge–skill balance (Csikszentmihalyi, 1990; Shin, 2019). To leverage this pathway, brands should design engaging virtual spaces that captivate users through interactive, well-paced experiences.</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proofErr w:type="spellStart"/>
      <w:proofErr w:type="spellEnd"/>
      <w: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w:t>
      </w:r>
      <w:r>
        <w:rPr>
          <w:highlight w:val="yellow"/>
        </w:rPr>
        <w:t>persistent virtual communities, avatar-based identity, and interactive brand interfaces</w:t>
      </w:r>
      <w:r>
        <w:t>, the study elucidates the dynamic interplay between psychological needs, cognitive-affective processes, and experiential states that drive sustained engagement, loyalty, and behavioral commitment. Unlike prior applications of SDT and Flow Theory in traditional or gamified contexts, our findings reveal that metaverse interactions evoke a distinctive, psychologically contingent synergy between intrinsic motivation and experiential absorption, 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proofErr w:type="spellStart"/>
      <w:proofErr w:type="spellEnd"/>
      <w:r>
        <w:rPr>
          <w:highlight w:val="yellow"/>
        </w:rPr>
        <w:t>To achieve this, brands should create immersive experiences that connect to users' virtual identities. Personalisation is central: features such as customisable avatars and interactive virtual environments allow users to express identity within the metaverse and strengthen their sense of presence, which in turn reinforces the emotional bond between user and brand. By aligning a brand's virtual presence with users' self-concept, brands can cultivate connection that supports satisfaction. When users perceive their virtual experiences as tailored to them, they are more likely to engage deeply, exhibit loyalty and advocate for the brand within their communities (Thaichon et al., 2022; Xie and Muralidharan, 2023).</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highlight w:val="yellow"/>
        </w:rPr>
        <w:t>Sustained success in the metaverse rests on brands' ability to create immersive, emotionally resonant experiences that integrate personalisation, interactive marketing and trust-building. Brands that master these dimensions will be well positioned to foster deep user engagement, long-term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