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Results</w:t>
      </w:r>
    </w:p>
    <w:p>
      <w:pPr>
        <w:spacing w:after="160"/>
        <w:jc w:val="both"/>
      </w:pPr>
      <w:r>
        <w:rPr>
          <w:rFonts w:ascii="Times New Roman" w:hAnsi="Times New Roman"/>
          <w:i w:val="0"/>
          <w:sz w:val="24"/>
        </w:rPr>
        <w:t>This section reports the empirical findings in two stages. First, a variance-based structural equation model (partial least squares; PLS-SEM) is used to test the net, symmetric effects of the antecedents on brand-system continuance. Second, a fuzzy-set qualitative comparative analysis (fsQCA) is used to identify the configurations of conditions that are sufficient for high (and for low) continuance. The combination follows the established recommendation in the information-systems literature to triangulate correlational (PLS-SEM) and configurational (fsQCA) logics, because the two approaches answer complementary questions: PLS-SEM estimates the average marginal contribution of each antecedent, whereas fsQCA recovers the combinations of antecedents that are jointly sufficient for the outcome and explicitly allows for equifinality and causal asymmetry (Ragin, 2008; Woodside, 2013; Pappas &amp; Woodside, 2021).</w:t>
      </w:r>
    </w:p>
    <w:p>
      <w:pPr>
        <w:spacing w:after="160"/>
      </w:pPr>
      <w:r>
        <w:rPr>
          <w:rFonts w:ascii="Times New Roman" w:hAnsi="Times New Roman"/>
          <w:i w:val="0"/>
          <w:sz w:val="24"/>
        </w:rPr>
        <w:t>The constructs are defined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DDDD"/>
          </w:tcPr>
          <w:p>
            <w:pPr>
              <w:spacing w:after="40" w:before="40"/>
              <w:jc w:val="center"/>
            </w:pPr>
            <w:r>
              <w:rPr>
                <w:rFonts w:ascii="Times New Roman" w:hAnsi="Times New Roman"/>
                <w:b/>
                <w:sz w:val="22"/>
              </w:rPr>
              <w:t>Code</w:t>
            </w:r>
          </w:p>
        </w:tc>
        <w:tc>
          <w:tcPr>
            <w:tcW w:type="dxa" w:w="2880"/>
            <w:shd w:val="clear" w:color="auto" w:fill="DDDDDD"/>
          </w:tcPr>
          <w:p>
            <w:pPr>
              <w:spacing w:after="40" w:before="40"/>
            </w:pPr>
            <w:r>
              <w:rPr>
                <w:rFonts w:ascii="Times New Roman" w:hAnsi="Times New Roman"/>
                <w:b/>
                <w:sz w:val="22"/>
              </w:rPr>
              <w:t>Construct</w:t>
            </w:r>
          </w:p>
        </w:tc>
        <w:tc>
          <w:tcPr>
            <w:tcW w:type="dxa" w:w="2880"/>
            <w:shd w:val="clear" w:color="auto" w:fill="DDDDDD"/>
          </w:tcPr>
          <w:p>
            <w:pPr>
              <w:spacing w:after="40" w:before="40"/>
              <w:jc w:val="center"/>
            </w:pPr>
            <w:r>
              <w:rPr>
                <w:rFonts w:ascii="Times New Roman" w:hAnsi="Times New Roman"/>
                <w:b/>
                <w:sz w:val="22"/>
              </w:rPr>
              <w:t>Items</w:t>
            </w:r>
          </w:p>
        </w:tc>
      </w:tr>
      <w:tr>
        <w:tc>
          <w:tcPr>
            <w:tcW w:type="dxa" w:w="2880"/>
          </w:tcPr>
          <w:p>
            <w:pPr>
              <w:spacing w:after="40" w:before="40"/>
              <w:jc w:val="center"/>
            </w:pPr>
            <w:r>
              <w:rPr>
                <w:rFonts w:ascii="Times New Roman" w:hAnsi="Times New Roman"/>
                <w:b w:val="0"/>
                <w:sz w:val="22"/>
              </w:rPr>
              <w:t>UE</w:t>
            </w:r>
          </w:p>
        </w:tc>
        <w:tc>
          <w:tcPr>
            <w:tcW w:type="dxa" w:w="2880"/>
          </w:tcPr>
          <w:p>
            <w:pPr>
              <w:spacing w:after="40" w:before="40"/>
            </w:pPr>
            <w:r>
              <w:rPr>
                <w:rFonts w:ascii="Times New Roman" w:hAnsi="Times New Roman"/>
                <w:b w:val="0"/>
                <w:sz w:val="22"/>
              </w:rPr>
              <w:t>User Engagement</w:t>
            </w:r>
          </w:p>
        </w:tc>
        <w:tc>
          <w:tcPr>
            <w:tcW w:type="dxa" w:w="2880"/>
          </w:tcPr>
          <w:p>
            <w:pPr>
              <w:spacing w:after="40" w:before="40"/>
              <w:jc w:val="center"/>
            </w:pPr>
            <w:r>
              <w:rPr>
                <w:rFonts w:ascii="Times New Roman" w:hAnsi="Times New Roman"/>
                <w:b w:val="0"/>
                <w:sz w:val="22"/>
              </w:rPr>
              <w:t>UE1–UE5</w:t>
            </w:r>
          </w:p>
        </w:tc>
      </w:tr>
      <w:tr>
        <w:tc>
          <w:tcPr>
            <w:tcW w:type="dxa" w:w="2880"/>
          </w:tcPr>
          <w:p>
            <w:pPr>
              <w:spacing w:after="40" w:before="40"/>
              <w:jc w:val="center"/>
            </w:pPr>
            <w:r>
              <w:rPr>
                <w:rFonts w:ascii="Times New Roman" w:hAnsi="Times New Roman"/>
                <w:b w:val="0"/>
                <w:sz w:val="22"/>
              </w:rPr>
              <w:t>UX</w:t>
            </w:r>
          </w:p>
        </w:tc>
        <w:tc>
          <w:tcPr>
            <w:tcW w:type="dxa" w:w="2880"/>
          </w:tcPr>
          <w:p>
            <w:pPr>
              <w:spacing w:after="40" w:before="40"/>
            </w:pPr>
            <w:r>
              <w:rPr>
                <w:rFonts w:ascii="Times New Roman" w:hAnsi="Times New Roman"/>
                <w:b w:val="0"/>
                <w:sz w:val="22"/>
              </w:rPr>
              <w:t>User Experience</w:t>
            </w:r>
          </w:p>
        </w:tc>
        <w:tc>
          <w:tcPr>
            <w:tcW w:type="dxa" w:w="2880"/>
          </w:tcPr>
          <w:p>
            <w:pPr>
              <w:spacing w:after="40" w:before="40"/>
              <w:jc w:val="center"/>
            </w:pPr>
            <w:r>
              <w:rPr>
                <w:rFonts w:ascii="Times New Roman" w:hAnsi="Times New Roman"/>
                <w:b w:val="0"/>
                <w:sz w:val="22"/>
              </w:rPr>
              <w:t>UX1–UX5</w:t>
            </w:r>
          </w:p>
        </w:tc>
      </w:tr>
      <w:tr>
        <w:tc>
          <w:tcPr>
            <w:tcW w:type="dxa" w:w="2880"/>
          </w:tcPr>
          <w:p>
            <w:pPr>
              <w:spacing w:after="40" w:before="40"/>
              <w:jc w:val="center"/>
            </w:pPr>
            <w:r>
              <w:rPr>
                <w:rFonts w:ascii="Times New Roman" w:hAnsi="Times New Roman"/>
                <w:b w:val="0"/>
                <w:sz w:val="22"/>
              </w:rPr>
              <w:t>BSAT</w:t>
            </w:r>
          </w:p>
        </w:tc>
        <w:tc>
          <w:tcPr>
            <w:tcW w:type="dxa" w:w="2880"/>
          </w:tcPr>
          <w:p>
            <w:pPr>
              <w:spacing w:after="40" w:before="40"/>
            </w:pPr>
            <w:r>
              <w:rPr>
                <w:rFonts w:ascii="Times New Roman" w:hAnsi="Times New Roman"/>
                <w:b w:val="0"/>
                <w:sz w:val="22"/>
              </w:rPr>
              <w:t>Brand-System Satisfaction</w:t>
            </w:r>
          </w:p>
        </w:tc>
        <w:tc>
          <w:tcPr>
            <w:tcW w:type="dxa" w:w="2880"/>
          </w:tcPr>
          <w:p>
            <w:pPr>
              <w:spacing w:after="40" w:before="40"/>
              <w:jc w:val="center"/>
            </w:pPr>
            <w:r>
              <w:rPr>
                <w:rFonts w:ascii="Times New Roman" w:hAnsi="Times New Roman"/>
                <w:b w:val="0"/>
                <w:sz w:val="22"/>
              </w:rPr>
              <w:t>BSAT1–BSAT4</w:t>
            </w:r>
          </w:p>
        </w:tc>
      </w:tr>
      <w:tr>
        <w:tc>
          <w:tcPr>
            <w:tcW w:type="dxa" w:w="2880"/>
          </w:tcPr>
          <w:p>
            <w:pPr>
              <w:spacing w:after="40" w:before="40"/>
              <w:jc w:val="center"/>
            </w:pPr>
            <w:r>
              <w:rPr>
                <w:rFonts w:ascii="Times New Roman" w:hAnsi="Times New Roman"/>
                <w:b w:val="0"/>
                <w:sz w:val="22"/>
              </w:rPr>
              <w:t>BSUC</w:t>
            </w:r>
          </w:p>
        </w:tc>
        <w:tc>
          <w:tcPr>
            <w:tcW w:type="dxa" w:w="2880"/>
          </w:tcPr>
          <w:p>
            <w:pPr>
              <w:spacing w:after="40" w:before="40"/>
            </w:pPr>
            <w:r>
              <w:rPr>
                <w:rFonts w:ascii="Times New Roman" w:hAnsi="Times New Roman"/>
                <w:b w:val="0"/>
                <w:sz w:val="22"/>
              </w:rPr>
              <w:t>Brand-System Use Continuance (outcome)</w:t>
            </w:r>
          </w:p>
        </w:tc>
        <w:tc>
          <w:tcPr>
            <w:tcW w:type="dxa" w:w="2880"/>
          </w:tcPr>
          <w:p>
            <w:pPr>
              <w:spacing w:after="40" w:before="40"/>
              <w:jc w:val="center"/>
            </w:pPr>
            <w:r>
              <w:rPr>
                <w:rFonts w:ascii="Times New Roman" w:hAnsi="Times New Roman"/>
                <w:b w:val="0"/>
                <w:sz w:val="22"/>
              </w:rPr>
              <w:t>BSUC1–BSUC4</w:t>
            </w:r>
          </w:p>
        </w:tc>
      </w:tr>
    </w:tbl>
    <w:p>
      <w:pPr>
        <w:spacing w:after="160"/>
        <w:jc w:val="both"/>
      </w:pPr>
      <w:r>
        <w:rPr>
          <w:rFonts w:ascii="Times New Roman" w:hAnsi="Times New Roman"/>
          <w:i/>
          <w:sz w:val="24"/>
        </w:rPr>
        <w:t>Note on the two ATT items. The instrument also contained two items labelled ATT_1 and ATT_2. Inspection of their distributions and inter-item behaviour shows that they do not behave as a reflective construct: ATT_1 is almost invariant (M = 5.90, SD = 0.53), ATT_2 is low and right-skewed (M = 2.10), and the two correlate at r = −.005 with each other and ≈ 0 with every substantive item (Figure A1). This is the signature of attention / quality-control items rather than a latent variable. They were therefore used only for data screening and were excluded from the measurement and structural models and from the fsQCA. A robustness model that forced them into a latent variable produced a construct with no convergent validity and changed none of the substantive conclusions.</w:t>
      </w:r>
    </w:p>
    <w:p>
      <w:pPr>
        <w:pStyle w:val="Heading1"/>
      </w:pPr>
      <w:r>
        <w:rPr>
          <w:rFonts w:ascii="Times New Roman" w:hAnsi="Times New Roman"/>
          <w:color w:val="000000"/>
        </w:rPr>
        <w:t>1. Sample, data screening, and common method bias</w:t>
      </w:r>
    </w:p>
    <w:p>
      <w:pPr>
        <w:spacing w:after="160"/>
        <w:jc w:val="both"/>
      </w:pPr>
      <w:r>
        <w:rPr>
          <w:rFonts w:ascii="Times New Roman" w:hAnsi="Times New Roman"/>
          <w:i w:val="0"/>
          <w:sz w:val="24"/>
        </w:rPr>
        <w:t>The analysis is based on N = 312 complete responses measured on seven-point Likert scales. There were no missing values across the 20 items and no straight-line response patterns, so the full sample was retained. Because PLS-SEM is a non-parametric method, multivariate normality is not required; nonetheless, Shapiro–Wilk tests rejected univariate normality for all items (p &lt; .001), confirming that a variance-based estimator is appropriate over covariance-based SEM (Hair et al., 2019). Item-level descriptive statistics are reported in Table 1.</w:t>
      </w:r>
    </w:p>
    <w:p>
      <w:pPr>
        <w:spacing w:after="80"/>
      </w:pPr>
      <w:r>
        <w:rPr>
          <w:rFonts w:ascii="Times New Roman" w:hAnsi="Times New Roman"/>
          <w:b/>
          <w:sz w:val="22"/>
        </w:rPr>
        <w:t>Table 1. Item descriptive statistics (N = 312).</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DDDDD"/>
          </w:tcPr>
          <w:p>
            <w:pPr>
              <w:spacing w:after="40" w:before="40"/>
              <w:jc w:val="center"/>
            </w:pPr>
            <w:r>
              <w:rPr>
                <w:rFonts w:ascii="Times New Roman" w:hAnsi="Times New Roman"/>
                <w:b/>
                <w:sz w:val="20"/>
              </w:rPr>
              <w:t>Item</w:t>
            </w:r>
          </w:p>
        </w:tc>
        <w:tc>
          <w:tcPr>
            <w:tcW w:type="dxa" w:w="1080"/>
            <w:shd w:val="clear" w:color="auto" w:fill="DDDDDD"/>
          </w:tcPr>
          <w:p>
            <w:pPr>
              <w:spacing w:after="40" w:before="40"/>
              <w:jc w:val="center"/>
            </w:pPr>
            <w:r>
              <w:rPr>
                <w:rFonts w:ascii="Times New Roman" w:hAnsi="Times New Roman"/>
                <w:b/>
                <w:sz w:val="20"/>
              </w:rPr>
              <w:t>Mean</w:t>
            </w:r>
          </w:p>
        </w:tc>
        <w:tc>
          <w:tcPr>
            <w:tcW w:type="dxa" w:w="1080"/>
            <w:shd w:val="clear" w:color="auto" w:fill="DDDDDD"/>
          </w:tcPr>
          <w:p>
            <w:pPr>
              <w:spacing w:after="40" w:before="40"/>
              <w:jc w:val="center"/>
            </w:pPr>
            <w:r>
              <w:rPr>
                <w:rFonts w:ascii="Times New Roman" w:hAnsi="Times New Roman"/>
                <w:b/>
                <w:sz w:val="20"/>
              </w:rPr>
              <w:t>SD</w:t>
            </w:r>
          </w:p>
        </w:tc>
        <w:tc>
          <w:tcPr>
            <w:tcW w:type="dxa" w:w="1080"/>
            <w:shd w:val="clear" w:color="auto" w:fill="DDDDDD"/>
          </w:tcPr>
          <w:p>
            <w:pPr>
              <w:spacing w:after="40" w:before="40"/>
              <w:jc w:val="center"/>
            </w:pPr>
            <w:r>
              <w:rPr>
                <w:rFonts w:ascii="Times New Roman" w:hAnsi="Times New Roman"/>
                <w:b/>
                <w:sz w:val="20"/>
              </w:rPr>
              <w:t>Median</w:t>
            </w:r>
          </w:p>
        </w:tc>
        <w:tc>
          <w:tcPr>
            <w:tcW w:type="dxa" w:w="1080"/>
            <w:shd w:val="clear" w:color="auto" w:fill="DDDDDD"/>
          </w:tcPr>
          <w:p>
            <w:pPr>
              <w:spacing w:after="40" w:before="40"/>
              <w:jc w:val="center"/>
            </w:pPr>
            <w:r>
              <w:rPr>
                <w:rFonts w:ascii="Times New Roman" w:hAnsi="Times New Roman"/>
                <w:b/>
                <w:sz w:val="20"/>
              </w:rPr>
              <w:t>Min</w:t>
            </w:r>
          </w:p>
        </w:tc>
        <w:tc>
          <w:tcPr>
            <w:tcW w:type="dxa" w:w="1080"/>
            <w:shd w:val="clear" w:color="auto" w:fill="DDDDDD"/>
          </w:tcPr>
          <w:p>
            <w:pPr>
              <w:spacing w:after="40" w:before="40"/>
              <w:jc w:val="center"/>
            </w:pPr>
            <w:r>
              <w:rPr>
                <w:rFonts w:ascii="Times New Roman" w:hAnsi="Times New Roman"/>
                <w:b/>
                <w:sz w:val="20"/>
              </w:rPr>
              <w:t>Max</w:t>
            </w:r>
          </w:p>
        </w:tc>
        <w:tc>
          <w:tcPr>
            <w:tcW w:type="dxa" w:w="1080"/>
            <w:shd w:val="clear" w:color="auto" w:fill="DDDDDD"/>
          </w:tcPr>
          <w:p>
            <w:pPr>
              <w:spacing w:after="40" w:before="40"/>
              <w:jc w:val="center"/>
            </w:pPr>
            <w:r>
              <w:rPr>
                <w:rFonts w:ascii="Times New Roman" w:hAnsi="Times New Roman"/>
                <w:b/>
                <w:sz w:val="20"/>
              </w:rPr>
              <w:t>Skewness</w:t>
            </w:r>
          </w:p>
        </w:tc>
        <w:tc>
          <w:tcPr>
            <w:tcW w:type="dxa" w:w="1080"/>
            <w:shd w:val="clear" w:color="auto" w:fill="DDDDDD"/>
          </w:tcPr>
          <w:p>
            <w:pPr>
              <w:spacing w:after="40" w:before="40"/>
              <w:jc w:val="center"/>
            </w:pPr>
            <w:r>
              <w:rPr>
                <w:rFonts w:ascii="Times New Roman" w:hAnsi="Times New Roman"/>
                <w:b/>
                <w:sz w:val="20"/>
              </w:rPr>
              <w:t>Kurtosis</w:t>
            </w:r>
          </w:p>
        </w:tc>
      </w:tr>
      <w:tr>
        <w:tc>
          <w:tcPr>
            <w:tcW w:type="dxa" w:w="1080"/>
          </w:tcPr>
          <w:p>
            <w:pPr>
              <w:spacing w:after="40" w:before="40"/>
              <w:jc w:val="center"/>
            </w:pPr>
            <w:r>
              <w:rPr>
                <w:rFonts w:ascii="Times New Roman" w:hAnsi="Times New Roman"/>
                <w:b w:val="0"/>
                <w:sz w:val="20"/>
              </w:rPr>
              <w:t>UE1</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UE2</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UE3</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UE4</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UE5</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UX1</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UX2</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UX3</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UX4</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UX5</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BSAT1</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BSAT2</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BSAT3</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BSAT4</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BSUC1</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BSUC2</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BSUC3</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r>
        <w:tc>
          <w:tcPr>
            <w:tcW w:type="dxa" w:w="1080"/>
          </w:tcPr>
          <w:p>
            <w:pPr>
              <w:spacing w:after="40" w:before="40"/>
              <w:jc w:val="center"/>
            </w:pPr>
            <w:r>
              <w:rPr>
                <w:rFonts w:ascii="Times New Roman" w:hAnsi="Times New Roman"/>
                <w:b w:val="0"/>
                <w:sz w:val="20"/>
              </w:rPr>
              <w:t>BSUC4</w:t>
            </w:r>
          </w:p>
        </w:tc>
        <w:tc>
          <w:tcPr>
            <w:tcW w:type="dxa" w:w="1080"/>
          </w:tcPr>
          <w:p>
            <w:pPr>
              <w:spacing w:after="40" w:before="40"/>
              <w:jc w:val="center"/>
            </w:pPr>
            <w:r>
              <w:rPr>
                <w:rFonts w:ascii="Times New Roman" w:hAnsi="Times New Roman"/>
                <w:b w:val="0"/>
                <w:sz w:val="20"/>
              </w:rPr>
              <w:t>4.00</w:t>
            </w:r>
          </w:p>
        </w:tc>
        <w:tc>
          <w:tcPr>
            <w:tcW w:type="dxa" w:w="1080"/>
          </w:tcPr>
          <w:p>
            <w:pPr>
              <w:spacing w:after="40" w:before="40"/>
              <w:jc w:val="center"/>
            </w:pPr>
            <w:r>
              <w:rPr>
                <w:rFonts w:ascii="Times New Roman" w:hAnsi="Times New Roman"/>
                <w:b w:val="0"/>
                <w:sz w:val="20"/>
              </w:rPr>
              <w:t>2.01</w:t>
            </w:r>
          </w:p>
        </w:tc>
        <w:tc>
          <w:tcPr>
            <w:tcW w:type="dxa" w:w="1080"/>
          </w:tcPr>
          <w:p>
            <w:pPr>
              <w:spacing w:after="40" w:before="40"/>
              <w:jc w:val="center"/>
            </w:pPr>
            <w:r>
              <w:rPr>
                <w:rFonts w:ascii="Times New Roman" w:hAnsi="Times New Roman"/>
                <w:b w:val="0"/>
                <w:sz w:val="20"/>
              </w:rPr>
              <w:t>4</w:t>
            </w:r>
          </w:p>
        </w:tc>
        <w:tc>
          <w:tcPr>
            <w:tcW w:type="dxa" w:w="1080"/>
          </w:tcPr>
          <w:p>
            <w:pPr>
              <w:spacing w:after="40" w:before="40"/>
              <w:jc w:val="center"/>
            </w:pPr>
            <w:r>
              <w:rPr>
                <w:rFonts w:ascii="Times New Roman" w:hAnsi="Times New Roman"/>
                <w:b w:val="0"/>
                <w:sz w:val="20"/>
              </w:rPr>
              <w:t>1</w:t>
            </w:r>
          </w:p>
        </w:tc>
        <w:tc>
          <w:tcPr>
            <w:tcW w:type="dxa" w:w="1080"/>
          </w:tcPr>
          <w:p>
            <w:pPr>
              <w:spacing w:after="40" w:before="40"/>
              <w:jc w:val="center"/>
            </w:pPr>
            <w:r>
              <w:rPr>
                <w:rFonts w:ascii="Times New Roman" w:hAnsi="Times New Roman"/>
                <w:b w:val="0"/>
                <w:sz w:val="20"/>
              </w:rPr>
              <w:t>7</w:t>
            </w:r>
          </w:p>
        </w:tc>
        <w:tc>
          <w:tcPr>
            <w:tcW w:type="dxa" w:w="1080"/>
          </w:tcPr>
          <w:p>
            <w:pPr>
              <w:spacing w:after="40" w:before="40"/>
              <w:jc w:val="center"/>
            </w:pPr>
            <w:r>
              <w:rPr>
                <w:rFonts w:ascii="Times New Roman" w:hAnsi="Times New Roman"/>
                <w:b w:val="0"/>
                <w:sz w:val="20"/>
              </w:rPr>
              <w:t>0.00</w:t>
            </w:r>
          </w:p>
        </w:tc>
        <w:tc>
          <w:tcPr>
            <w:tcW w:type="dxa" w:w="1080"/>
          </w:tcPr>
          <w:p>
            <w:pPr>
              <w:spacing w:after="40" w:before="40"/>
              <w:jc w:val="center"/>
            </w:pPr>
            <w:r>
              <w:rPr>
                <w:rFonts w:ascii="Times New Roman" w:hAnsi="Times New Roman"/>
                <w:b w:val="0"/>
                <w:sz w:val="20"/>
              </w:rPr>
              <w:t>−1.25</w:t>
            </w:r>
          </w:p>
        </w:tc>
      </w:tr>
    </w:tbl>
    <w:p>
      <w:pPr>
        <w:spacing w:after="200"/>
      </w:pPr>
      <w:r>
        <w:rPr>
          <w:rFonts w:ascii="Times New Roman" w:hAnsi="Times New Roman"/>
          <w:i/>
          <w:sz w:val="20"/>
        </w:rPr>
        <w:t>Full numeric precision is provided in analysis/outputs/T1_item_descriptives.csv.</w:t>
      </w:r>
    </w:p>
    <w:p>
      <w:pPr>
        <w:spacing w:after="160"/>
        <w:jc w:val="both"/>
      </w:pPr>
      <w:r>
        <w:rPr>
          <w:rFonts w:ascii="Times New Roman" w:hAnsi="Times New Roman"/>
          <w:i w:val="0"/>
          <w:sz w:val="24"/>
        </w:rPr>
        <w:t>The sampling adequacy of the item set was excellent (Kaiser–Meyer–Olkin = 0.903) and Bartlett's test of sphericity was significant (χ²(153) = 3300.5, p &lt; .001). An exploratory factor analysis (principal-axis extraction, promax rotation) recovered a clean four-factor structure mapping exactly onto UE, UX, BSAT and BSUC, with every substantive item loading &gt; 0.77 on its intended factor and &lt; 0.13 on all others.</w:t>
      </w:r>
    </w:p>
    <w:p>
      <w:pPr>
        <w:spacing w:after="160"/>
        <w:jc w:val="both"/>
      </w:pPr>
      <w:r>
        <w:rPr>
          <w:rFonts w:ascii="Times New Roman" w:hAnsi="Times New Roman"/>
          <w:i w:val="0"/>
          <w:sz w:val="24"/>
        </w:rPr>
        <w:t>Common method bias. Harman's single-factor test indicated that the first unrotated factor accounted for 34.4% of the variance—below the 50% threshold—so common method variance is unlikely to be a serious threat (Podsakoff et al., 2003). This is corroborated by the full collinearity assessment in the structural model (all inner VIF ≤ 1.35; Kock, 2015) and by the discriminant-validity evidence below.</w:t>
      </w:r>
    </w:p>
    <w:p>
      <w:pPr>
        <w:spacing w:after="160"/>
        <w:jc w:val="both"/>
      </w:pPr>
      <w:r>
        <w:rPr>
          <w:rFonts w:ascii="Times New Roman" w:hAnsi="Times New Roman"/>
          <w:i/>
          <w:sz w:val="24"/>
        </w:rPr>
        <w:t>Transparency note on data provenance. The 18 substantive items each exhibit identical marginal moments (mean = 4.000, SD = 2.006, skew = 0, excess kurtosis = −1.25), which are exactly the moments of a discrete uniform distribution on {1,…,7}. Combined with a realistic, block-structured correlation matrix (Figure A1), this is consistent with data generated by a Gaussian-copula-type simulation rather than raw field data. The analyses are reported exactly as the data dictate; if these are synthetic or pilot data, the substantive interpretation should be treated as illustrative of the analytical pipeline rather than as confirmed empirical fact.</w:t>
      </w:r>
    </w:p>
    <w:p>
      <w:pPr>
        <w:pStyle w:val="Heading1"/>
      </w:pPr>
      <w:r>
        <w:rPr>
          <w:rFonts w:ascii="Times New Roman" w:hAnsi="Times New Roman"/>
          <w:color w:val="000000"/>
        </w:rPr>
        <w:t>2. Measurement model assessment</w:t>
      </w:r>
    </w:p>
    <w:p>
      <w:pPr>
        <w:spacing w:after="160"/>
        <w:jc w:val="both"/>
      </w:pPr>
      <w:r>
        <w:rPr>
          <w:rFonts w:ascii="Times New Roman" w:hAnsi="Times New Roman"/>
          <w:i w:val="0"/>
          <w:sz w:val="24"/>
        </w:rPr>
        <w:t>Reflective measurement quality was assessed following the standard sequence for PLS-SEM (Hair et al., 2019, 2022): indicator reliability, internal consistency reliability, convergent validity, and discriminant validity. Estimation used Mode A (reflective) measurement with the path weighting scheme. As an external check, the measurement model was re-estimated with the open-source plspm package; the two implementations agreed to within 0.003 on every loading and produced identical reliability and AVE values.</w:t>
      </w:r>
    </w:p>
    <w:p>
      <w:pPr>
        <w:pStyle w:val="Heading2"/>
      </w:pPr>
      <w:r>
        <w:rPr>
          <w:rFonts w:ascii="Times New Roman" w:hAnsi="Times New Roman"/>
          <w:color w:val="000000"/>
        </w:rPr>
        <w:t>2.1 Indicator reliability and convergent validity</w:t>
      </w:r>
    </w:p>
    <w:p>
      <w:pPr>
        <w:spacing w:after="160"/>
        <w:jc w:val="both"/>
      </w:pPr>
      <w:r>
        <w:rPr>
          <w:rFonts w:ascii="Times New Roman" w:hAnsi="Times New Roman"/>
          <w:i w:val="0"/>
          <w:sz w:val="24"/>
        </w:rPr>
        <w:t>All standardized outer loadings lie between 0.812 and 0.879 (Figure 7), above the 0.708 benchmark. Average variance extracted (AVE) ranges from 0.692 to 0.747, exceeding 0.50 and establishing convergent validity (Table 2). Internal consistency is strong but not excessive: Cronbach's α (0.885–0.892), the Dijkstra–Henseler ρ_A (0.887–0.895), and composite reliability ρ_c (0.918–0.922) all fall in the recommended 0.70–0.95 band. Indicator-level collinearity is unproblematic (maximum outer VIF = 2.46).</w:t>
      </w:r>
    </w:p>
    <w:p>
      <w:pPr>
        <w:spacing w:after="80"/>
      </w:pPr>
      <w:r>
        <w:rPr>
          <w:rFonts w:ascii="Times New Roman" w:hAnsi="Times New Roman"/>
          <w:b/>
          <w:sz w:val="22"/>
        </w:rPr>
        <w:t>Table 2. Reliability and convergent validity.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DDDDD"/>
          </w:tcPr>
          <w:p>
            <w:pPr>
              <w:spacing w:after="40" w:before="40"/>
              <w:jc w:val="center"/>
            </w:pPr>
            <w:r>
              <w:rPr>
                <w:rFonts w:ascii="Times New Roman" w:hAnsi="Times New Roman"/>
                <w:b/>
                <w:sz w:val="22"/>
              </w:rPr>
              <w:t>Construct</w:t>
            </w:r>
          </w:p>
        </w:tc>
        <w:tc>
          <w:tcPr>
            <w:tcW w:type="dxa" w:w="1440"/>
            <w:shd w:val="clear" w:color="auto" w:fill="DDDDDD"/>
          </w:tcPr>
          <w:p>
            <w:pPr>
              <w:spacing w:after="40" w:before="40"/>
              <w:jc w:val="center"/>
            </w:pPr>
            <w:r>
              <w:rPr>
                <w:rFonts w:ascii="Times New Roman" w:hAnsi="Times New Roman"/>
                <w:b/>
                <w:sz w:val="22"/>
              </w:rPr>
              <w:t># items</w:t>
            </w:r>
          </w:p>
        </w:tc>
        <w:tc>
          <w:tcPr>
            <w:tcW w:type="dxa" w:w="1440"/>
            <w:shd w:val="clear" w:color="auto" w:fill="DDDDDD"/>
          </w:tcPr>
          <w:p>
            <w:pPr>
              <w:spacing w:after="40" w:before="40"/>
              <w:jc w:val="center"/>
            </w:pPr>
            <w:r>
              <w:rPr>
                <w:rFonts w:ascii="Times New Roman" w:hAnsi="Times New Roman"/>
                <w:b/>
                <w:sz w:val="22"/>
              </w:rPr>
              <w:t>Cronbach's α</w:t>
            </w:r>
          </w:p>
        </w:tc>
        <w:tc>
          <w:tcPr>
            <w:tcW w:type="dxa" w:w="1440"/>
            <w:shd w:val="clear" w:color="auto" w:fill="DDDDDD"/>
          </w:tcPr>
          <w:p>
            <w:pPr>
              <w:spacing w:after="40" w:before="40"/>
              <w:jc w:val="center"/>
            </w:pPr>
            <w:r>
              <w:rPr>
                <w:rFonts w:ascii="Times New Roman" w:hAnsi="Times New Roman"/>
                <w:b/>
                <w:sz w:val="22"/>
              </w:rPr>
              <w:t>ρ_A</w:t>
            </w:r>
          </w:p>
        </w:tc>
        <w:tc>
          <w:tcPr>
            <w:tcW w:type="dxa" w:w="1440"/>
            <w:shd w:val="clear" w:color="auto" w:fill="DDDDDD"/>
          </w:tcPr>
          <w:p>
            <w:pPr>
              <w:spacing w:after="40" w:before="40"/>
              <w:jc w:val="center"/>
            </w:pPr>
            <w:r>
              <w:rPr>
                <w:rFonts w:ascii="Times New Roman" w:hAnsi="Times New Roman"/>
                <w:b/>
                <w:sz w:val="22"/>
              </w:rPr>
              <w:t>CR (ρ_c)</w:t>
            </w:r>
          </w:p>
        </w:tc>
        <w:tc>
          <w:tcPr>
            <w:tcW w:type="dxa" w:w="1440"/>
            <w:shd w:val="clear" w:color="auto" w:fill="DDDDDD"/>
          </w:tcPr>
          <w:p>
            <w:pPr>
              <w:spacing w:after="40" w:before="40"/>
              <w:jc w:val="center"/>
            </w:pPr>
            <w:r>
              <w:rPr>
                <w:rFonts w:ascii="Times New Roman" w:hAnsi="Times New Roman"/>
                <w:b/>
                <w:sz w:val="22"/>
              </w:rPr>
              <w:t>AVE</w:t>
            </w:r>
          </w:p>
        </w:tc>
      </w:tr>
      <w:tr>
        <w:tc>
          <w:tcPr>
            <w:tcW w:type="dxa" w:w="1440"/>
          </w:tcPr>
          <w:p>
            <w:pPr>
              <w:spacing w:after="40" w:before="40"/>
              <w:jc w:val="center"/>
            </w:pPr>
            <w:r>
              <w:rPr>
                <w:rFonts w:ascii="Times New Roman" w:hAnsi="Times New Roman"/>
                <w:b w:val="0"/>
                <w:sz w:val="22"/>
              </w:rPr>
              <w:t>UE</w:t>
            </w:r>
          </w:p>
        </w:tc>
        <w:tc>
          <w:tcPr>
            <w:tcW w:type="dxa" w:w="1440"/>
          </w:tcPr>
          <w:p>
            <w:pPr>
              <w:spacing w:after="40" w:before="40"/>
              <w:jc w:val="center"/>
            </w:pPr>
            <w:r>
              <w:rPr>
                <w:rFonts w:ascii="Times New Roman" w:hAnsi="Times New Roman"/>
                <w:b w:val="0"/>
                <w:sz w:val="22"/>
              </w:rPr>
              <w:t>5</w:t>
            </w:r>
          </w:p>
        </w:tc>
        <w:tc>
          <w:tcPr>
            <w:tcW w:type="dxa" w:w="1440"/>
          </w:tcPr>
          <w:p>
            <w:pPr>
              <w:spacing w:after="40" w:before="40"/>
              <w:jc w:val="center"/>
            </w:pPr>
            <w:r>
              <w:rPr>
                <w:rFonts w:ascii="Times New Roman" w:hAnsi="Times New Roman"/>
                <w:b w:val="0"/>
                <w:sz w:val="22"/>
              </w:rPr>
              <w:t>0.889</w:t>
            </w:r>
          </w:p>
        </w:tc>
        <w:tc>
          <w:tcPr>
            <w:tcW w:type="dxa" w:w="1440"/>
          </w:tcPr>
          <w:p>
            <w:pPr>
              <w:spacing w:after="40" w:before="40"/>
              <w:jc w:val="center"/>
            </w:pPr>
            <w:r>
              <w:rPr>
                <w:rFonts w:ascii="Times New Roman" w:hAnsi="Times New Roman"/>
                <w:b w:val="0"/>
                <w:sz w:val="22"/>
              </w:rPr>
              <w:t>0.892</w:t>
            </w:r>
          </w:p>
        </w:tc>
        <w:tc>
          <w:tcPr>
            <w:tcW w:type="dxa" w:w="1440"/>
          </w:tcPr>
          <w:p>
            <w:pPr>
              <w:spacing w:after="40" w:before="40"/>
              <w:jc w:val="center"/>
            </w:pPr>
            <w:r>
              <w:rPr>
                <w:rFonts w:ascii="Times New Roman" w:hAnsi="Times New Roman"/>
                <w:b w:val="0"/>
                <w:sz w:val="22"/>
              </w:rPr>
              <w:t>0.918</w:t>
            </w:r>
          </w:p>
        </w:tc>
        <w:tc>
          <w:tcPr>
            <w:tcW w:type="dxa" w:w="1440"/>
          </w:tcPr>
          <w:p>
            <w:pPr>
              <w:spacing w:after="40" w:before="40"/>
              <w:jc w:val="center"/>
            </w:pPr>
            <w:r>
              <w:rPr>
                <w:rFonts w:ascii="Times New Roman" w:hAnsi="Times New Roman"/>
                <w:b w:val="0"/>
                <w:sz w:val="22"/>
              </w:rPr>
              <w:t>0.692</w:t>
            </w:r>
          </w:p>
        </w:tc>
      </w:tr>
      <w:tr>
        <w:tc>
          <w:tcPr>
            <w:tcW w:type="dxa" w:w="1440"/>
          </w:tcPr>
          <w:p>
            <w:pPr>
              <w:spacing w:after="40" w:before="40"/>
              <w:jc w:val="center"/>
            </w:pPr>
            <w:r>
              <w:rPr>
                <w:rFonts w:ascii="Times New Roman" w:hAnsi="Times New Roman"/>
                <w:b w:val="0"/>
                <w:sz w:val="22"/>
              </w:rPr>
              <w:t>UX</w:t>
            </w:r>
          </w:p>
        </w:tc>
        <w:tc>
          <w:tcPr>
            <w:tcW w:type="dxa" w:w="1440"/>
          </w:tcPr>
          <w:p>
            <w:pPr>
              <w:spacing w:after="40" w:before="40"/>
              <w:jc w:val="center"/>
            </w:pPr>
            <w:r>
              <w:rPr>
                <w:rFonts w:ascii="Times New Roman" w:hAnsi="Times New Roman"/>
                <w:b w:val="0"/>
                <w:sz w:val="22"/>
              </w:rPr>
              <w:t>5</w:t>
            </w:r>
          </w:p>
        </w:tc>
        <w:tc>
          <w:tcPr>
            <w:tcW w:type="dxa" w:w="1440"/>
          </w:tcPr>
          <w:p>
            <w:pPr>
              <w:spacing w:after="40" w:before="40"/>
              <w:jc w:val="center"/>
            </w:pPr>
            <w:r>
              <w:rPr>
                <w:rFonts w:ascii="Times New Roman" w:hAnsi="Times New Roman"/>
                <w:b w:val="0"/>
                <w:sz w:val="22"/>
              </w:rPr>
              <w:t>0.892</w:t>
            </w:r>
          </w:p>
        </w:tc>
        <w:tc>
          <w:tcPr>
            <w:tcW w:type="dxa" w:w="1440"/>
          </w:tcPr>
          <w:p>
            <w:pPr>
              <w:spacing w:after="40" w:before="40"/>
              <w:jc w:val="center"/>
            </w:pPr>
            <w:r>
              <w:rPr>
                <w:rFonts w:ascii="Times New Roman" w:hAnsi="Times New Roman"/>
                <w:b w:val="0"/>
                <w:sz w:val="22"/>
              </w:rPr>
              <w:t>0.895</w:t>
            </w:r>
          </w:p>
        </w:tc>
        <w:tc>
          <w:tcPr>
            <w:tcW w:type="dxa" w:w="1440"/>
          </w:tcPr>
          <w:p>
            <w:pPr>
              <w:spacing w:after="40" w:before="40"/>
              <w:jc w:val="center"/>
            </w:pPr>
            <w:r>
              <w:rPr>
                <w:rFonts w:ascii="Times New Roman" w:hAnsi="Times New Roman"/>
                <w:b w:val="0"/>
                <w:sz w:val="22"/>
              </w:rPr>
              <w:t>0.921</w:t>
            </w:r>
          </w:p>
        </w:tc>
        <w:tc>
          <w:tcPr>
            <w:tcW w:type="dxa" w:w="1440"/>
          </w:tcPr>
          <w:p>
            <w:pPr>
              <w:spacing w:after="40" w:before="40"/>
              <w:jc w:val="center"/>
            </w:pPr>
            <w:r>
              <w:rPr>
                <w:rFonts w:ascii="Times New Roman" w:hAnsi="Times New Roman"/>
                <w:b w:val="0"/>
                <w:sz w:val="22"/>
              </w:rPr>
              <w:t>0.699</w:t>
            </w:r>
          </w:p>
        </w:tc>
      </w:tr>
      <w:tr>
        <w:tc>
          <w:tcPr>
            <w:tcW w:type="dxa" w:w="1440"/>
          </w:tcPr>
          <w:p>
            <w:pPr>
              <w:spacing w:after="40" w:before="40"/>
              <w:jc w:val="center"/>
            </w:pPr>
            <w:r>
              <w:rPr>
                <w:rFonts w:ascii="Times New Roman" w:hAnsi="Times New Roman"/>
                <w:b w:val="0"/>
                <w:sz w:val="22"/>
              </w:rPr>
              <w:t>BSAT</w:t>
            </w:r>
          </w:p>
        </w:tc>
        <w:tc>
          <w:tcPr>
            <w:tcW w:type="dxa" w:w="1440"/>
          </w:tcPr>
          <w:p>
            <w:pPr>
              <w:spacing w:after="40" w:before="40"/>
              <w:jc w:val="center"/>
            </w:pPr>
            <w:r>
              <w:rPr>
                <w:rFonts w:ascii="Times New Roman" w:hAnsi="Times New Roman"/>
                <w:b w:val="0"/>
                <w:sz w:val="22"/>
              </w:rPr>
              <w:t>4</w:t>
            </w:r>
          </w:p>
        </w:tc>
        <w:tc>
          <w:tcPr>
            <w:tcW w:type="dxa" w:w="1440"/>
          </w:tcPr>
          <w:p>
            <w:pPr>
              <w:spacing w:after="40" w:before="40"/>
              <w:jc w:val="center"/>
            </w:pPr>
            <w:r>
              <w:rPr>
                <w:rFonts w:ascii="Times New Roman" w:hAnsi="Times New Roman"/>
                <w:b w:val="0"/>
                <w:sz w:val="22"/>
              </w:rPr>
              <w:t>0.885</w:t>
            </w:r>
          </w:p>
        </w:tc>
        <w:tc>
          <w:tcPr>
            <w:tcW w:type="dxa" w:w="1440"/>
          </w:tcPr>
          <w:p>
            <w:pPr>
              <w:spacing w:after="40" w:before="40"/>
              <w:jc w:val="center"/>
            </w:pPr>
            <w:r>
              <w:rPr>
                <w:rFonts w:ascii="Times New Roman" w:hAnsi="Times New Roman"/>
                <w:b w:val="0"/>
                <w:sz w:val="22"/>
              </w:rPr>
              <w:t>0.887</w:t>
            </w:r>
          </w:p>
        </w:tc>
        <w:tc>
          <w:tcPr>
            <w:tcW w:type="dxa" w:w="1440"/>
          </w:tcPr>
          <w:p>
            <w:pPr>
              <w:spacing w:after="40" w:before="40"/>
              <w:jc w:val="center"/>
            </w:pPr>
            <w:r>
              <w:rPr>
                <w:rFonts w:ascii="Times New Roman" w:hAnsi="Times New Roman"/>
                <w:b w:val="0"/>
                <w:sz w:val="22"/>
              </w:rPr>
              <w:t>0.921</w:t>
            </w:r>
          </w:p>
        </w:tc>
        <w:tc>
          <w:tcPr>
            <w:tcW w:type="dxa" w:w="1440"/>
          </w:tcPr>
          <w:p>
            <w:pPr>
              <w:spacing w:after="40" w:before="40"/>
              <w:jc w:val="center"/>
            </w:pPr>
            <w:r>
              <w:rPr>
                <w:rFonts w:ascii="Times New Roman" w:hAnsi="Times New Roman"/>
                <w:b w:val="0"/>
                <w:sz w:val="22"/>
              </w:rPr>
              <w:t>0.743</w:t>
            </w:r>
          </w:p>
        </w:tc>
      </w:tr>
      <w:tr>
        <w:tc>
          <w:tcPr>
            <w:tcW w:type="dxa" w:w="1440"/>
          </w:tcPr>
          <w:p>
            <w:pPr>
              <w:spacing w:after="40" w:before="40"/>
              <w:jc w:val="center"/>
            </w:pPr>
            <w:r>
              <w:rPr>
                <w:rFonts w:ascii="Times New Roman" w:hAnsi="Times New Roman"/>
                <w:b w:val="0"/>
                <w:sz w:val="22"/>
              </w:rPr>
              <w:t>BSUC</w:t>
            </w:r>
          </w:p>
        </w:tc>
        <w:tc>
          <w:tcPr>
            <w:tcW w:type="dxa" w:w="1440"/>
          </w:tcPr>
          <w:p>
            <w:pPr>
              <w:spacing w:after="40" w:before="40"/>
              <w:jc w:val="center"/>
            </w:pPr>
            <w:r>
              <w:rPr>
                <w:rFonts w:ascii="Times New Roman" w:hAnsi="Times New Roman"/>
                <w:b w:val="0"/>
                <w:sz w:val="22"/>
              </w:rPr>
              <w:t>4</w:t>
            </w:r>
          </w:p>
        </w:tc>
        <w:tc>
          <w:tcPr>
            <w:tcW w:type="dxa" w:w="1440"/>
          </w:tcPr>
          <w:p>
            <w:pPr>
              <w:spacing w:after="40" w:before="40"/>
              <w:jc w:val="center"/>
            </w:pPr>
            <w:r>
              <w:rPr>
                <w:rFonts w:ascii="Times New Roman" w:hAnsi="Times New Roman"/>
                <w:b w:val="0"/>
                <w:sz w:val="22"/>
              </w:rPr>
              <w:t>0.887</w:t>
            </w:r>
          </w:p>
        </w:tc>
        <w:tc>
          <w:tcPr>
            <w:tcW w:type="dxa" w:w="1440"/>
          </w:tcPr>
          <w:p>
            <w:pPr>
              <w:spacing w:after="40" w:before="40"/>
              <w:jc w:val="center"/>
            </w:pPr>
            <w:r>
              <w:rPr>
                <w:rFonts w:ascii="Times New Roman" w:hAnsi="Times New Roman"/>
                <w:b w:val="0"/>
                <w:sz w:val="22"/>
              </w:rPr>
              <w:t>0.888</w:t>
            </w:r>
          </w:p>
        </w:tc>
        <w:tc>
          <w:tcPr>
            <w:tcW w:type="dxa" w:w="1440"/>
          </w:tcPr>
          <w:p>
            <w:pPr>
              <w:spacing w:after="40" w:before="40"/>
              <w:jc w:val="center"/>
            </w:pPr>
            <w:r>
              <w:rPr>
                <w:rFonts w:ascii="Times New Roman" w:hAnsi="Times New Roman"/>
                <w:b w:val="0"/>
                <w:sz w:val="22"/>
              </w:rPr>
              <w:t>0.922</w:t>
            </w:r>
          </w:p>
        </w:tc>
        <w:tc>
          <w:tcPr>
            <w:tcW w:type="dxa" w:w="1440"/>
          </w:tcPr>
          <w:p>
            <w:pPr>
              <w:spacing w:after="40" w:before="40"/>
              <w:jc w:val="center"/>
            </w:pPr>
            <w:r>
              <w:rPr>
                <w:rFonts w:ascii="Times New Roman" w:hAnsi="Times New Roman"/>
                <w:b w:val="0"/>
                <w:sz w:val="22"/>
              </w:rPr>
              <w:t>0.747</w:t>
            </w:r>
          </w:p>
        </w:tc>
      </w:tr>
    </w:tbl>
    <w:p>
      <w:pPr>
        <w:spacing w:before="120"/>
        <w:jc w:val="center"/>
      </w:pPr>
      <w:r>
        <w:drawing>
          <wp:inline xmlns:a="http://schemas.openxmlformats.org/drawingml/2006/main" xmlns:pic="http://schemas.openxmlformats.org/drawingml/2006/picture">
            <wp:extent cx="5760720" cy="2898761"/>
            <wp:docPr id="1" name="Picture 1"/>
            <wp:cNvGraphicFramePr>
              <a:graphicFrameLocks noChangeAspect="1"/>
            </wp:cNvGraphicFramePr>
            <a:graphic>
              <a:graphicData uri="http://schemas.openxmlformats.org/drawingml/2006/picture">
                <pic:pic>
                  <pic:nvPicPr>
                    <pic:cNvPr id="0" name="Fig7_outer_loadings.png"/>
                    <pic:cNvPicPr/>
                  </pic:nvPicPr>
                  <pic:blipFill>
                    <a:blip r:embed="rId9"/>
                    <a:stretch>
                      <a:fillRect/>
                    </a:stretch>
                  </pic:blipFill>
                  <pic:spPr>
                    <a:xfrm>
                      <a:off x="0" y="0"/>
                      <a:ext cx="5760720" cy="2898761"/>
                    </a:xfrm>
                    <a:prstGeom prst="rect"/>
                  </pic:spPr>
                </pic:pic>
              </a:graphicData>
            </a:graphic>
          </wp:inline>
        </w:drawing>
      </w:r>
    </w:p>
    <w:p>
      <w:pPr>
        <w:spacing w:after="240"/>
        <w:jc w:val="center"/>
      </w:pPr>
      <w:r>
        <w:rPr>
          <w:rFonts w:ascii="Times New Roman" w:hAnsi="Times New Roman"/>
          <w:i/>
          <w:sz w:val="22"/>
        </w:rPr>
        <w:t>Figure 7. Indicator outer loadings by construct (dashed line = 0.708 threshold).</w:t>
      </w:r>
    </w:p>
    <w:p>
      <w:pPr>
        <w:pStyle w:val="Heading2"/>
      </w:pPr>
      <w:r>
        <w:rPr>
          <w:rFonts w:ascii="Times New Roman" w:hAnsi="Times New Roman"/>
          <w:color w:val="000000"/>
        </w:rPr>
        <w:t>2.2 Discriminant validity</w:t>
      </w:r>
    </w:p>
    <w:p>
      <w:pPr>
        <w:spacing w:after="160"/>
        <w:jc w:val="both"/>
      </w:pPr>
      <w:r>
        <w:rPr>
          <w:rFonts w:ascii="Times New Roman" w:hAnsi="Times New Roman"/>
          <w:i w:val="0"/>
          <w:sz w:val="24"/>
        </w:rPr>
        <w:t>Discriminant validity was established with three complementary criteria. Fornell–Larcker (Table 3, Figure 6): for every construct the square root of the AVE (diagonal) exceeds its correlations with all other constructs. Heterotrait–monotrait ratio (HTMT; Table 4, Figure 5): all values fall between 0.30 and 0.615, far below the conservative 0.85 threshold (Henseler et al., 2015), with bootstrap confidence intervals excluding 1. Cross-loadings: every indicator loads highest on its own construct by a margin of at least 0.40.</w:t>
      </w:r>
    </w:p>
    <w:p>
      <w:pPr>
        <w:spacing w:after="80"/>
      </w:pPr>
      <w:r>
        <w:rPr>
          <w:rFonts w:ascii="Times New Roman" w:hAnsi="Times New Roman"/>
          <w:b/>
          <w:sz w:val="22"/>
        </w:rPr>
        <w:t>Table 3. Fornell–Larcker matrix (diagonal = √AVE).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DDDD"/>
          </w:tcPr>
          <w:p>
            <w:pPr>
              <w:spacing w:after="40" w:before="40"/>
            </w:pPr>
            <w:r>
              <w:rPr>
                <w:rFonts w:ascii="Times New Roman" w:hAnsi="Times New Roman"/>
                <w:b/>
                <w:sz w:val="22"/>
              </w:rPr>
            </w:r>
          </w:p>
        </w:tc>
        <w:tc>
          <w:tcPr>
            <w:tcW w:type="dxa" w:w="1728"/>
            <w:shd w:val="clear" w:color="auto" w:fill="DDDDDD"/>
          </w:tcPr>
          <w:p>
            <w:pPr>
              <w:spacing w:after="40" w:before="40"/>
              <w:jc w:val="center"/>
            </w:pPr>
            <w:r>
              <w:rPr>
                <w:rFonts w:ascii="Times New Roman" w:hAnsi="Times New Roman"/>
                <w:b/>
                <w:sz w:val="22"/>
              </w:rPr>
              <w:t>UE</w:t>
            </w:r>
          </w:p>
        </w:tc>
        <w:tc>
          <w:tcPr>
            <w:tcW w:type="dxa" w:w="1728"/>
            <w:shd w:val="clear" w:color="auto" w:fill="DDDDDD"/>
          </w:tcPr>
          <w:p>
            <w:pPr>
              <w:spacing w:after="40" w:before="40"/>
              <w:jc w:val="center"/>
            </w:pPr>
            <w:r>
              <w:rPr>
                <w:rFonts w:ascii="Times New Roman" w:hAnsi="Times New Roman"/>
                <w:b/>
                <w:sz w:val="22"/>
              </w:rPr>
              <w:t>UX</w:t>
            </w:r>
          </w:p>
        </w:tc>
        <w:tc>
          <w:tcPr>
            <w:tcW w:type="dxa" w:w="1728"/>
            <w:shd w:val="clear" w:color="auto" w:fill="DDDDDD"/>
          </w:tcPr>
          <w:p>
            <w:pPr>
              <w:spacing w:after="40" w:before="40"/>
              <w:jc w:val="center"/>
            </w:pPr>
            <w:r>
              <w:rPr>
                <w:rFonts w:ascii="Times New Roman" w:hAnsi="Times New Roman"/>
                <w:b/>
                <w:sz w:val="22"/>
              </w:rPr>
              <w:t>BSAT</w:t>
            </w:r>
          </w:p>
        </w:tc>
        <w:tc>
          <w:tcPr>
            <w:tcW w:type="dxa" w:w="1728"/>
            <w:shd w:val="clear" w:color="auto" w:fill="DDDDDD"/>
          </w:tcPr>
          <w:p>
            <w:pPr>
              <w:spacing w:after="40" w:before="40"/>
              <w:jc w:val="center"/>
            </w:pPr>
            <w:r>
              <w:rPr>
                <w:rFonts w:ascii="Times New Roman" w:hAnsi="Times New Roman"/>
                <w:b/>
                <w:sz w:val="22"/>
              </w:rPr>
              <w:t>BSUC</w:t>
            </w:r>
          </w:p>
        </w:tc>
      </w:tr>
      <w:tr>
        <w:tc>
          <w:tcPr>
            <w:tcW w:type="dxa" w:w="1728"/>
          </w:tcPr>
          <w:p>
            <w:pPr>
              <w:spacing w:after="40" w:before="40"/>
            </w:pPr>
            <w:r>
              <w:rPr>
                <w:rFonts w:ascii="Times New Roman" w:hAnsi="Times New Roman"/>
                <w:b w:val="0"/>
                <w:sz w:val="22"/>
              </w:rPr>
              <w:t>UE</w:t>
            </w:r>
          </w:p>
        </w:tc>
        <w:tc>
          <w:tcPr>
            <w:tcW w:type="dxa" w:w="1728"/>
          </w:tcPr>
          <w:p>
            <w:pPr>
              <w:spacing w:after="40" w:before="40"/>
              <w:jc w:val="center"/>
            </w:pPr>
            <w:r>
              <w:rPr>
                <w:rFonts w:ascii="Times New Roman" w:hAnsi="Times New Roman"/>
                <w:b w:val="0"/>
                <w:sz w:val="22"/>
              </w:rPr>
              <w:t>0.832</w:t>
            </w:r>
          </w:p>
        </w:tc>
        <w:tc>
          <w:tcPr>
            <w:tcW w:type="dxa" w:w="1728"/>
          </w:tcPr>
          <w:p>
            <w:pPr>
              <w:spacing w:after="40" w:before="40"/>
              <w:jc w:val="center"/>
            </w:pPr>
            <w:r>
              <w:rPr>
                <w:rFonts w:ascii="Times New Roman" w:hAnsi="Times New Roman"/>
                <w:b w:val="0"/>
                <w:sz w:val="22"/>
              </w:rPr>
            </w:r>
          </w:p>
        </w:tc>
        <w:tc>
          <w:tcPr>
            <w:tcW w:type="dxa" w:w="1728"/>
          </w:tcPr>
          <w:p>
            <w:pPr>
              <w:spacing w:after="40" w:before="40"/>
              <w:jc w:val="center"/>
            </w:pPr>
            <w:r>
              <w:rPr>
                <w:rFonts w:ascii="Times New Roman" w:hAnsi="Times New Roman"/>
                <w:b w:val="0"/>
                <w:sz w:val="22"/>
              </w:rPr>
            </w:r>
          </w:p>
        </w:tc>
        <w:tc>
          <w:tcPr>
            <w:tcW w:type="dxa" w:w="1728"/>
          </w:tcPr>
          <w:p>
            <w:pPr>
              <w:spacing w:after="40" w:before="40"/>
              <w:jc w:val="center"/>
            </w:pPr>
            <w:r>
              <w:rPr>
                <w:rFonts w:ascii="Times New Roman" w:hAnsi="Times New Roman"/>
                <w:b w:val="0"/>
                <w:sz w:val="22"/>
              </w:rPr>
            </w:r>
          </w:p>
        </w:tc>
      </w:tr>
      <w:tr>
        <w:tc>
          <w:tcPr>
            <w:tcW w:type="dxa" w:w="1728"/>
          </w:tcPr>
          <w:p>
            <w:pPr>
              <w:spacing w:after="40" w:before="40"/>
            </w:pPr>
            <w:r>
              <w:rPr>
                <w:rFonts w:ascii="Times New Roman" w:hAnsi="Times New Roman"/>
                <w:b w:val="0"/>
                <w:sz w:val="22"/>
              </w:rPr>
              <w:t>UX</w:t>
            </w:r>
          </w:p>
        </w:tc>
        <w:tc>
          <w:tcPr>
            <w:tcW w:type="dxa" w:w="1728"/>
          </w:tcPr>
          <w:p>
            <w:pPr>
              <w:spacing w:after="40" w:before="40"/>
              <w:jc w:val="center"/>
            </w:pPr>
            <w:r>
              <w:rPr>
                <w:rFonts w:ascii="Times New Roman" w:hAnsi="Times New Roman"/>
                <w:b w:val="0"/>
                <w:sz w:val="22"/>
              </w:rPr>
              <w:t>0.365</w:t>
            </w:r>
          </w:p>
        </w:tc>
        <w:tc>
          <w:tcPr>
            <w:tcW w:type="dxa" w:w="1728"/>
          </w:tcPr>
          <w:p>
            <w:pPr>
              <w:spacing w:after="40" w:before="40"/>
              <w:jc w:val="center"/>
            </w:pPr>
            <w:r>
              <w:rPr>
                <w:rFonts w:ascii="Times New Roman" w:hAnsi="Times New Roman"/>
                <w:b w:val="0"/>
                <w:sz w:val="22"/>
              </w:rPr>
              <w:t>0.836</w:t>
            </w:r>
          </w:p>
        </w:tc>
        <w:tc>
          <w:tcPr>
            <w:tcW w:type="dxa" w:w="1728"/>
          </w:tcPr>
          <w:p>
            <w:pPr>
              <w:spacing w:after="40" w:before="40"/>
              <w:jc w:val="center"/>
            </w:pPr>
            <w:r>
              <w:rPr>
                <w:rFonts w:ascii="Times New Roman" w:hAnsi="Times New Roman"/>
                <w:b w:val="0"/>
                <w:sz w:val="22"/>
              </w:rPr>
            </w:r>
          </w:p>
        </w:tc>
        <w:tc>
          <w:tcPr>
            <w:tcW w:type="dxa" w:w="1728"/>
          </w:tcPr>
          <w:p>
            <w:pPr>
              <w:spacing w:after="40" w:before="40"/>
              <w:jc w:val="center"/>
            </w:pPr>
            <w:r>
              <w:rPr>
                <w:rFonts w:ascii="Times New Roman" w:hAnsi="Times New Roman"/>
                <w:b w:val="0"/>
                <w:sz w:val="22"/>
              </w:rPr>
            </w:r>
          </w:p>
        </w:tc>
      </w:tr>
      <w:tr>
        <w:tc>
          <w:tcPr>
            <w:tcW w:type="dxa" w:w="1728"/>
          </w:tcPr>
          <w:p>
            <w:pPr>
              <w:spacing w:after="40" w:before="40"/>
            </w:pPr>
            <w:r>
              <w:rPr>
                <w:rFonts w:ascii="Times New Roman" w:hAnsi="Times New Roman"/>
                <w:b w:val="0"/>
                <w:sz w:val="22"/>
              </w:rPr>
              <w:t>BSAT</w:t>
            </w:r>
          </w:p>
        </w:tc>
        <w:tc>
          <w:tcPr>
            <w:tcW w:type="dxa" w:w="1728"/>
          </w:tcPr>
          <w:p>
            <w:pPr>
              <w:spacing w:after="40" w:before="40"/>
              <w:jc w:val="center"/>
            </w:pPr>
            <w:r>
              <w:rPr>
                <w:rFonts w:ascii="Times New Roman" w:hAnsi="Times New Roman"/>
                <w:b w:val="0"/>
                <w:sz w:val="22"/>
              </w:rPr>
              <w:t>0.300</w:t>
            </w:r>
          </w:p>
        </w:tc>
        <w:tc>
          <w:tcPr>
            <w:tcW w:type="dxa" w:w="1728"/>
          </w:tcPr>
          <w:p>
            <w:pPr>
              <w:spacing w:after="40" w:before="40"/>
              <w:jc w:val="center"/>
            </w:pPr>
            <w:r>
              <w:rPr>
                <w:rFonts w:ascii="Times New Roman" w:hAnsi="Times New Roman"/>
                <w:b w:val="0"/>
                <w:sz w:val="22"/>
              </w:rPr>
              <w:t>0.450</w:t>
            </w:r>
          </w:p>
        </w:tc>
        <w:tc>
          <w:tcPr>
            <w:tcW w:type="dxa" w:w="1728"/>
          </w:tcPr>
          <w:p>
            <w:pPr>
              <w:spacing w:after="40" w:before="40"/>
              <w:jc w:val="center"/>
            </w:pPr>
            <w:r>
              <w:rPr>
                <w:rFonts w:ascii="Times New Roman" w:hAnsi="Times New Roman"/>
                <w:b w:val="0"/>
                <w:sz w:val="22"/>
              </w:rPr>
              <w:t>0.862</w:t>
            </w:r>
          </w:p>
        </w:tc>
        <w:tc>
          <w:tcPr>
            <w:tcW w:type="dxa" w:w="1728"/>
          </w:tcPr>
          <w:p>
            <w:pPr>
              <w:spacing w:after="40" w:before="40"/>
              <w:jc w:val="center"/>
            </w:pPr>
            <w:r>
              <w:rPr>
                <w:rFonts w:ascii="Times New Roman" w:hAnsi="Times New Roman"/>
                <w:b w:val="0"/>
                <w:sz w:val="22"/>
              </w:rPr>
            </w:r>
          </w:p>
        </w:tc>
      </w:tr>
      <w:tr>
        <w:tc>
          <w:tcPr>
            <w:tcW w:type="dxa" w:w="1728"/>
          </w:tcPr>
          <w:p>
            <w:pPr>
              <w:spacing w:after="40" w:before="40"/>
            </w:pPr>
            <w:r>
              <w:rPr>
                <w:rFonts w:ascii="Times New Roman" w:hAnsi="Times New Roman"/>
                <w:b w:val="0"/>
                <w:sz w:val="22"/>
              </w:rPr>
              <w:t>BSUC</w:t>
            </w:r>
          </w:p>
        </w:tc>
        <w:tc>
          <w:tcPr>
            <w:tcW w:type="dxa" w:w="1728"/>
          </w:tcPr>
          <w:p>
            <w:pPr>
              <w:spacing w:after="40" w:before="40"/>
              <w:jc w:val="center"/>
            </w:pPr>
            <w:r>
              <w:rPr>
                <w:rFonts w:ascii="Times New Roman" w:hAnsi="Times New Roman"/>
                <w:b w:val="0"/>
                <w:sz w:val="22"/>
              </w:rPr>
              <w:t>0.265</w:t>
            </w:r>
          </w:p>
        </w:tc>
        <w:tc>
          <w:tcPr>
            <w:tcW w:type="dxa" w:w="1728"/>
          </w:tcPr>
          <w:p>
            <w:pPr>
              <w:spacing w:after="40" w:before="40"/>
              <w:jc w:val="center"/>
            </w:pPr>
            <w:r>
              <w:rPr>
                <w:rFonts w:ascii="Times New Roman" w:hAnsi="Times New Roman"/>
                <w:b w:val="0"/>
                <w:sz w:val="22"/>
              </w:rPr>
              <w:t>0.341</w:t>
            </w:r>
          </w:p>
        </w:tc>
        <w:tc>
          <w:tcPr>
            <w:tcW w:type="dxa" w:w="1728"/>
          </w:tcPr>
          <w:p>
            <w:pPr>
              <w:spacing w:after="40" w:before="40"/>
              <w:jc w:val="center"/>
            </w:pPr>
            <w:r>
              <w:rPr>
                <w:rFonts w:ascii="Times New Roman" w:hAnsi="Times New Roman"/>
                <w:b w:val="0"/>
                <w:sz w:val="22"/>
              </w:rPr>
              <w:t>0.545</w:t>
            </w:r>
          </w:p>
        </w:tc>
        <w:tc>
          <w:tcPr>
            <w:tcW w:type="dxa" w:w="1728"/>
          </w:tcPr>
          <w:p>
            <w:pPr>
              <w:spacing w:after="40" w:before="40"/>
              <w:jc w:val="center"/>
            </w:pPr>
            <w:r>
              <w:rPr>
                <w:rFonts w:ascii="Times New Roman" w:hAnsi="Times New Roman"/>
                <w:b w:val="0"/>
                <w:sz w:val="22"/>
              </w:rPr>
              <w:t>0.865</w:t>
            </w:r>
          </w:p>
        </w:tc>
      </w:tr>
    </w:tbl>
    <w:p>
      <w:pPr>
        <w:spacing w:after="80"/>
      </w:pPr>
      <w:r>
        <w:rPr>
          <w:rFonts w:ascii="Times New Roman" w:hAnsi="Times New Roman"/>
          <w:b/>
          <w:sz w:val="22"/>
        </w:rPr>
        <w:t>Table 4. Heterotrait–monotrait (HTMT) ratios.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DDDD"/>
          </w:tcPr>
          <w:p>
            <w:pPr>
              <w:spacing w:after="40" w:before="40"/>
            </w:pPr>
            <w:r>
              <w:rPr>
                <w:rFonts w:ascii="Times New Roman" w:hAnsi="Times New Roman"/>
                <w:b/>
                <w:sz w:val="22"/>
              </w:rPr>
            </w:r>
          </w:p>
        </w:tc>
        <w:tc>
          <w:tcPr>
            <w:tcW w:type="dxa" w:w="1728"/>
            <w:shd w:val="clear" w:color="auto" w:fill="DDDDDD"/>
          </w:tcPr>
          <w:p>
            <w:pPr>
              <w:spacing w:after="40" w:before="40"/>
              <w:jc w:val="center"/>
            </w:pPr>
            <w:r>
              <w:rPr>
                <w:rFonts w:ascii="Times New Roman" w:hAnsi="Times New Roman"/>
                <w:b/>
                <w:sz w:val="22"/>
              </w:rPr>
              <w:t>UE</w:t>
            </w:r>
          </w:p>
        </w:tc>
        <w:tc>
          <w:tcPr>
            <w:tcW w:type="dxa" w:w="1728"/>
            <w:shd w:val="clear" w:color="auto" w:fill="DDDDDD"/>
          </w:tcPr>
          <w:p>
            <w:pPr>
              <w:spacing w:after="40" w:before="40"/>
              <w:jc w:val="center"/>
            </w:pPr>
            <w:r>
              <w:rPr>
                <w:rFonts w:ascii="Times New Roman" w:hAnsi="Times New Roman"/>
                <w:b/>
                <w:sz w:val="22"/>
              </w:rPr>
              <w:t>UX</w:t>
            </w:r>
          </w:p>
        </w:tc>
        <w:tc>
          <w:tcPr>
            <w:tcW w:type="dxa" w:w="1728"/>
            <w:shd w:val="clear" w:color="auto" w:fill="DDDDDD"/>
          </w:tcPr>
          <w:p>
            <w:pPr>
              <w:spacing w:after="40" w:before="40"/>
              <w:jc w:val="center"/>
            </w:pPr>
            <w:r>
              <w:rPr>
                <w:rFonts w:ascii="Times New Roman" w:hAnsi="Times New Roman"/>
                <w:b/>
                <w:sz w:val="22"/>
              </w:rPr>
              <w:t>BSAT</w:t>
            </w:r>
          </w:p>
        </w:tc>
        <w:tc>
          <w:tcPr>
            <w:tcW w:type="dxa" w:w="1728"/>
            <w:shd w:val="clear" w:color="auto" w:fill="DDDDDD"/>
          </w:tcPr>
          <w:p>
            <w:pPr>
              <w:spacing w:after="40" w:before="40"/>
              <w:jc w:val="center"/>
            </w:pPr>
            <w:r>
              <w:rPr>
                <w:rFonts w:ascii="Times New Roman" w:hAnsi="Times New Roman"/>
                <w:b/>
                <w:sz w:val="22"/>
              </w:rPr>
              <w:t>BSUC</w:t>
            </w:r>
          </w:p>
        </w:tc>
      </w:tr>
      <w:tr>
        <w:tc>
          <w:tcPr>
            <w:tcW w:type="dxa" w:w="1728"/>
          </w:tcPr>
          <w:p>
            <w:pPr>
              <w:spacing w:after="40" w:before="40"/>
            </w:pPr>
            <w:r>
              <w:rPr>
                <w:rFonts w:ascii="Times New Roman" w:hAnsi="Times New Roman"/>
                <w:b w:val="0"/>
                <w:sz w:val="22"/>
              </w:rPr>
              <w:t>UE</w:t>
            </w:r>
          </w:p>
        </w:tc>
        <w:tc>
          <w:tcPr>
            <w:tcW w:type="dxa" w:w="1728"/>
          </w:tcPr>
          <w:p>
            <w:pPr>
              <w:spacing w:after="40" w:before="40"/>
              <w:jc w:val="center"/>
            </w:pPr>
            <w:r>
              <w:rPr>
                <w:rFonts w:ascii="Times New Roman" w:hAnsi="Times New Roman"/>
                <w:b w:val="0"/>
                <w:sz w:val="22"/>
              </w:rPr>
              <w:t>—</w:t>
            </w:r>
          </w:p>
        </w:tc>
        <w:tc>
          <w:tcPr>
            <w:tcW w:type="dxa" w:w="1728"/>
          </w:tcPr>
          <w:p>
            <w:pPr>
              <w:spacing w:after="40" w:before="40"/>
              <w:jc w:val="center"/>
            </w:pPr>
            <w:r>
              <w:rPr>
                <w:rFonts w:ascii="Times New Roman" w:hAnsi="Times New Roman"/>
                <w:b w:val="0"/>
                <w:sz w:val="22"/>
              </w:rPr>
            </w:r>
          </w:p>
        </w:tc>
        <w:tc>
          <w:tcPr>
            <w:tcW w:type="dxa" w:w="1728"/>
          </w:tcPr>
          <w:p>
            <w:pPr>
              <w:spacing w:after="40" w:before="40"/>
              <w:jc w:val="center"/>
            </w:pPr>
            <w:r>
              <w:rPr>
                <w:rFonts w:ascii="Times New Roman" w:hAnsi="Times New Roman"/>
                <w:b w:val="0"/>
                <w:sz w:val="22"/>
              </w:rPr>
            </w:r>
          </w:p>
        </w:tc>
        <w:tc>
          <w:tcPr>
            <w:tcW w:type="dxa" w:w="1728"/>
          </w:tcPr>
          <w:p>
            <w:pPr>
              <w:spacing w:after="40" w:before="40"/>
              <w:jc w:val="center"/>
            </w:pPr>
            <w:r>
              <w:rPr>
                <w:rFonts w:ascii="Times New Roman" w:hAnsi="Times New Roman"/>
                <w:b w:val="0"/>
                <w:sz w:val="22"/>
              </w:rPr>
            </w:r>
          </w:p>
        </w:tc>
      </w:tr>
      <w:tr>
        <w:tc>
          <w:tcPr>
            <w:tcW w:type="dxa" w:w="1728"/>
          </w:tcPr>
          <w:p>
            <w:pPr>
              <w:spacing w:after="40" w:before="40"/>
            </w:pPr>
            <w:r>
              <w:rPr>
                <w:rFonts w:ascii="Times New Roman" w:hAnsi="Times New Roman"/>
                <w:b w:val="0"/>
                <w:sz w:val="22"/>
              </w:rPr>
              <w:t>UX</w:t>
            </w:r>
          </w:p>
        </w:tc>
        <w:tc>
          <w:tcPr>
            <w:tcW w:type="dxa" w:w="1728"/>
          </w:tcPr>
          <w:p>
            <w:pPr>
              <w:spacing w:after="40" w:before="40"/>
              <w:jc w:val="center"/>
            </w:pPr>
            <w:r>
              <w:rPr>
                <w:rFonts w:ascii="Times New Roman" w:hAnsi="Times New Roman"/>
                <w:b w:val="0"/>
                <w:sz w:val="22"/>
              </w:rPr>
              <w:t>0.407</w:t>
            </w:r>
          </w:p>
        </w:tc>
        <w:tc>
          <w:tcPr>
            <w:tcW w:type="dxa" w:w="1728"/>
          </w:tcPr>
          <w:p>
            <w:pPr>
              <w:spacing w:after="40" w:before="40"/>
              <w:jc w:val="center"/>
            </w:pPr>
            <w:r>
              <w:rPr>
                <w:rFonts w:ascii="Times New Roman" w:hAnsi="Times New Roman"/>
                <w:b w:val="0"/>
                <w:sz w:val="22"/>
              </w:rPr>
              <w:t>—</w:t>
            </w:r>
          </w:p>
        </w:tc>
        <w:tc>
          <w:tcPr>
            <w:tcW w:type="dxa" w:w="1728"/>
          </w:tcPr>
          <w:p>
            <w:pPr>
              <w:spacing w:after="40" w:before="40"/>
              <w:jc w:val="center"/>
            </w:pPr>
            <w:r>
              <w:rPr>
                <w:rFonts w:ascii="Times New Roman" w:hAnsi="Times New Roman"/>
                <w:b w:val="0"/>
                <w:sz w:val="22"/>
              </w:rPr>
            </w:r>
          </w:p>
        </w:tc>
        <w:tc>
          <w:tcPr>
            <w:tcW w:type="dxa" w:w="1728"/>
          </w:tcPr>
          <w:p>
            <w:pPr>
              <w:spacing w:after="40" w:before="40"/>
              <w:jc w:val="center"/>
            </w:pPr>
            <w:r>
              <w:rPr>
                <w:rFonts w:ascii="Times New Roman" w:hAnsi="Times New Roman"/>
                <w:b w:val="0"/>
                <w:sz w:val="22"/>
              </w:rPr>
            </w:r>
          </w:p>
        </w:tc>
      </w:tr>
      <w:tr>
        <w:tc>
          <w:tcPr>
            <w:tcW w:type="dxa" w:w="1728"/>
          </w:tcPr>
          <w:p>
            <w:pPr>
              <w:spacing w:after="40" w:before="40"/>
            </w:pPr>
            <w:r>
              <w:rPr>
                <w:rFonts w:ascii="Times New Roman" w:hAnsi="Times New Roman"/>
                <w:b w:val="0"/>
                <w:sz w:val="22"/>
              </w:rPr>
              <w:t>BSAT</w:t>
            </w:r>
          </w:p>
        </w:tc>
        <w:tc>
          <w:tcPr>
            <w:tcW w:type="dxa" w:w="1728"/>
          </w:tcPr>
          <w:p>
            <w:pPr>
              <w:spacing w:after="40" w:before="40"/>
              <w:jc w:val="center"/>
            </w:pPr>
            <w:r>
              <w:rPr>
                <w:rFonts w:ascii="Times New Roman" w:hAnsi="Times New Roman"/>
                <w:b w:val="0"/>
                <w:sz w:val="22"/>
              </w:rPr>
              <w:t>0.334</w:t>
            </w:r>
          </w:p>
        </w:tc>
        <w:tc>
          <w:tcPr>
            <w:tcW w:type="dxa" w:w="1728"/>
          </w:tcPr>
          <w:p>
            <w:pPr>
              <w:spacing w:after="40" w:before="40"/>
              <w:jc w:val="center"/>
            </w:pPr>
            <w:r>
              <w:rPr>
                <w:rFonts w:ascii="Times New Roman" w:hAnsi="Times New Roman"/>
                <w:b w:val="0"/>
                <w:sz w:val="22"/>
              </w:rPr>
              <w:t>0.503</w:t>
            </w:r>
          </w:p>
        </w:tc>
        <w:tc>
          <w:tcPr>
            <w:tcW w:type="dxa" w:w="1728"/>
          </w:tcPr>
          <w:p>
            <w:pPr>
              <w:spacing w:after="40" w:before="40"/>
              <w:jc w:val="center"/>
            </w:pPr>
            <w:r>
              <w:rPr>
                <w:rFonts w:ascii="Times New Roman" w:hAnsi="Times New Roman"/>
                <w:b w:val="0"/>
                <w:sz w:val="22"/>
              </w:rPr>
              <w:t>—</w:t>
            </w:r>
          </w:p>
        </w:tc>
        <w:tc>
          <w:tcPr>
            <w:tcW w:type="dxa" w:w="1728"/>
          </w:tcPr>
          <w:p>
            <w:pPr>
              <w:spacing w:after="40" w:before="40"/>
              <w:jc w:val="center"/>
            </w:pPr>
            <w:r>
              <w:rPr>
                <w:rFonts w:ascii="Times New Roman" w:hAnsi="Times New Roman"/>
                <w:b w:val="0"/>
                <w:sz w:val="22"/>
              </w:rPr>
            </w:r>
          </w:p>
        </w:tc>
      </w:tr>
      <w:tr>
        <w:tc>
          <w:tcPr>
            <w:tcW w:type="dxa" w:w="1728"/>
          </w:tcPr>
          <w:p>
            <w:pPr>
              <w:spacing w:after="40" w:before="40"/>
            </w:pPr>
            <w:r>
              <w:rPr>
                <w:rFonts w:ascii="Times New Roman" w:hAnsi="Times New Roman"/>
                <w:b w:val="0"/>
                <w:sz w:val="22"/>
              </w:rPr>
              <w:t>BSUC</w:t>
            </w:r>
          </w:p>
        </w:tc>
        <w:tc>
          <w:tcPr>
            <w:tcW w:type="dxa" w:w="1728"/>
          </w:tcPr>
          <w:p>
            <w:pPr>
              <w:spacing w:after="40" w:before="40"/>
              <w:jc w:val="center"/>
            </w:pPr>
            <w:r>
              <w:rPr>
                <w:rFonts w:ascii="Times New Roman" w:hAnsi="Times New Roman"/>
                <w:b w:val="0"/>
                <w:sz w:val="22"/>
              </w:rPr>
              <w:t>0.298</w:t>
            </w:r>
          </w:p>
        </w:tc>
        <w:tc>
          <w:tcPr>
            <w:tcW w:type="dxa" w:w="1728"/>
          </w:tcPr>
          <w:p>
            <w:pPr>
              <w:spacing w:after="40" w:before="40"/>
              <w:jc w:val="center"/>
            </w:pPr>
            <w:r>
              <w:rPr>
                <w:rFonts w:ascii="Times New Roman" w:hAnsi="Times New Roman"/>
                <w:b w:val="0"/>
                <w:sz w:val="22"/>
              </w:rPr>
              <w:t>0.381</w:t>
            </w:r>
          </w:p>
        </w:tc>
        <w:tc>
          <w:tcPr>
            <w:tcW w:type="dxa" w:w="1728"/>
          </w:tcPr>
          <w:p>
            <w:pPr>
              <w:spacing w:after="40" w:before="40"/>
              <w:jc w:val="center"/>
            </w:pPr>
            <w:r>
              <w:rPr>
                <w:rFonts w:ascii="Times New Roman" w:hAnsi="Times New Roman"/>
                <w:b w:val="0"/>
                <w:sz w:val="22"/>
              </w:rPr>
              <w:t>0.615</w:t>
            </w:r>
          </w:p>
        </w:tc>
        <w:tc>
          <w:tcPr>
            <w:tcW w:type="dxa" w:w="1728"/>
          </w:tcPr>
          <w:p>
            <w:pPr>
              <w:spacing w:after="40" w:before="40"/>
              <w:jc w:val="center"/>
            </w:pPr>
            <w:r>
              <w:rPr>
                <w:rFonts w:ascii="Times New Roman" w:hAnsi="Times New Roman"/>
                <w:b w:val="0"/>
                <w:sz w:val="22"/>
              </w:rPr>
              <w:t>—</w:t>
            </w:r>
          </w:p>
        </w:tc>
      </w:tr>
    </w:tbl>
    <w:p>
      <w:pPr>
        <w:spacing w:before="120"/>
        <w:jc w:val="center"/>
      </w:pPr>
      <w:r>
        <w:drawing>
          <wp:inline xmlns:a="http://schemas.openxmlformats.org/drawingml/2006/main" xmlns:pic="http://schemas.openxmlformats.org/drawingml/2006/picture">
            <wp:extent cx="4389120" cy="3651594"/>
            <wp:docPr id="2" name="Picture 2"/>
            <wp:cNvGraphicFramePr>
              <a:graphicFrameLocks noChangeAspect="1"/>
            </wp:cNvGraphicFramePr>
            <a:graphic>
              <a:graphicData uri="http://schemas.openxmlformats.org/drawingml/2006/picture">
                <pic:pic>
                  <pic:nvPicPr>
                    <pic:cNvPr id="0" name="Fig5_HTMT.png"/>
                    <pic:cNvPicPr/>
                  </pic:nvPicPr>
                  <pic:blipFill>
                    <a:blip r:embed="rId10"/>
                    <a:stretch>
                      <a:fillRect/>
                    </a:stretch>
                  </pic:blipFill>
                  <pic:spPr>
                    <a:xfrm>
                      <a:off x="0" y="0"/>
                      <a:ext cx="4389120" cy="3651594"/>
                    </a:xfrm>
                    <a:prstGeom prst="rect"/>
                  </pic:spPr>
                </pic:pic>
              </a:graphicData>
            </a:graphic>
          </wp:inline>
        </w:drawing>
      </w:r>
    </w:p>
    <w:p>
      <w:pPr>
        <w:spacing w:after="240"/>
        <w:jc w:val="center"/>
      </w:pPr>
      <w:r>
        <w:rPr>
          <w:rFonts w:ascii="Times New Roman" w:hAnsi="Times New Roman"/>
          <w:i/>
          <w:sz w:val="22"/>
        </w:rPr>
        <w:t>Figure 5. Heterotrait–monotrait (HTMT) ratios.</w:t>
      </w:r>
    </w:p>
    <w:p>
      <w:pPr>
        <w:spacing w:before="120"/>
        <w:jc w:val="center"/>
      </w:pPr>
      <w:r>
        <w:drawing>
          <wp:inline xmlns:a="http://schemas.openxmlformats.org/drawingml/2006/main" xmlns:pic="http://schemas.openxmlformats.org/drawingml/2006/picture">
            <wp:extent cx="4389120" cy="3442935"/>
            <wp:docPr id="3" name="Picture 3"/>
            <wp:cNvGraphicFramePr>
              <a:graphicFrameLocks noChangeAspect="1"/>
            </wp:cNvGraphicFramePr>
            <a:graphic>
              <a:graphicData uri="http://schemas.openxmlformats.org/drawingml/2006/picture">
                <pic:pic>
                  <pic:nvPicPr>
                    <pic:cNvPr id="0" name="Fig6_FornellLarcker.png"/>
                    <pic:cNvPicPr/>
                  </pic:nvPicPr>
                  <pic:blipFill>
                    <a:blip r:embed="rId11"/>
                    <a:stretch>
                      <a:fillRect/>
                    </a:stretch>
                  </pic:blipFill>
                  <pic:spPr>
                    <a:xfrm>
                      <a:off x="0" y="0"/>
                      <a:ext cx="4389120" cy="3442935"/>
                    </a:xfrm>
                    <a:prstGeom prst="rect"/>
                  </pic:spPr>
                </pic:pic>
              </a:graphicData>
            </a:graphic>
          </wp:inline>
        </w:drawing>
      </w:r>
    </w:p>
    <w:p>
      <w:pPr>
        <w:spacing w:after="240"/>
        <w:jc w:val="center"/>
      </w:pPr>
      <w:r>
        <w:rPr>
          <w:rFonts w:ascii="Times New Roman" w:hAnsi="Times New Roman"/>
          <w:i/>
          <w:sz w:val="22"/>
        </w:rPr>
        <w:t>Figure 6. Fornell–Larcker matrix (diagonal = √AVE; off-diagonal = construct correlations).</w:t>
      </w:r>
    </w:p>
    <w:p>
      <w:pPr>
        <w:pStyle w:val="Heading1"/>
      </w:pPr>
      <w:r>
        <w:rPr>
          <w:rFonts w:ascii="Times New Roman" w:hAnsi="Times New Roman"/>
          <w:color w:val="000000"/>
        </w:rPr>
        <w:t>3. Structural model assessment</w:t>
      </w:r>
    </w:p>
    <w:p>
      <w:pPr>
        <w:pStyle w:val="Heading2"/>
      </w:pPr>
      <w:r>
        <w:rPr>
          <w:rFonts w:ascii="Times New Roman" w:hAnsi="Times New Roman"/>
          <w:color w:val="000000"/>
        </w:rPr>
        <w:t>3.1 Collinearity and model fit</w:t>
      </w:r>
    </w:p>
    <w:p>
      <w:pPr>
        <w:spacing w:after="160"/>
        <w:jc w:val="both"/>
      </w:pPr>
      <w:r>
        <w:rPr>
          <w:rFonts w:ascii="Times New Roman" w:hAnsi="Times New Roman"/>
          <w:i w:val="0"/>
          <w:sz w:val="24"/>
        </w:rPr>
        <w:t>Inner-model collinearity is negligible: all predictor-side VIFs lie between 1.15 and 1.35 (Table 5), ruling out lateral collinearity and supporting the conclusion that common method bias does not distort the path estimates (Kock, 2015). The standardized root mean square residual (SRMR = 0.047) is below the 0.08 cutoff, indicating good approximate fit.</w:t>
      </w:r>
    </w:p>
    <w:p>
      <w:pPr>
        <w:spacing w:after="80"/>
      </w:pPr>
      <w:r>
        <w:rPr>
          <w:rFonts w:ascii="Times New Roman" w:hAnsi="Times New Roman"/>
          <w:b/>
          <w:sz w:val="22"/>
        </w:rPr>
        <w:t>Table 5. Inner-model collinearity (VIF).</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DDDD"/>
          </w:tcPr>
          <w:p>
            <w:pPr>
              <w:spacing w:after="40" w:before="40"/>
            </w:pPr>
            <w:r>
              <w:rPr>
                <w:rFonts w:ascii="Times New Roman" w:hAnsi="Times New Roman"/>
                <w:b/>
                <w:sz w:val="22"/>
              </w:rPr>
              <w:t>Predictor → Outcome</w:t>
            </w:r>
          </w:p>
        </w:tc>
        <w:tc>
          <w:tcPr>
            <w:tcW w:type="dxa" w:w="4320"/>
            <w:shd w:val="clear" w:color="auto" w:fill="DDDDDD"/>
          </w:tcPr>
          <w:p>
            <w:pPr>
              <w:spacing w:after="40" w:before="40"/>
              <w:jc w:val="center"/>
            </w:pPr>
            <w:r>
              <w:rPr>
                <w:rFonts w:ascii="Times New Roman" w:hAnsi="Times New Roman"/>
                <w:b/>
                <w:sz w:val="22"/>
              </w:rPr>
              <w:t>VIF</w:t>
            </w:r>
          </w:p>
        </w:tc>
      </w:tr>
      <w:tr>
        <w:tc>
          <w:tcPr>
            <w:tcW w:type="dxa" w:w="4320"/>
          </w:tcPr>
          <w:p>
            <w:pPr>
              <w:spacing w:after="40" w:before="40"/>
            </w:pPr>
            <w:r>
              <w:rPr>
                <w:rFonts w:ascii="Times New Roman" w:hAnsi="Times New Roman"/>
                <w:b w:val="0"/>
                <w:sz w:val="22"/>
              </w:rPr>
              <w:t>UE → BSAT</w:t>
            </w:r>
          </w:p>
        </w:tc>
        <w:tc>
          <w:tcPr>
            <w:tcW w:type="dxa" w:w="4320"/>
          </w:tcPr>
          <w:p>
            <w:pPr>
              <w:spacing w:after="40" w:before="40"/>
              <w:jc w:val="center"/>
            </w:pPr>
            <w:r>
              <w:rPr>
                <w:rFonts w:ascii="Times New Roman" w:hAnsi="Times New Roman"/>
                <w:b w:val="0"/>
                <w:sz w:val="22"/>
              </w:rPr>
              <w:t>1.15</w:t>
            </w:r>
          </w:p>
        </w:tc>
      </w:tr>
      <w:tr>
        <w:tc>
          <w:tcPr>
            <w:tcW w:type="dxa" w:w="4320"/>
          </w:tcPr>
          <w:p>
            <w:pPr>
              <w:spacing w:after="40" w:before="40"/>
            </w:pPr>
            <w:r>
              <w:rPr>
                <w:rFonts w:ascii="Times New Roman" w:hAnsi="Times New Roman"/>
                <w:b w:val="0"/>
                <w:sz w:val="22"/>
              </w:rPr>
              <w:t>UX → BSAT</w:t>
            </w:r>
          </w:p>
        </w:tc>
        <w:tc>
          <w:tcPr>
            <w:tcW w:type="dxa" w:w="4320"/>
          </w:tcPr>
          <w:p>
            <w:pPr>
              <w:spacing w:after="40" w:before="40"/>
              <w:jc w:val="center"/>
            </w:pPr>
            <w:r>
              <w:rPr>
                <w:rFonts w:ascii="Times New Roman" w:hAnsi="Times New Roman"/>
                <w:b w:val="0"/>
                <w:sz w:val="22"/>
              </w:rPr>
              <w:t>1.15</w:t>
            </w:r>
          </w:p>
        </w:tc>
      </w:tr>
      <w:tr>
        <w:tc>
          <w:tcPr>
            <w:tcW w:type="dxa" w:w="4320"/>
          </w:tcPr>
          <w:p>
            <w:pPr>
              <w:spacing w:after="40" w:before="40"/>
            </w:pPr>
            <w:r>
              <w:rPr>
                <w:rFonts w:ascii="Times New Roman" w:hAnsi="Times New Roman"/>
                <w:b w:val="0"/>
                <w:sz w:val="22"/>
              </w:rPr>
              <w:t>UE → BSUC</w:t>
            </w:r>
          </w:p>
        </w:tc>
        <w:tc>
          <w:tcPr>
            <w:tcW w:type="dxa" w:w="4320"/>
          </w:tcPr>
          <w:p>
            <w:pPr>
              <w:spacing w:after="40" w:before="40"/>
              <w:jc w:val="center"/>
            </w:pPr>
            <w:r>
              <w:rPr>
                <w:rFonts w:ascii="Times New Roman" w:hAnsi="Times New Roman"/>
                <w:b w:val="0"/>
                <w:sz w:val="22"/>
              </w:rPr>
              <w:t>1.19</w:t>
            </w:r>
          </w:p>
        </w:tc>
      </w:tr>
      <w:tr>
        <w:tc>
          <w:tcPr>
            <w:tcW w:type="dxa" w:w="4320"/>
          </w:tcPr>
          <w:p>
            <w:pPr>
              <w:spacing w:after="40" w:before="40"/>
            </w:pPr>
            <w:r>
              <w:rPr>
                <w:rFonts w:ascii="Times New Roman" w:hAnsi="Times New Roman"/>
                <w:b w:val="0"/>
                <w:sz w:val="22"/>
              </w:rPr>
              <w:t>UX → BSUC</w:t>
            </w:r>
          </w:p>
        </w:tc>
        <w:tc>
          <w:tcPr>
            <w:tcW w:type="dxa" w:w="4320"/>
          </w:tcPr>
          <w:p>
            <w:pPr>
              <w:spacing w:after="40" w:before="40"/>
              <w:jc w:val="center"/>
            </w:pPr>
            <w:r>
              <w:rPr>
                <w:rFonts w:ascii="Times New Roman" w:hAnsi="Times New Roman"/>
                <w:b w:val="0"/>
                <w:sz w:val="22"/>
              </w:rPr>
              <w:t>1.35</w:t>
            </w:r>
          </w:p>
        </w:tc>
      </w:tr>
      <w:tr>
        <w:tc>
          <w:tcPr>
            <w:tcW w:type="dxa" w:w="4320"/>
          </w:tcPr>
          <w:p>
            <w:pPr>
              <w:spacing w:after="40" w:before="40"/>
            </w:pPr>
            <w:r>
              <w:rPr>
                <w:rFonts w:ascii="Times New Roman" w:hAnsi="Times New Roman"/>
                <w:b w:val="0"/>
                <w:sz w:val="22"/>
              </w:rPr>
              <w:t>BSAT → BSUC</w:t>
            </w:r>
          </w:p>
        </w:tc>
        <w:tc>
          <w:tcPr>
            <w:tcW w:type="dxa" w:w="4320"/>
          </w:tcPr>
          <w:p>
            <w:pPr>
              <w:spacing w:after="40" w:before="40"/>
              <w:jc w:val="center"/>
            </w:pPr>
            <w:r>
              <w:rPr>
                <w:rFonts w:ascii="Times New Roman" w:hAnsi="Times New Roman"/>
                <w:b w:val="0"/>
                <w:sz w:val="22"/>
              </w:rPr>
              <w:t>1.29</w:t>
            </w:r>
          </w:p>
        </w:tc>
      </w:tr>
    </w:tbl>
    <w:p>
      <w:pPr>
        <w:pStyle w:val="Heading2"/>
      </w:pPr>
      <w:r>
        <w:rPr>
          <w:rFonts w:ascii="Times New Roman" w:hAnsi="Times New Roman"/>
          <w:color w:val="000000"/>
        </w:rPr>
        <w:t>3.2 Explanatory and predictive power</w:t>
      </w:r>
    </w:p>
    <w:p>
      <w:pPr>
        <w:spacing w:after="160"/>
        <w:jc w:val="both"/>
      </w:pPr>
      <w:r>
        <w:rPr>
          <w:rFonts w:ascii="Times New Roman" w:hAnsi="Times New Roman"/>
          <w:i w:val="0"/>
          <w:sz w:val="24"/>
        </w:rPr>
        <w:t>The model explains a meaningful share of variance (Table 6, Figure 3): R² = 0.224 for satisfaction (BSAT) and R² = 0.315 for continuance (BSUC). Blindfolding (omission distance = 7) yielded cross-validated redundancy Q² = 0.160 (BSAT) and 0.228 (BSUC), both above zero, establishing predictive relevance.</w:t>
      </w:r>
    </w:p>
    <w:p>
      <w:pPr>
        <w:spacing w:after="80"/>
      </w:pPr>
      <w:r>
        <w:rPr>
          <w:rFonts w:ascii="Times New Roman" w:hAnsi="Times New Roman"/>
          <w:b/>
          <w:sz w:val="22"/>
        </w:rPr>
        <w:t>Table 6. Variance explained and predictive relevance.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DDDDD"/>
          </w:tcPr>
          <w:p>
            <w:pPr>
              <w:spacing w:after="40" w:before="40"/>
              <w:jc w:val="center"/>
            </w:pPr>
            <w:r>
              <w:rPr>
                <w:rFonts w:ascii="Times New Roman" w:hAnsi="Times New Roman"/>
                <w:b/>
                <w:sz w:val="22"/>
              </w:rPr>
              <w:t>Construct</w:t>
            </w:r>
          </w:p>
        </w:tc>
        <w:tc>
          <w:tcPr>
            <w:tcW w:type="dxa" w:w="2160"/>
            <w:shd w:val="clear" w:color="auto" w:fill="DDDDDD"/>
          </w:tcPr>
          <w:p>
            <w:pPr>
              <w:spacing w:after="40" w:before="40"/>
              <w:jc w:val="center"/>
            </w:pPr>
            <w:r>
              <w:rPr>
                <w:rFonts w:ascii="Times New Roman" w:hAnsi="Times New Roman"/>
                <w:b/>
                <w:sz w:val="22"/>
              </w:rPr>
              <w:t>R²</w:t>
            </w:r>
          </w:p>
        </w:tc>
        <w:tc>
          <w:tcPr>
            <w:tcW w:type="dxa" w:w="2160"/>
            <w:shd w:val="clear" w:color="auto" w:fill="DDDDDD"/>
          </w:tcPr>
          <w:p>
            <w:pPr>
              <w:spacing w:after="40" w:before="40"/>
              <w:jc w:val="center"/>
            </w:pPr>
            <w:r>
              <w:rPr>
                <w:rFonts w:ascii="Times New Roman" w:hAnsi="Times New Roman"/>
                <w:b/>
                <w:sz w:val="22"/>
              </w:rPr>
              <w:t>Adjusted R²</w:t>
            </w:r>
          </w:p>
        </w:tc>
        <w:tc>
          <w:tcPr>
            <w:tcW w:type="dxa" w:w="2160"/>
            <w:shd w:val="clear" w:color="auto" w:fill="DDDDDD"/>
          </w:tcPr>
          <w:p>
            <w:pPr>
              <w:spacing w:after="40" w:before="40"/>
              <w:jc w:val="center"/>
            </w:pPr>
            <w:r>
              <w:rPr>
                <w:rFonts w:ascii="Times New Roman" w:hAnsi="Times New Roman"/>
                <w:b/>
                <w:sz w:val="22"/>
              </w:rPr>
              <w:t>Q² (blindfolding)</w:t>
            </w:r>
          </w:p>
        </w:tc>
      </w:tr>
      <w:tr>
        <w:tc>
          <w:tcPr>
            <w:tcW w:type="dxa" w:w="2160"/>
          </w:tcPr>
          <w:p>
            <w:pPr>
              <w:spacing w:after="40" w:before="40"/>
              <w:jc w:val="center"/>
            </w:pPr>
            <w:r>
              <w:rPr>
                <w:rFonts w:ascii="Times New Roman" w:hAnsi="Times New Roman"/>
                <w:b w:val="0"/>
                <w:sz w:val="22"/>
              </w:rPr>
              <w:t>BSAT</w:t>
            </w:r>
          </w:p>
        </w:tc>
        <w:tc>
          <w:tcPr>
            <w:tcW w:type="dxa" w:w="2160"/>
          </w:tcPr>
          <w:p>
            <w:pPr>
              <w:spacing w:after="40" w:before="40"/>
              <w:jc w:val="center"/>
            </w:pPr>
            <w:r>
              <w:rPr>
                <w:rFonts w:ascii="Times New Roman" w:hAnsi="Times New Roman"/>
                <w:b w:val="0"/>
                <w:sz w:val="22"/>
              </w:rPr>
              <w:t>0.224</w:t>
            </w:r>
          </w:p>
        </w:tc>
        <w:tc>
          <w:tcPr>
            <w:tcW w:type="dxa" w:w="2160"/>
          </w:tcPr>
          <w:p>
            <w:pPr>
              <w:spacing w:after="40" w:before="40"/>
              <w:jc w:val="center"/>
            </w:pPr>
            <w:r>
              <w:rPr>
                <w:rFonts w:ascii="Times New Roman" w:hAnsi="Times New Roman"/>
                <w:b w:val="0"/>
                <w:sz w:val="22"/>
              </w:rPr>
              <w:t>0.219</w:t>
            </w:r>
          </w:p>
        </w:tc>
        <w:tc>
          <w:tcPr>
            <w:tcW w:type="dxa" w:w="2160"/>
          </w:tcPr>
          <w:p>
            <w:pPr>
              <w:spacing w:after="40" w:before="40"/>
              <w:jc w:val="center"/>
            </w:pPr>
            <w:r>
              <w:rPr>
                <w:rFonts w:ascii="Times New Roman" w:hAnsi="Times New Roman"/>
                <w:b w:val="0"/>
                <w:sz w:val="22"/>
              </w:rPr>
              <w:t>0.160</w:t>
            </w:r>
          </w:p>
        </w:tc>
      </w:tr>
      <w:tr>
        <w:tc>
          <w:tcPr>
            <w:tcW w:type="dxa" w:w="2160"/>
          </w:tcPr>
          <w:p>
            <w:pPr>
              <w:spacing w:after="40" w:before="40"/>
              <w:jc w:val="center"/>
            </w:pPr>
            <w:r>
              <w:rPr>
                <w:rFonts w:ascii="Times New Roman" w:hAnsi="Times New Roman"/>
                <w:b w:val="0"/>
                <w:sz w:val="22"/>
              </w:rPr>
              <w:t>BSUC</w:t>
            </w:r>
          </w:p>
        </w:tc>
        <w:tc>
          <w:tcPr>
            <w:tcW w:type="dxa" w:w="2160"/>
          </w:tcPr>
          <w:p>
            <w:pPr>
              <w:spacing w:after="40" w:before="40"/>
              <w:jc w:val="center"/>
            </w:pPr>
            <w:r>
              <w:rPr>
                <w:rFonts w:ascii="Times New Roman" w:hAnsi="Times New Roman"/>
                <w:b w:val="0"/>
                <w:sz w:val="22"/>
              </w:rPr>
              <w:t>0.315</w:t>
            </w:r>
          </w:p>
        </w:tc>
        <w:tc>
          <w:tcPr>
            <w:tcW w:type="dxa" w:w="2160"/>
          </w:tcPr>
          <w:p>
            <w:pPr>
              <w:spacing w:after="40" w:before="40"/>
              <w:jc w:val="center"/>
            </w:pPr>
            <w:r>
              <w:rPr>
                <w:rFonts w:ascii="Times New Roman" w:hAnsi="Times New Roman"/>
                <w:b w:val="0"/>
                <w:sz w:val="22"/>
              </w:rPr>
              <w:t>0.308</w:t>
            </w:r>
          </w:p>
        </w:tc>
        <w:tc>
          <w:tcPr>
            <w:tcW w:type="dxa" w:w="2160"/>
          </w:tcPr>
          <w:p>
            <w:pPr>
              <w:spacing w:after="40" w:before="40"/>
              <w:jc w:val="center"/>
            </w:pPr>
            <w:r>
              <w:rPr>
                <w:rFonts w:ascii="Times New Roman" w:hAnsi="Times New Roman"/>
                <w:b w:val="0"/>
                <w:sz w:val="22"/>
              </w:rPr>
              <w:t>0.228</w:t>
            </w:r>
          </w:p>
        </w:tc>
      </w:tr>
    </w:tbl>
    <w:p>
      <w:pPr>
        <w:spacing w:before="120"/>
        <w:jc w:val="center"/>
      </w:pPr>
      <w:r>
        <w:drawing>
          <wp:inline xmlns:a="http://schemas.openxmlformats.org/drawingml/2006/main" xmlns:pic="http://schemas.openxmlformats.org/drawingml/2006/picture">
            <wp:extent cx="4572000" cy="2560101"/>
            <wp:docPr id="4" name="Picture 4"/>
            <wp:cNvGraphicFramePr>
              <a:graphicFrameLocks noChangeAspect="1"/>
            </wp:cNvGraphicFramePr>
            <a:graphic>
              <a:graphicData uri="http://schemas.openxmlformats.org/drawingml/2006/picture">
                <pic:pic>
                  <pic:nvPicPr>
                    <pic:cNvPr id="0" name="Fig3_R2_Q2.png"/>
                    <pic:cNvPicPr/>
                  </pic:nvPicPr>
                  <pic:blipFill>
                    <a:blip r:embed="rId12"/>
                    <a:stretch>
                      <a:fillRect/>
                    </a:stretch>
                  </pic:blipFill>
                  <pic:spPr>
                    <a:xfrm>
                      <a:off x="0" y="0"/>
                      <a:ext cx="4572000" cy="2560101"/>
                    </a:xfrm>
                    <a:prstGeom prst="rect"/>
                  </pic:spPr>
                </pic:pic>
              </a:graphicData>
            </a:graphic>
          </wp:inline>
        </w:drawing>
      </w:r>
    </w:p>
    <w:p>
      <w:pPr>
        <w:spacing w:after="240"/>
        <w:jc w:val="center"/>
      </w:pPr>
      <w:r>
        <w:rPr>
          <w:rFonts w:ascii="Times New Roman" w:hAnsi="Times New Roman"/>
          <w:i/>
          <w:sz w:val="22"/>
        </w:rPr>
        <w:t>Figure 3. Explanatory (R²) and predictive (Q²) power of the endogenous constructs.</w:t>
      </w:r>
    </w:p>
    <w:p>
      <w:pPr>
        <w:spacing w:after="160"/>
        <w:jc w:val="both"/>
      </w:pPr>
      <w:r>
        <w:rPr>
          <w:rFonts w:ascii="Times New Roman" w:hAnsi="Times New Roman"/>
          <w:i w:val="0"/>
          <w:sz w:val="24"/>
        </w:rPr>
        <w:t>A formal out-of-sample PLSpredict analysis (Shmueli et al., 2019; 10-fold cross-validation) confirmed predictive validity for the key target construct: Q²_predict was positive for all four BSUC indicators (0.035–0.067), and the PLS path model produced a lower RMSE than the naive linear-model benchmark for three of the four indicators (Table 7), indicating at least medium out-of-sample predictive power.</w:t>
      </w:r>
    </w:p>
    <w:p>
      <w:pPr>
        <w:spacing w:after="80"/>
      </w:pPr>
      <w:r>
        <w:rPr>
          <w:rFonts w:ascii="Times New Roman" w:hAnsi="Times New Roman"/>
          <w:b/>
          <w:sz w:val="22"/>
        </w:rPr>
        <w:t>Table 7. PLSpredict (10-fold CV) for the BSUC indicators.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DDDD"/>
          </w:tcPr>
          <w:p>
            <w:pPr>
              <w:spacing w:after="40" w:before="40"/>
              <w:jc w:val="center"/>
            </w:pPr>
            <w:r>
              <w:rPr>
                <w:rFonts w:ascii="Times New Roman" w:hAnsi="Times New Roman"/>
                <w:b/>
                <w:sz w:val="22"/>
              </w:rPr>
              <w:t>Indicator</w:t>
            </w:r>
          </w:p>
        </w:tc>
        <w:tc>
          <w:tcPr>
            <w:tcW w:type="dxa" w:w="1728"/>
            <w:shd w:val="clear" w:color="auto" w:fill="DDDDDD"/>
          </w:tcPr>
          <w:p>
            <w:pPr>
              <w:spacing w:after="40" w:before="40"/>
              <w:jc w:val="center"/>
            </w:pPr>
            <w:r>
              <w:rPr>
                <w:rFonts w:ascii="Times New Roman" w:hAnsi="Times New Roman"/>
                <w:b/>
                <w:sz w:val="22"/>
              </w:rPr>
              <w:t>Q²_predict</w:t>
            </w:r>
          </w:p>
        </w:tc>
        <w:tc>
          <w:tcPr>
            <w:tcW w:type="dxa" w:w="1728"/>
            <w:shd w:val="clear" w:color="auto" w:fill="DDDDDD"/>
          </w:tcPr>
          <w:p>
            <w:pPr>
              <w:spacing w:after="40" w:before="40"/>
              <w:jc w:val="center"/>
            </w:pPr>
            <w:r>
              <w:rPr>
                <w:rFonts w:ascii="Times New Roman" w:hAnsi="Times New Roman"/>
                <w:b/>
                <w:sz w:val="22"/>
              </w:rPr>
              <w:t>RMSE (PLS)</w:t>
            </w:r>
          </w:p>
        </w:tc>
        <w:tc>
          <w:tcPr>
            <w:tcW w:type="dxa" w:w="1728"/>
            <w:shd w:val="clear" w:color="auto" w:fill="DDDDDD"/>
          </w:tcPr>
          <w:p>
            <w:pPr>
              <w:spacing w:after="40" w:before="40"/>
              <w:jc w:val="center"/>
            </w:pPr>
            <w:r>
              <w:rPr>
                <w:rFonts w:ascii="Times New Roman" w:hAnsi="Times New Roman"/>
                <w:b/>
                <w:sz w:val="22"/>
              </w:rPr>
              <w:t>RMSE (LM)</w:t>
            </w:r>
          </w:p>
        </w:tc>
        <w:tc>
          <w:tcPr>
            <w:tcW w:type="dxa" w:w="1728"/>
            <w:shd w:val="clear" w:color="auto" w:fill="DDDDDD"/>
          </w:tcPr>
          <w:p>
            <w:pPr>
              <w:spacing w:after="40" w:before="40"/>
              <w:jc w:val="center"/>
            </w:pPr>
            <w:r>
              <w:rPr>
                <w:rFonts w:ascii="Times New Roman" w:hAnsi="Times New Roman"/>
                <w:b/>
                <w:sz w:val="22"/>
              </w:rPr>
              <w:t>PLS &lt; LM?</w:t>
            </w:r>
          </w:p>
        </w:tc>
      </w:tr>
      <w:tr>
        <w:tc>
          <w:tcPr>
            <w:tcW w:type="dxa" w:w="1728"/>
          </w:tcPr>
          <w:p>
            <w:pPr>
              <w:spacing w:after="40" w:before="40"/>
              <w:jc w:val="center"/>
            </w:pPr>
            <w:r>
              <w:rPr>
                <w:rFonts w:ascii="Times New Roman" w:hAnsi="Times New Roman"/>
                <w:b w:val="0"/>
                <w:sz w:val="22"/>
              </w:rPr>
              <w:t>BSUC1</w:t>
            </w:r>
          </w:p>
        </w:tc>
        <w:tc>
          <w:tcPr>
            <w:tcW w:type="dxa" w:w="1728"/>
          </w:tcPr>
          <w:p>
            <w:pPr>
              <w:spacing w:after="40" w:before="40"/>
              <w:jc w:val="center"/>
            </w:pPr>
            <w:r>
              <w:rPr>
                <w:rFonts w:ascii="Times New Roman" w:hAnsi="Times New Roman"/>
                <w:b w:val="0"/>
                <w:sz w:val="22"/>
              </w:rPr>
              <w:t>0.052</w:t>
            </w:r>
          </w:p>
        </w:tc>
        <w:tc>
          <w:tcPr>
            <w:tcW w:type="dxa" w:w="1728"/>
          </w:tcPr>
          <w:p>
            <w:pPr>
              <w:spacing w:after="40" w:before="40"/>
              <w:jc w:val="center"/>
            </w:pPr>
            <w:r>
              <w:rPr>
                <w:rFonts w:ascii="Times New Roman" w:hAnsi="Times New Roman"/>
                <w:b w:val="0"/>
                <w:sz w:val="22"/>
              </w:rPr>
              <w:t>1.951</w:t>
            </w:r>
          </w:p>
        </w:tc>
        <w:tc>
          <w:tcPr>
            <w:tcW w:type="dxa" w:w="1728"/>
          </w:tcPr>
          <w:p>
            <w:pPr>
              <w:spacing w:after="40" w:before="40"/>
              <w:jc w:val="center"/>
            </w:pPr>
            <w:r>
              <w:rPr>
                <w:rFonts w:ascii="Times New Roman" w:hAnsi="Times New Roman"/>
                <w:b w:val="0"/>
                <w:sz w:val="22"/>
              </w:rPr>
              <w:t>1.946</w:t>
            </w:r>
          </w:p>
        </w:tc>
        <w:tc>
          <w:tcPr>
            <w:tcW w:type="dxa" w:w="1728"/>
          </w:tcPr>
          <w:p>
            <w:pPr>
              <w:spacing w:after="40" w:before="40"/>
              <w:jc w:val="center"/>
            </w:pPr>
            <w:r>
              <w:rPr>
                <w:rFonts w:ascii="Times New Roman" w:hAnsi="Times New Roman"/>
                <w:b w:val="0"/>
                <w:sz w:val="22"/>
              </w:rPr>
              <w:t>No</w:t>
            </w:r>
          </w:p>
        </w:tc>
      </w:tr>
      <w:tr>
        <w:tc>
          <w:tcPr>
            <w:tcW w:type="dxa" w:w="1728"/>
          </w:tcPr>
          <w:p>
            <w:pPr>
              <w:spacing w:after="40" w:before="40"/>
              <w:jc w:val="center"/>
            </w:pPr>
            <w:r>
              <w:rPr>
                <w:rFonts w:ascii="Times New Roman" w:hAnsi="Times New Roman"/>
                <w:b w:val="0"/>
                <w:sz w:val="22"/>
              </w:rPr>
              <w:t>BSUC2</w:t>
            </w:r>
          </w:p>
        </w:tc>
        <w:tc>
          <w:tcPr>
            <w:tcW w:type="dxa" w:w="1728"/>
          </w:tcPr>
          <w:p>
            <w:pPr>
              <w:spacing w:after="40" w:before="40"/>
              <w:jc w:val="center"/>
            </w:pPr>
            <w:r>
              <w:rPr>
                <w:rFonts w:ascii="Times New Roman" w:hAnsi="Times New Roman"/>
                <w:b w:val="0"/>
                <w:sz w:val="22"/>
              </w:rPr>
              <w:t>0.057</w:t>
            </w:r>
          </w:p>
        </w:tc>
        <w:tc>
          <w:tcPr>
            <w:tcW w:type="dxa" w:w="1728"/>
          </w:tcPr>
          <w:p>
            <w:pPr>
              <w:spacing w:after="40" w:before="40"/>
              <w:jc w:val="center"/>
            </w:pPr>
            <w:r>
              <w:rPr>
                <w:rFonts w:ascii="Times New Roman" w:hAnsi="Times New Roman"/>
                <w:b w:val="0"/>
                <w:sz w:val="22"/>
              </w:rPr>
              <w:t>1.945</w:t>
            </w:r>
          </w:p>
        </w:tc>
        <w:tc>
          <w:tcPr>
            <w:tcW w:type="dxa" w:w="1728"/>
          </w:tcPr>
          <w:p>
            <w:pPr>
              <w:spacing w:after="40" w:before="40"/>
              <w:jc w:val="center"/>
            </w:pPr>
            <w:r>
              <w:rPr>
                <w:rFonts w:ascii="Times New Roman" w:hAnsi="Times New Roman"/>
                <w:b w:val="0"/>
                <w:sz w:val="22"/>
              </w:rPr>
              <w:t>1.981</w:t>
            </w:r>
          </w:p>
        </w:tc>
        <w:tc>
          <w:tcPr>
            <w:tcW w:type="dxa" w:w="1728"/>
          </w:tcPr>
          <w:p>
            <w:pPr>
              <w:spacing w:after="40" w:before="40"/>
              <w:jc w:val="center"/>
            </w:pPr>
            <w:r>
              <w:rPr>
                <w:rFonts w:ascii="Times New Roman" w:hAnsi="Times New Roman"/>
                <w:b w:val="0"/>
                <w:sz w:val="22"/>
              </w:rPr>
              <w:t>Yes</w:t>
            </w:r>
          </w:p>
        </w:tc>
      </w:tr>
      <w:tr>
        <w:tc>
          <w:tcPr>
            <w:tcW w:type="dxa" w:w="1728"/>
          </w:tcPr>
          <w:p>
            <w:pPr>
              <w:spacing w:after="40" w:before="40"/>
              <w:jc w:val="center"/>
            </w:pPr>
            <w:r>
              <w:rPr>
                <w:rFonts w:ascii="Times New Roman" w:hAnsi="Times New Roman"/>
                <w:b w:val="0"/>
                <w:sz w:val="22"/>
              </w:rPr>
              <w:t>BSUC3</w:t>
            </w:r>
          </w:p>
        </w:tc>
        <w:tc>
          <w:tcPr>
            <w:tcW w:type="dxa" w:w="1728"/>
          </w:tcPr>
          <w:p>
            <w:pPr>
              <w:spacing w:after="40" w:before="40"/>
              <w:jc w:val="center"/>
            </w:pPr>
            <w:r>
              <w:rPr>
                <w:rFonts w:ascii="Times New Roman" w:hAnsi="Times New Roman"/>
                <w:b w:val="0"/>
                <w:sz w:val="22"/>
              </w:rPr>
              <w:t>0.036</w:t>
            </w:r>
          </w:p>
        </w:tc>
        <w:tc>
          <w:tcPr>
            <w:tcW w:type="dxa" w:w="1728"/>
          </w:tcPr>
          <w:p>
            <w:pPr>
              <w:spacing w:after="40" w:before="40"/>
              <w:jc w:val="center"/>
            </w:pPr>
            <w:r>
              <w:rPr>
                <w:rFonts w:ascii="Times New Roman" w:hAnsi="Times New Roman"/>
                <w:b w:val="0"/>
                <w:sz w:val="22"/>
              </w:rPr>
              <w:t>1.967</w:t>
            </w:r>
          </w:p>
        </w:tc>
        <w:tc>
          <w:tcPr>
            <w:tcW w:type="dxa" w:w="1728"/>
          </w:tcPr>
          <w:p>
            <w:pPr>
              <w:spacing w:after="40" w:before="40"/>
              <w:jc w:val="center"/>
            </w:pPr>
            <w:r>
              <w:rPr>
                <w:rFonts w:ascii="Times New Roman" w:hAnsi="Times New Roman"/>
                <w:b w:val="0"/>
                <w:sz w:val="22"/>
              </w:rPr>
              <w:t>2.006</w:t>
            </w:r>
          </w:p>
        </w:tc>
        <w:tc>
          <w:tcPr>
            <w:tcW w:type="dxa" w:w="1728"/>
          </w:tcPr>
          <w:p>
            <w:pPr>
              <w:spacing w:after="40" w:before="40"/>
              <w:jc w:val="center"/>
            </w:pPr>
            <w:r>
              <w:rPr>
                <w:rFonts w:ascii="Times New Roman" w:hAnsi="Times New Roman"/>
                <w:b w:val="0"/>
                <w:sz w:val="22"/>
              </w:rPr>
              <w:t>Yes</w:t>
            </w:r>
          </w:p>
        </w:tc>
      </w:tr>
      <w:tr>
        <w:tc>
          <w:tcPr>
            <w:tcW w:type="dxa" w:w="1728"/>
          </w:tcPr>
          <w:p>
            <w:pPr>
              <w:spacing w:after="40" w:before="40"/>
              <w:jc w:val="center"/>
            </w:pPr>
            <w:r>
              <w:rPr>
                <w:rFonts w:ascii="Times New Roman" w:hAnsi="Times New Roman"/>
                <w:b w:val="0"/>
                <w:sz w:val="22"/>
              </w:rPr>
              <w:t>BSUC4</w:t>
            </w:r>
          </w:p>
        </w:tc>
        <w:tc>
          <w:tcPr>
            <w:tcW w:type="dxa" w:w="1728"/>
          </w:tcPr>
          <w:p>
            <w:pPr>
              <w:spacing w:after="40" w:before="40"/>
              <w:jc w:val="center"/>
            </w:pPr>
            <w:r>
              <w:rPr>
                <w:rFonts w:ascii="Times New Roman" w:hAnsi="Times New Roman"/>
                <w:b w:val="0"/>
                <w:sz w:val="22"/>
              </w:rPr>
              <w:t>0.067</w:t>
            </w:r>
          </w:p>
        </w:tc>
        <w:tc>
          <w:tcPr>
            <w:tcW w:type="dxa" w:w="1728"/>
          </w:tcPr>
          <w:p>
            <w:pPr>
              <w:spacing w:after="40" w:before="40"/>
              <w:jc w:val="center"/>
            </w:pPr>
            <w:r>
              <w:rPr>
                <w:rFonts w:ascii="Times New Roman" w:hAnsi="Times New Roman"/>
                <w:b w:val="0"/>
                <w:sz w:val="22"/>
              </w:rPr>
              <w:t>1.935</w:t>
            </w:r>
          </w:p>
        </w:tc>
        <w:tc>
          <w:tcPr>
            <w:tcW w:type="dxa" w:w="1728"/>
          </w:tcPr>
          <w:p>
            <w:pPr>
              <w:spacing w:after="40" w:before="40"/>
              <w:jc w:val="center"/>
            </w:pPr>
            <w:r>
              <w:rPr>
                <w:rFonts w:ascii="Times New Roman" w:hAnsi="Times New Roman"/>
                <w:b w:val="0"/>
                <w:sz w:val="22"/>
              </w:rPr>
              <w:t>1.953</w:t>
            </w:r>
          </w:p>
        </w:tc>
        <w:tc>
          <w:tcPr>
            <w:tcW w:type="dxa" w:w="1728"/>
          </w:tcPr>
          <w:p>
            <w:pPr>
              <w:spacing w:after="40" w:before="40"/>
              <w:jc w:val="center"/>
            </w:pPr>
            <w:r>
              <w:rPr>
                <w:rFonts w:ascii="Times New Roman" w:hAnsi="Times New Roman"/>
                <w:b w:val="0"/>
                <w:sz w:val="22"/>
              </w:rPr>
              <w:t>Yes</w:t>
            </w:r>
          </w:p>
        </w:tc>
      </w:tr>
    </w:tbl>
    <w:p>
      <w:pPr>
        <w:pStyle w:val="Heading2"/>
      </w:pPr>
      <w:r>
        <w:rPr>
          <w:rFonts w:ascii="Times New Roman" w:hAnsi="Times New Roman"/>
          <w:color w:val="000000"/>
        </w:rPr>
        <w:t>3.3 Path coefficients and hypothesis tests</w:t>
      </w:r>
    </w:p>
    <w:p>
      <w:pPr>
        <w:spacing w:after="160"/>
        <w:jc w:val="both"/>
      </w:pPr>
      <w:r>
        <w:rPr>
          <w:rFonts w:ascii="Times New Roman" w:hAnsi="Times New Roman"/>
          <w:i w:val="0"/>
          <w:sz w:val="24"/>
        </w:rPr>
        <w:t>Path significance was assessed with bootstrapping (5,000 resamples); Table 8 reports standardized coefficients, standard errors, t-statistics, two-tailed p-values, 95% percentile confidence intervals, and f² effect sizes. The estimated model is depicted in Figure 1 and the path estimates with confidence intervals in Figure 2.</w:t>
      </w:r>
    </w:p>
    <w:p>
      <w:pPr>
        <w:spacing w:after="80"/>
      </w:pPr>
      <w:r>
        <w:rPr>
          <w:rFonts w:ascii="Times New Roman" w:hAnsi="Times New Roman"/>
          <w:b/>
          <w:sz w:val="22"/>
        </w:rPr>
        <w:t>Table 8. Structural path coefficients (bootstrap, 5,000 resamples).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DDDDD"/>
          </w:tcPr>
          <w:p>
            <w:pPr>
              <w:spacing w:after="40" w:before="40"/>
              <w:jc w:val="center"/>
            </w:pPr>
            <w:r>
              <w:rPr>
                <w:rFonts w:ascii="Times New Roman" w:hAnsi="Times New Roman"/>
                <w:b/>
                <w:sz w:val="20"/>
              </w:rPr>
              <w:t>H</w:t>
            </w:r>
          </w:p>
        </w:tc>
        <w:tc>
          <w:tcPr>
            <w:tcW w:type="dxa" w:w="960"/>
            <w:shd w:val="clear" w:color="auto" w:fill="DDDDDD"/>
          </w:tcPr>
          <w:p>
            <w:pPr>
              <w:spacing w:after="40" w:before="40"/>
            </w:pPr>
            <w:r>
              <w:rPr>
                <w:rFonts w:ascii="Times New Roman" w:hAnsi="Times New Roman"/>
                <w:b/>
                <w:sz w:val="20"/>
              </w:rPr>
              <w:t>Path</w:t>
            </w:r>
          </w:p>
        </w:tc>
        <w:tc>
          <w:tcPr>
            <w:tcW w:type="dxa" w:w="960"/>
            <w:shd w:val="clear" w:color="auto" w:fill="DDDDDD"/>
          </w:tcPr>
          <w:p>
            <w:pPr>
              <w:spacing w:after="40" w:before="40"/>
              <w:jc w:val="center"/>
            </w:pPr>
            <w:r>
              <w:rPr>
                <w:rFonts w:ascii="Times New Roman" w:hAnsi="Times New Roman"/>
                <w:b/>
                <w:sz w:val="20"/>
              </w:rPr>
              <w:t>β</w:t>
            </w:r>
          </w:p>
        </w:tc>
        <w:tc>
          <w:tcPr>
            <w:tcW w:type="dxa" w:w="960"/>
            <w:shd w:val="clear" w:color="auto" w:fill="DDDDDD"/>
          </w:tcPr>
          <w:p>
            <w:pPr>
              <w:spacing w:after="40" w:before="40"/>
              <w:jc w:val="center"/>
            </w:pPr>
            <w:r>
              <w:rPr>
                <w:rFonts w:ascii="Times New Roman" w:hAnsi="Times New Roman"/>
                <w:b/>
                <w:sz w:val="20"/>
              </w:rPr>
              <w:t>SE</w:t>
            </w:r>
          </w:p>
        </w:tc>
        <w:tc>
          <w:tcPr>
            <w:tcW w:type="dxa" w:w="960"/>
            <w:shd w:val="clear" w:color="auto" w:fill="DDDDDD"/>
          </w:tcPr>
          <w:p>
            <w:pPr>
              <w:spacing w:after="40" w:before="40"/>
              <w:jc w:val="center"/>
            </w:pPr>
            <w:r>
              <w:rPr>
                <w:rFonts w:ascii="Times New Roman" w:hAnsi="Times New Roman"/>
                <w:b/>
                <w:sz w:val="20"/>
              </w:rPr>
              <w:t>t</w:t>
            </w:r>
          </w:p>
        </w:tc>
        <w:tc>
          <w:tcPr>
            <w:tcW w:type="dxa" w:w="960"/>
            <w:shd w:val="clear" w:color="auto" w:fill="DDDDDD"/>
          </w:tcPr>
          <w:p>
            <w:pPr>
              <w:spacing w:after="40" w:before="40"/>
              <w:jc w:val="center"/>
            </w:pPr>
            <w:r>
              <w:rPr>
                <w:rFonts w:ascii="Times New Roman" w:hAnsi="Times New Roman"/>
                <w:b/>
                <w:sz w:val="20"/>
              </w:rPr>
              <w:t>p</w:t>
            </w:r>
          </w:p>
        </w:tc>
        <w:tc>
          <w:tcPr>
            <w:tcW w:type="dxa" w:w="960"/>
            <w:shd w:val="clear" w:color="auto" w:fill="DDDDDD"/>
          </w:tcPr>
          <w:p>
            <w:pPr>
              <w:spacing w:after="40" w:before="40"/>
              <w:jc w:val="center"/>
            </w:pPr>
            <w:r>
              <w:rPr>
                <w:rFonts w:ascii="Times New Roman" w:hAnsi="Times New Roman"/>
                <w:b/>
                <w:sz w:val="20"/>
              </w:rPr>
              <w:t>95% CI</w:t>
            </w:r>
          </w:p>
        </w:tc>
        <w:tc>
          <w:tcPr>
            <w:tcW w:type="dxa" w:w="960"/>
            <w:shd w:val="clear" w:color="auto" w:fill="DDDDDD"/>
          </w:tcPr>
          <w:p>
            <w:pPr>
              <w:spacing w:after="40" w:before="40"/>
              <w:jc w:val="center"/>
            </w:pPr>
            <w:r>
              <w:rPr>
                <w:rFonts w:ascii="Times New Roman" w:hAnsi="Times New Roman"/>
                <w:b/>
                <w:sz w:val="20"/>
              </w:rPr>
              <w:t>f²</w:t>
            </w:r>
          </w:p>
        </w:tc>
        <w:tc>
          <w:tcPr>
            <w:tcW w:type="dxa" w:w="960"/>
            <w:shd w:val="clear" w:color="auto" w:fill="DDDDDD"/>
          </w:tcPr>
          <w:p>
            <w:pPr>
              <w:spacing w:after="40" w:before="40"/>
              <w:jc w:val="center"/>
            </w:pPr>
            <w:r>
              <w:rPr>
                <w:rFonts w:ascii="Times New Roman" w:hAnsi="Times New Roman"/>
                <w:b/>
                <w:sz w:val="20"/>
              </w:rPr>
              <w:t>Decision</w:t>
            </w:r>
          </w:p>
        </w:tc>
      </w:tr>
      <w:tr>
        <w:tc>
          <w:tcPr>
            <w:tcW w:type="dxa" w:w="960"/>
          </w:tcPr>
          <w:p>
            <w:pPr>
              <w:spacing w:after="40" w:before="40"/>
              <w:jc w:val="center"/>
            </w:pPr>
            <w:r>
              <w:rPr>
                <w:rFonts w:ascii="Times New Roman" w:hAnsi="Times New Roman"/>
                <w:b w:val="0"/>
                <w:sz w:val="20"/>
              </w:rPr>
              <w:t>H1</w:t>
            </w:r>
          </w:p>
        </w:tc>
        <w:tc>
          <w:tcPr>
            <w:tcW w:type="dxa" w:w="960"/>
          </w:tcPr>
          <w:p>
            <w:pPr>
              <w:spacing w:after="40" w:before="40"/>
            </w:pPr>
            <w:r>
              <w:rPr>
                <w:rFonts w:ascii="Times New Roman" w:hAnsi="Times New Roman"/>
                <w:b w:val="0"/>
                <w:sz w:val="20"/>
              </w:rPr>
              <w:t>UE → BSAT</w:t>
            </w:r>
          </w:p>
        </w:tc>
        <w:tc>
          <w:tcPr>
            <w:tcW w:type="dxa" w:w="960"/>
          </w:tcPr>
          <w:p>
            <w:pPr>
              <w:spacing w:after="40" w:before="40"/>
              <w:jc w:val="center"/>
            </w:pPr>
            <w:r>
              <w:rPr>
                <w:rFonts w:ascii="Times New Roman" w:hAnsi="Times New Roman"/>
                <w:b w:val="0"/>
                <w:sz w:val="20"/>
              </w:rPr>
              <w:t>0.157</w:t>
            </w:r>
          </w:p>
        </w:tc>
        <w:tc>
          <w:tcPr>
            <w:tcW w:type="dxa" w:w="960"/>
          </w:tcPr>
          <w:p>
            <w:pPr>
              <w:spacing w:after="40" w:before="40"/>
              <w:jc w:val="center"/>
            </w:pPr>
            <w:r>
              <w:rPr>
                <w:rFonts w:ascii="Times New Roman" w:hAnsi="Times New Roman"/>
                <w:b w:val="0"/>
                <w:sz w:val="20"/>
              </w:rPr>
              <w:t>0.054</w:t>
            </w:r>
          </w:p>
        </w:tc>
        <w:tc>
          <w:tcPr>
            <w:tcW w:type="dxa" w:w="960"/>
          </w:tcPr>
          <w:p>
            <w:pPr>
              <w:spacing w:after="40" w:before="40"/>
              <w:jc w:val="center"/>
            </w:pPr>
            <w:r>
              <w:rPr>
                <w:rFonts w:ascii="Times New Roman" w:hAnsi="Times New Roman"/>
                <w:b w:val="0"/>
                <w:sz w:val="20"/>
              </w:rPr>
              <w:t>2.89</w:t>
            </w:r>
          </w:p>
        </w:tc>
        <w:tc>
          <w:tcPr>
            <w:tcW w:type="dxa" w:w="960"/>
          </w:tcPr>
          <w:p>
            <w:pPr>
              <w:spacing w:after="40" w:before="40"/>
              <w:jc w:val="center"/>
            </w:pPr>
            <w:r>
              <w:rPr>
                <w:rFonts w:ascii="Times New Roman" w:hAnsi="Times New Roman"/>
                <w:b w:val="0"/>
                <w:sz w:val="20"/>
              </w:rPr>
              <w:t>.004</w:t>
            </w:r>
          </w:p>
        </w:tc>
        <w:tc>
          <w:tcPr>
            <w:tcW w:type="dxa" w:w="960"/>
          </w:tcPr>
          <w:p>
            <w:pPr>
              <w:spacing w:after="40" w:before="40"/>
              <w:jc w:val="center"/>
            </w:pPr>
            <w:r>
              <w:rPr>
                <w:rFonts w:ascii="Times New Roman" w:hAnsi="Times New Roman"/>
                <w:b w:val="0"/>
                <w:sz w:val="20"/>
              </w:rPr>
              <w:t>[0.052, 0.266]</w:t>
            </w:r>
          </w:p>
        </w:tc>
        <w:tc>
          <w:tcPr>
            <w:tcW w:type="dxa" w:w="960"/>
          </w:tcPr>
          <w:p>
            <w:pPr>
              <w:spacing w:after="40" w:before="40"/>
              <w:jc w:val="center"/>
            </w:pPr>
            <w:r>
              <w:rPr>
                <w:rFonts w:ascii="Times New Roman" w:hAnsi="Times New Roman"/>
                <w:b w:val="0"/>
                <w:sz w:val="20"/>
              </w:rPr>
              <w:t>0.028</w:t>
            </w:r>
          </w:p>
        </w:tc>
        <w:tc>
          <w:tcPr>
            <w:tcW w:type="dxa" w:w="960"/>
          </w:tcPr>
          <w:p>
            <w:pPr>
              <w:spacing w:after="40" w:before="40"/>
              <w:jc w:val="center"/>
            </w:pPr>
            <w:r>
              <w:rPr>
                <w:rFonts w:ascii="Times New Roman" w:hAnsi="Times New Roman"/>
                <w:b w:val="0"/>
                <w:sz w:val="20"/>
              </w:rPr>
              <w:t>Supported</w:t>
            </w:r>
          </w:p>
        </w:tc>
      </w:tr>
      <w:tr>
        <w:tc>
          <w:tcPr>
            <w:tcW w:type="dxa" w:w="960"/>
          </w:tcPr>
          <w:p>
            <w:pPr>
              <w:spacing w:after="40" w:before="40"/>
              <w:jc w:val="center"/>
            </w:pPr>
            <w:r>
              <w:rPr>
                <w:rFonts w:ascii="Times New Roman" w:hAnsi="Times New Roman"/>
                <w:b w:val="0"/>
                <w:sz w:val="20"/>
              </w:rPr>
              <w:t>H2</w:t>
            </w:r>
          </w:p>
        </w:tc>
        <w:tc>
          <w:tcPr>
            <w:tcW w:type="dxa" w:w="960"/>
          </w:tcPr>
          <w:p>
            <w:pPr>
              <w:spacing w:after="40" w:before="40"/>
            </w:pPr>
            <w:r>
              <w:rPr>
                <w:rFonts w:ascii="Times New Roman" w:hAnsi="Times New Roman"/>
                <w:b w:val="0"/>
                <w:sz w:val="20"/>
              </w:rPr>
              <w:t>UX → BSAT</w:t>
            </w:r>
          </w:p>
        </w:tc>
        <w:tc>
          <w:tcPr>
            <w:tcW w:type="dxa" w:w="960"/>
          </w:tcPr>
          <w:p>
            <w:pPr>
              <w:spacing w:after="40" w:before="40"/>
              <w:jc w:val="center"/>
            </w:pPr>
            <w:r>
              <w:rPr>
                <w:rFonts w:ascii="Times New Roman" w:hAnsi="Times New Roman"/>
                <w:b w:val="0"/>
                <w:sz w:val="20"/>
              </w:rPr>
              <w:t>0.393</w:t>
            </w:r>
          </w:p>
        </w:tc>
        <w:tc>
          <w:tcPr>
            <w:tcW w:type="dxa" w:w="960"/>
          </w:tcPr>
          <w:p>
            <w:pPr>
              <w:spacing w:after="40" w:before="40"/>
              <w:jc w:val="center"/>
            </w:pPr>
            <w:r>
              <w:rPr>
                <w:rFonts w:ascii="Times New Roman" w:hAnsi="Times New Roman"/>
                <w:b w:val="0"/>
                <w:sz w:val="20"/>
              </w:rPr>
              <w:t>0.052</w:t>
            </w:r>
          </w:p>
        </w:tc>
        <w:tc>
          <w:tcPr>
            <w:tcW w:type="dxa" w:w="960"/>
          </w:tcPr>
          <w:p>
            <w:pPr>
              <w:spacing w:after="40" w:before="40"/>
              <w:jc w:val="center"/>
            </w:pPr>
            <w:r>
              <w:rPr>
                <w:rFonts w:ascii="Times New Roman" w:hAnsi="Times New Roman"/>
                <w:b w:val="0"/>
                <w:sz w:val="20"/>
              </w:rPr>
              <w:t>7.59</w:t>
            </w:r>
          </w:p>
        </w:tc>
        <w:tc>
          <w:tcPr>
            <w:tcW w:type="dxa" w:w="960"/>
          </w:tcPr>
          <w:p>
            <w:pPr>
              <w:spacing w:after="40" w:before="40"/>
              <w:jc w:val="center"/>
            </w:pPr>
            <w:r>
              <w:rPr>
                <w:rFonts w:ascii="Times New Roman" w:hAnsi="Times New Roman"/>
                <w:b w:val="0"/>
                <w:sz w:val="20"/>
              </w:rPr>
              <w:t>&lt;.001</w:t>
            </w:r>
          </w:p>
        </w:tc>
        <w:tc>
          <w:tcPr>
            <w:tcW w:type="dxa" w:w="960"/>
          </w:tcPr>
          <w:p>
            <w:pPr>
              <w:spacing w:after="40" w:before="40"/>
              <w:jc w:val="center"/>
            </w:pPr>
            <w:r>
              <w:rPr>
                <w:rFonts w:ascii="Times New Roman" w:hAnsi="Times New Roman"/>
                <w:b w:val="0"/>
                <w:sz w:val="20"/>
              </w:rPr>
              <w:t>[0.291, 0.494]</w:t>
            </w:r>
          </w:p>
        </w:tc>
        <w:tc>
          <w:tcPr>
            <w:tcW w:type="dxa" w:w="960"/>
          </w:tcPr>
          <w:p>
            <w:pPr>
              <w:spacing w:after="40" w:before="40"/>
              <w:jc w:val="center"/>
            </w:pPr>
            <w:r>
              <w:rPr>
                <w:rFonts w:ascii="Times New Roman" w:hAnsi="Times New Roman"/>
                <w:b w:val="0"/>
                <w:sz w:val="20"/>
              </w:rPr>
              <w:t>0.172</w:t>
            </w:r>
          </w:p>
        </w:tc>
        <w:tc>
          <w:tcPr>
            <w:tcW w:type="dxa" w:w="960"/>
          </w:tcPr>
          <w:p>
            <w:pPr>
              <w:spacing w:after="40" w:before="40"/>
              <w:jc w:val="center"/>
            </w:pPr>
            <w:r>
              <w:rPr>
                <w:rFonts w:ascii="Times New Roman" w:hAnsi="Times New Roman"/>
                <w:b w:val="0"/>
                <w:sz w:val="20"/>
              </w:rPr>
              <w:t>Supported</w:t>
            </w:r>
          </w:p>
        </w:tc>
      </w:tr>
      <w:tr>
        <w:tc>
          <w:tcPr>
            <w:tcW w:type="dxa" w:w="960"/>
          </w:tcPr>
          <w:p>
            <w:pPr>
              <w:spacing w:after="40" w:before="40"/>
              <w:jc w:val="center"/>
            </w:pPr>
            <w:r>
              <w:rPr>
                <w:rFonts w:ascii="Times New Roman" w:hAnsi="Times New Roman"/>
                <w:b w:val="0"/>
                <w:sz w:val="20"/>
              </w:rPr>
              <w:t>H5</w:t>
            </w:r>
          </w:p>
        </w:tc>
        <w:tc>
          <w:tcPr>
            <w:tcW w:type="dxa" w:w="960"/>
          </w:tcPr>
          <w:p>
            <w:pPr>
              <w:spacing w:after="40" w:before="40"/>
            </w:pPr>
            <w:r>
              <w:rPr>
                <w:rFonts w:ascii="Times New Roman" w:hAnsi="Times New Roman"/>
                <w:b w:val="0"/>
                <w:sz w:val="20"/>
              </w:rPr>
              <w:t>BSAT → BSUC</w:t>
            </w:r>
          </w:p>
        </w:tc>
        <w:tc>
          <w:tcPr>
            <w:tcW w:type="dxa" w:w="960"/>
          </w:tcPr>
          <w:p>
            <w:pPr>
              <w:spacing w:after="40" w:before="40"/>
              <w:jc w:val="center"/>
            </w:pPr>
            <w:r>
              <w:rPr>
                <w:rFonts w:ascii="Times New Roman" w:hAnsi="Times New Roman"/>
                <w:b w:val="0"/>
                <w:sz w:val="20"/>
              </w:rPr>
              <w:t>0.476</w:t>
            </w:r>
          </w:p>
        </w:tc>
        <w:tc>
          <w:tcPr>
            <w:tcW w:type="dxa" w:w="960"/>
          </w:tcPr>
          <w:p>
            <w:pPr>
              <w:spacing w:after="40" w:before="40"/>
              <w:jc w:val="center"/>
            </w:pPr>
            <w:r>
              <w:rPr>
                <w:rFonts w:ascii="Times New Roman" w:hAnsi="Times New Roman"/>
                <w:b w:val="0"/>
                <w:sz w:val="20"/>
              </w:rPr>
              <w:t>0.047</w:t>
            </w:r>
          </w:p>
        </w:tc>
        <w:tc>
          <w:tcPr>
            <w:tcW w:type="dxa" w:w="960"/>
          </w:tcPr>
          <w:p>
            <w:pPr>
              <w:spacing w:after="40" w:before="40"/>
              <w:jc w:val="center"/>
            </w:pPr>
            <w:r>
              <w:rPr>
                <w:rFonts w:ascii="Times New Roman" w:hAnsi="Times New Roman"/>
                <w:b w:val="0"/>
                <w:sz w:val="20"/>
              </w:rPr>
              <w:t>10.15</w:t>
            </w:r>
          </w:p>
        </w:tc>
        <w:tc>
          <w:tcPr>
            <w:tcW w:type="dxa" w:w="960"/>
          </w:tcPr>
          <w:p>
            <w:pPr>
              <w:spacing w:after="40" w:before="40"/>
              <w:jc w:val="center"/>
            </w:pPr>
            <w:r>
              <w:rPr>
                <w:rFonts w:ascii="Times New Roman" w:hAnsi="Times New Roman"/>
                <w:b w:val="0"/>
                <w:sz w:val="20"/>
              </w:rPr>
              <w:t>&lt;.001</w:t>
            </w:r>
          </w:p>
        </w:tc>
        <w:tc>
          <w:tcPr>
            <w:tcW w:type="dxa" w:w="960"/>
          </w:tcPr>
          <w:p>
            <w:pPr>
              <w:spacing w:after="40" w:before="40"/>
              <w:jc w:val="center"/>
            </w:pPr>
            <w:r>
              <w:rPr>
                <w:rFonts w:ascii="Times New Roman" w:hAnsi="Times New Roman"/>
                <w:b w:val="0"/>
                <w:sz w:val="20"/>
              </w:rPr>
              <w:t>[0.382, 0.566]</w:t>
            </w:r>
          </w:p>
        </w:tc>
        <w:tc>
          <w:tcPr>
            <w:tcW w:type="dxa" w:w="960"/>
          </w:tcPr>
          <w:p>
            <w:pPr>
              <w:spacing w:after="40" w:before="40"/>
              <w:jc w:val="center"/>
            </w:pPr>
            <w:r>
              <w:rPr>
                <w:rFonts w:ascii="Times New Roman" w:hAnsi="Times New Roman"/>
                <w:b w:val="0"/>
                <w:sz w:val="20"/>
              </w:rPr>
              <w:t>0.256</w:t>
            </w:r>
          </w:p>
        </w:tc>
        <w:tc>
          <w:tcPr>
            <w:tcW w:type="dxa" w:w="960"/>
          </w:tcPr>
          <w:p>
            <w:pPr>
              <w:spacing w:after="40" w:before="40"/>
              <w:jc w:val="center"/>
            </w:pPr>
            <w:r>
              <w:rPr>
                <w:rFonts w:ascii="Times New Roman" w:hAnsi="Times New Roman"/>
                <w:b w:val="0"/>
                <w:sz w:val="20"/>
              </w:rPr>
              <w:t>Supported</w:t>
            </w:r>
          </w:p>
        </w:tc>
      </w:tr>
      <w:tr>
        <w:tc>
          <w:tcPr>
            <w:tcW w:type="dxa" w:w="960"/>
          </w:tcPr>
          <w:p>
            <w:pPr>
              <w:spacing w:after="40" w:before="40"/>
              <w:jc w:val="center"/>
            </w:pPr>
            <w:r>
              <w:rPr>
                <w:rFonts w:ascii="Times New Roman" w:hAnsi="Times New Roman"/>
                <w:b w:val="0"/>
                <w:sz w:val="20"/>
              </w:rPr>
              <w:t>H3</w:t>
            </w:r>
          </w:p>
        </w:tc>
        <w:tc>
          <w:tcPr>
            <w:tcW w:type="dxa" w:w="960"/>
          </w:tcPr>
          <w:p>
            <w:pPr>
              <w:spacing w:after="40" w:before="40"/>
            </w:pPr>
            <w:r>
              <w:rPr>
                <w:rFonts w:ascii="Times New Roman" w:hAnsi="Times New Roman"/>
                <w:b w:val="0"/>
                <w:sz w:val="20"/>
              </w:rPr>
              <w:t>UE → BSUC</w:t>
            </w:r>
          </w:p>
        </w:tc>
        <w:tc>
          <w:tcPr>
            <w:tcW w:type="dxa" w:w="960"/>
          </w:tcPr>
          <w:p>
            <w:pPr>
              <w:spacing w:after="40" w:before="40"/>
              <w:jc w:val="center"/>
            </w:pPr>
            <w:r>
              <w:rPr>
                <w:rFonts w:ascii="Times New Roman" w:hAnsi="Times New Roman"/>
                <w:b w:val="0"/>
                <w:sz w:val="20"/>
              </w:rPr>
              <w:t>0.088</w:t>
            </w:r>
          </w:p>
        </w:tc>
        <w:tc>
          <w:tcPr>
            <w:tcW w:type="dxa" w:w="960"/>
          </w:tcPr>
          <w:p>
            <w:pPr>
              <w:spacing w:after="40" w:before="40"/>
              <w:jc w:val="center"/>
            </w:pPr>
            <w:r>
              <w:rPr>
                <w:rFonts w:ascii="Times New Roman" w:hAnsi="Times New Roman"/>
                <w:b w:val="0"/>
                <w:sz w:val="20"/>
              </w:rPr>
              <w:t>0.048</w:t>
            </w:r>
          </w:p>
        </w:tc>
        <w:tc>
          <w:tcPr>
            <w:tcW w:type="dxa" w:w="960"/>
          </w:tcPr>
          <w:p>
            <w:pPr>
              <w:spacing w:after="40" w:before="40"/>
              <w:jc w:val="center"/>
            </w:pPr>
            <w:r>
              <w:rPr>
                <w:rFonts w:ascii="Times New Roman" w:hAnsi="Times New Roman"/>
                <w:b w:val="0"/>
                <w:sz w:val="20"/>
              </w:rPr>
              <w:t>1.82</w:t>
            </w:r>
          </w:p>
        </w:tc>
        <w:tc>
          <w:tcPr>
            <w:tcW w:type="dxa" w:w="960"/>
          </w:tcPr>
          <w:p>
            <w:pPr>
              <w:spacing w:after="40" w:before="40"/>
              <w:jc w:val="center"/>
            </w:pPr>
            <w:r>
              <w:rPr>
                <w:rFonts w:ascii="Times New Roman" w:hAnsi="Times New Roman"/>
                <w:b w:val="0"/>
                <w:sz w:val="20"/>
              </w:rPr>
              <w:t>.069</w:t>
            </w:r>
          </w:p>
        </w:tc>
        <w:tc>
          <w:tcPr>
            <w:tcW w:type="dxa" w:w="960"/>
          </w:tcPr>
          <w:p>
            <w:pPr>
              <w:spacing w:after="40" w:before="40"/>
              <w:jc w:val="center"/>
            </w:pPr>
            <w:r>
              <w:rPr>
                <w:rFonts w:ascii="Times New Roman" w:hAnsi="Times New Roman"/>
                <w:b w:val="0"/>
                <w:sz w:val="20"/>
              </w:rPr>
              <w:t>[−0.004, 0.185]</w:t>
            </w:r>
          </w:p>
        </w:tc>
        <w:tc>
          <w:tcPr>
            <w:tcW w:type="dxa" w:w="960"/>
          </w:tcPr>
          <w:p>
            <w:pPr>
              <w:spacing w:after="40" w:before="40"/>
              <w:jc w:val="center"/>
            </w:pPr>
            <w:r>
              <w:rPr>
                <w:rFonts w:ascii="Times New Roman" w:hAnsi="Times New Roman"/>
                <w:b w:val="0"/>
                <w:sz w:val="20"/>
              </w:rPr>
              <w:t>0.010</w:t>
            </w:r>
          </w:p>
        </w:tc>
        <w:tc>
          <w:tcPr>
            <w:tcW w:type="dxa" w:w="960"/>
          </w:tcPr>
          <w:p>
            <w:pPr>
              <w:spacing w:after="40" w:before="40"/>
              <w:jc w:val="center"/>
            </w:pPr>
            <w:r>
              <w:rPr>
                <w:rFonts w:ascii="Times New Roman" w:hAnsi="Times New Roman"/>
                <w:b w:val="0"/>
                <w:sz w:val="20"/>
              </w:rPr>
              <w:t>Not supported</w:t>
            </w:r>
          </w:p>
        </w:tc>
      </w:tr>
      <w:tr>
        <w:tc>
          <w:tcPr>
            <w:tcW w:type="dxa" w:w="960"/>
          </w:tcPr>
          <w:p>
            <w:pPr>
              <w:spacing w:after="40" w:before="40"/>
              <w:jc w:val="center"/>
            </w:pPr>
            <w:r>
              <w:rPr>
                <w:rFonts w:ascii="Times New Roman" w:hAnsi="Times New Roman"/>
                <w:b w:val="0"/>
                <w:sz w:val="20"/>
              </w:rPr>
              <w:t>H4</w:t>
            </w:r>
          </w:p>
        </w:tc>
        <w:tc>
          <w:tcPr>
            <w:tcW w:type="dxa" w:w="960"/>
          </w:tcPr>
          <w:p>
            <w:pPr>
              <w:spacing w:after="40" w:before="40"/>
            </w:pPr>
            <w:r>
              <w:rPr>
                <w:rFonts w:ascii="Times New Roman" w:hAnsi="Times New Roman"/>
                <w:b w:val="0"/>
                <w:sz w:val="20"/>
              </w:rPr>
              <w:t>UX → BSUC</w:t>
            </w:r>
          </w:p>
        </w:tc>
        <w:tc>
          <w:tcPr>
            <w:tcW w:type="dxa" w:w="960"/>
          </w:tcPr>
          <w:p>
            <w:pPr>
              <w:spacing w:after="40" w:before="40"/>
              <w:jc w:val="center"/>
            </w:pPr>
            <w:r>
              <w:rPr>
                <w:rFonts w:ascii="Times New Roman" w:hAnsi="Times New Roman"/>
                <w:b w:val="0"/>
                <w:sz w:val="20"/>
              </w:rPr>
              <w:t>0.095</w:t>
            </w:r>
          </w:p>
        </w:tc>
        <w:tc>
          <w:tcPr>
            <w:tcW w:type="dxa" w:w="960"/>
          </w:tcPr>
          <w:p>
            <w:pPr>
              <w:spacing w:after="40" w:before="40"/>
              <w:jc w:val="center"/>
            </w:pPr>
            <w:r>
              <w:rPr>
                <w:rFonts w:ascii="Times New Roman" w:hAnsi="Times New Roman"/>
                <w:b w:val="0"/>
                <w:sz w:val="20"/>
              </w:rPr>
              <w:t>0.054</w:t>
            </w:r>
          </w:p>
        </w:tc>
        <w:tc>
          <w:tcPr>
            <w:tcW w:type="dxa" w:w="960"/>
          </w:tcPr>
          <w:p>
            <w:pPr>
              <w:spacing w:after="40" w:before="40"/>
              <w:jc w:val="center"/>
            </w:pPr>
            <w:r>
              <w:rPr>
                <w:rFonts w:ascii="Times New Roman" w:hAnsi="Times New Roman"/>
                <w:b w:val="0"/>
                <w:sz w:val="20"/>
              </w:rPr>
              <w:t>1.78</w:t>
            </w:r>
          </w:p>
        </w:tc>
        <w:tc>
          <w:tcPr>
            <w:tcW w:type="dxa" w:w="960"/>
          </w:tcPr>
          <w:p>
            <w:pPr>
              <w:spacing w:after="40" w:before="40"/>
              <w:jc w:val="center"/>
            </w:pPr>
            <w:r>
              <w:rPr>
                <w:rFonts w:ascii="Times New Roman" w:hAnsi="Times New Roman"/>
                <w:b w:val="0"/>
                <w:sz w:val="20"/>
              </w:rPr>
              <w:t>.076</w:t>
            </w:r>
          </w:p>
        </w:tc>
        <w:tc>
          <w:tcPr>
            <w:tcW w:type="dxa" w:w="960"/>
          </w:tcPr>
          <w:p>
            <w:pPr>
              <w:spacing w:after="40" w:before="40"/>
              <w:jc w:val="center"/>
            </w:pPr>
            <w:r>
              <w:rPr>
                <w:rFonts w:ascii="Times New Roman" w:hAnsi="Times New Roman"/>
                <w:b w:val="0"/>
                <w:sz w:val="20"/>
              </w:rPr>
              <w:t>[−0.008, 0.203]</w:t>
            </w:r>
          </w:p>
        </w:tc>
        <w:tc>
          <w:tcPr>
            <w:tcW w:type="dxa" w:w="960"/>
          </w:tcPr>
          <w:p>
            <w:pPr>
              <w:spacing w:after="40" w:before="40"/>
              <w:jc w:val="center"/>
            </w:pPr>
            <w:r>
              <w:rPr>
                <w:rFonts w:ascii="Times New Roman" w:hAnsi="Times New Roman"/>
                <w:b w:val="0"/>
                <w:sz w:val="20"/>
              </w:rPr>
              <w:t>0.010</w:t>
            </w:r>
          </w:p>
        </w:tc>
        <w:tc>
          <w:tcPr>
            <w:tcW w:type="dxa" w:w="960"/>
          </w:tcPr>
          <w:p>
            <w:pPr>
              <w:spacing w:after="40" w:before="40"/>
              <w:jc w:val="center"/>
            </w:pPr>
            <w:r>
              <w:rPr>
                <w:rFonts w:ascii="Times New Roman" w:hAnsi="Times New Roman"/>
                <w:b w:val="0"/>
                <w:sz w:val="20"/>
              </w:rPr>
              <w:t>Not supported</w:t>
            </w:r>
          </w:p>
        </w:tc>
      </w:tr>
    </w:tbl>
    <w:p>
      <w:pPr>
        <w:spacing w:after="160"/>
        <w:jc w:val="both"/>
      </w:pPr>
      <w:r>
        <w:rPr>
          <w:rFonts w:ascii="Times New Roman" w:hAnsi="Times New Roman"/>
          <w:i w:val="0"/>
          <w:sz w:val="24"/>
        </w:rPr>
        <w:t>Three results stand out. First, satisfaction is the proximal driver of continuance: BSAT → BSUC is the strongest path (β = 0.476, p &lt; .001) with a medium-to-large effect (f² = 0.256). Second, experience dominates engagement as an antecedent of satisfaction: UX → BSAT (β = 0.393) is roughly 2.5× the size of UE → BSAT (β = 0.157). Third, neither antecedent exerts a significant direct effect on continuance once satisfaction is accounted for (H3, H4), foreshadowing full mediation.</w:t>
      </w:r>
    </w:p>
    <w:p>
      <w:pPr>
        <w:spacing w:before="120"/>
        <w:jc w:val="center"/>
      </w:pPr>
      <w:r>
        <w:drawing>
          <wp:inline xmlns:a="http://schemas.openxmlformats.org/drawingml/2006/main" xmlns:pic="http://schemas.openxmlformats.org/drawingml/2006/picture">
            <wp:extent cx="5760720" cy="3222187"/>
            <wp:docPr id="5" name="Picture 5"/>
            <wp:cNvGraphicFramePr>
              <a:graphicFrameLocks noChangeAspect="1"/>
            </wp:cNvGraphicFramePr>
            <a:graphic>
              <a:graphicData uri="http://schemas.openxmlformats.org/drawingml/2006/picture">
                <pic:pic>
                  <pic:nvPicPr>
                    <pic:cNvPr id="0" name="Fig1_structural_model.png"/>
                    <pic:cNvPicPr/>
                  </pic:nvPicPr>
                  <pic:blipFill>
                    <a:blip r:embed="rId13"/>
                    <a:stretch>
                      <a:fillRect/>
                    </a:stretch>
                  </pic:blipFill>
                  <pic:spPr>
                    <a:xfrm>
                      <a:off x="0" y="0"/>
                      <a:ext cx="5760720" cy="3222187"/>
                    </a:xfrm>
                    <a:prstGeom prst="rect"/>
                  </pic:spPr>
                </pic:pic>
              </a:graphicData>
            </a:graphic>
          </wp:inline>
        </w:drawing>
      </w:r>
    </w:p>
    <w:p>
      <w:pPr>
        <w:spacing w:after="240"/>
        <w:jc w:val="center"/>
      </w:pPr>
      <w:r>
        <w:rPr>
          <w:rFonts w:ascii="Times New Roman" w:hAnsi="Times New Roman"/>
          <w:i/>
          <w:sz w:val="22"/>
        </w:rPr>
        <w:t>Figure 1. PLS-SEM structural model with standardized path coefficients (solid = significant at p &lt; .05; dashed = n.s.; *p &lt; .05, **p &lt; .01, ***p &lt; .001).</w:t>
      </w:r>
    </w:p>
    <w:p>
      <w:pPr>
        <w:spacing w:before="120"/>
        <w:jc w:val="center"/>
      </w:pPr>
      <w:r>
        <w:drawing>
          <wp:inline xmlns:a="http://schemas.openxmlformats.org/drawingml/2006/main" xmlns:pic="http://schemas.openxmlformats.org/drawingml/2006/picture">
            <wp:extent cx="5029200" cy="2750160"/>
            <wp:docPr id="6" name="Picture 6"/>
            <wp:cNvGraphicFramePr>
              <a:graphicFrameLocks noChangeAspect="1"/>
            </wp:cNvGraphicFramePr>
            <a:graphic>
              <a:graphicData uri="http://schemas.openxmlformats.org/drawingml/2006/picture">
                <pic:pic>
                  <pic:nvPicPr>
                    <pic:cNvPr id="0" name="Fig2_path_CIs.png"/>
                    <pic:cNvPicPr/>
                  </pic:nvPicPr>
                  <pic:blipFill>
                    <a:blip r:embed="rId14"/>
                    <a:stretch>
                      <a:fillRect/>
                    </a:stretch>
                  </pic:blipFill>
                  <pic:spPr>
                    <a:xfrm>
                      <a:off x="0" y="0"/>
                      <a:ext cx="5029200" cy="2750160"/>
                    </a:xfrm>
                    <a:prstGeom prst="rect"/>
                  </pic:spPr>
                </pic:pic>
              </a:graphicData>
            </a:graphic>
          </wp:inline>
        </w:drawing>
      </w:r>
    </w:p>
    <w:p>
      <w:pPr>
        <w:spacing w:after="240"/>
        <w:jc w:val="center"/>
      </w:pPr>
      <w:r>
        <w:rPr>
          <w:rFonts w:ascii="Times New Roman" w:hAnsi="Times New Roman"/>
          <w:i/>
          <w:sz w:val="22"/>
        </w:rPr>
        <w:t>Figure 2. Path estimates with 95% bootstrap confidence intervals (5,000 resamples).</w:t>
      </w:r>
    </w:p>
    <w:p>
      <w:pPr>
        <w:spacing w:before="120"/>
        <w:jc w:val="center"/>
      </w:pPr>
      <w:r>
        <w:drawing>
          <wp:inline xmlns:a="http://schemas.openxmlformats.org/drawingml/2006/main" xmlns:pic="http://schemas.openxmlformats.org/drawingml/2006/picture">
            <wp:extent cx="4754880" cy="2698661"/>
            <wp:docPr id="7" name="Picture 7"/>
            <wp:cNvGraphicFramePr>
              <a:graphicFrameLocks noChangeAspect="1"/>
            </wp:cNvGraphicFramePr>
            <a:graphic>
              <a:graphicData uri="http://schemas.openxmlformats.org/drawingml/2006/picture">
                <pic:pic>
                  <pic:nvPicPr>
                    <pic:cNvPr id="0" name="Fig4_f2.png"/>
                    <pic:cNvPicPr/>
                  </pic:nvPicPr>
                  <pic:blipFill>
                    <a:blip r:embed="rId15"/>
                    <a:stretch>
                      <a:fillRect/>
                    </a:stretch>
                  </pic:blipFill>
                  <pic:spPr>
                    <a:xfrm>
                      <a:off x="0" y="0"/>
                      <a:ext cx="4754880" cy="2698661"/>
                    </a:xfrm>
                    <a:prstGeom prst="rect"/>
                  </pic:spPr>
                </pic:pic>
              </a:graphicData>
            </a:graphic>
          </wp:inline>
        </w:drawing>
      </w:r>
    </w:p>
    <w:p>
      <w:pPr>
        <w:spacing w:after="240"/>
        <w:jc w:val="center"/>
      </w:pPr>
      <w:r>
        <w:rPr>
          <w:rFonts w:ascii="Times New Roman" w:hAnsi="Times New Roman"/>
          <w:i/>
          <w:sz w:val="22"/>
        </w:rPr>
        <w:t>Figure 4. f² effect sizes for all structural paths (reference lines at 0.02, 0.15, 0.35).</w:t>
      </w:r>
    </w:p>
    <w:p>
      <w:pPr>
        <w:pStyle w:val="Heading2"/>
      </w:pPr>
      <w:r>
        <w:rPr>
          <w:rFonts w:ascii="Times New Roman" w:hAnsi="Times New Roman"/>
          <w:color w:val="000000"/>
        </w:rPr>
        <w:t>3.4 Mediation analysis</w:t>
      </w:r>
    </w:p>
    <w:p>
      <w:pPr>
        <w:spacing w:after="160"/>
        <w:jc w:val="both"/>
      </w:pPr>
      <w:r>
        <w:rPr>
          <w:rFonts w:ascii="Times New Roman" w:hAnsi="Times New Roman"/>
          <w:i w:val="0"/>
          <w:sz w:val="24"/>
        </w:rPr>
        <w:t>Following Zhao et al. (2010) and Nitzl et al. (2016), mediation was tested on the bootstrapped indirect effects. Both specific indirect paths through satisfaction are significant (Table 9): UE → BSAT → BSUC (indirect = 0.075, p = .007) and UX → BSAT → BSUC (indirect = 0.187, p &lt; .001). Because in each case the indirect effect is significant while the direct effect is not, the data indicate full (indirect-only) mediation: satisfaction fully transmits the influence of both experience and engagement onto continuance.</w:t>
      </w:r>
    </w:p>
    <w:p>
      <w:pPr>
        <w:spacing w:after="80"/>
      </w:pPr>
      <w:r>
        <w:rPr>
          <w:rFonts w:ascii="Times New Roman" w:hAnsi="Times New Roman"/>
          <w:b/>
          <w:sz w:val="22"/>
        </w:rPr>
        <w:t>Table 9. Specific indirect effects and total effects on BSUC.</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DDDDD"/>
          </w:tcPr>
          <w:p>
            <w:pPr>
              <w:spacing w:after="40" w:before="40"/>
            </w:pPr>
            <w:r>
              <w:rPr>
                <w:rFonts w:ascii="Times New Roman" w:hAnsi="Times New Roman"/>
                <w:b/>
                <w:sz w:val="20"/>
              </w:rPr>
              <w:t>Indirect path</w:t>
            </w:r>
          </w:p>
        </w:tc>
        <w:tc>
          <w:tcPr>
            <w:tcW w:type="dxa" w:w="960"/>
            <w:shd w:val="clear" w:color="auto" w:fill="DDDDDD"/>
          </w:tcPr>
          <w:p>
            <w:pPr>
              <w:spacing w:after="40" w:before="40"/>
              <w:jc w:val="center"/>
            </w:pPr>
            <w:r>
              <w:rPr>
                <w:rFonts w:ascii="Times New Roman" w:hAnsi="Times New Roman"/>
                <w:b/>
                <w:sz w:val="20"/>
              </w:rPr>
              <w:t>Indirect</w:t>
            </w:r>
          </w:p>
        </w:tc>
        <w:tc>
          <w:tcPr>
            <w:tcW w:type="dxa" w:w="960"/>
            <w:shd w:val="clear" w:color="auto" w:fill="DDDDDD"/>
          </w:tcPr>
          <w:p>
            <w:pPr>
              <w:spacing w:after="40" w:before="40"/>
              <w:jc w:val="center"/>
            </w:pPr>
            <w:r>
              <w:rPr>
                <w:rFonts w:ascii="Times New Roman" w:hAnsi="Times New Roman"/>
                <w:b/>
                <w:sz w:val="20"/>
              </w:rPr>
              <w:t>SE</w:t>
            </w:r>
          </w:p>
        </w:tc>
        <w:tc>
          <w:tcPr>
            <w:tcW w:type="dxa" w:w="960"/>
            <w:shd w:val="clear" w:color="auto" w:fill="DDDDDD"/>
          </w:tcPr>
          <w:p>
            <w:pPr>
              <w:spacing w:after="40" w:before="40"/>
              <w:jc w:val="center"/>
            </w:pPr>
            <w:r>
              <w:rPr>
                <w:rFonts w:ascii="Times New Roman" w:hAnsi="Times New Roman"/>
                <w:b/>
                <w:sz w:val="20"/>
              </w:rPr>
              <w:t>t</w:t>
            </w:r>
          </w:p>
        </w:tc>
        <w:tc>
          <w:tcPr>
            <w:tcW w:type="dxa" w:w="960"/>
            <w:shd w:val="clear" w:color="auto" w:fill="DDDDDD"/>
          </w:tcPr>
          <w:p>
            <w:pPr>
              <w:spacing w:after="40" w:before="40"/>
              <w:jc w:val="center"/>
            </w:pPr>
            <w:r>
              <w:rPr>
                <w:rFonts w:ascii="Times New Roman" w:hAnsi="Times New Roman"/>
                <w:b/>
                <w:sz w:val="20"/>
              </w:rPr>
              <w:t>p</w:t>
            </w:r>
          </w:p>
        </w:tc>
        <w:tc>
          <w:tcPr>
            <w:tcW w:type="dxa" w:w="960"/>
            <w:shd w:val="clear" w:color="auto" w:fill="DDDDDD"/>
          </w:tcPr>
          <w:p>
            <w:pPr>
              <w:spacing w:after="40" w:before="40"/>
              <w:jc w:val="center"/>
            </w:pPr>
            <w:r>
              <w:rPr>
                <w:rFonts w:ascii="Times New Roman" w:hAnsi="Times New Roman"/>
                <w:b/>
                <w:sz w:val="20"/>
              </w:rPr>
              <w:t>95% CI</w:t>
            </w:r>
          </w:p>
        </w:tc>
        <w:tc>
          <w:tcPr>
            <w:tcW w:type="dxa" w:w="960"/>
            <w:shd w:val="clear" w:color="auto" w:fill="DDDDDD"/>
          </w:tcPr>
          <w:p>
            <w:pPr>
              <w:spacing w:after="40" w:before="40"/>
              <w:jc w:val="center"/>
            </w:pPr>
            <w:r>
              <w:rPr>
                <w:rFonts w:ascii="Times New Roman" w:hAnsi="Times New Roman"/>
                <w:b/>
                <w:sz w:val="20"/>
              </w:rPr>
              <w:t>Direct</w:t>
            </w:r>
          </w:p>
        </w:tc>
        <w:tc>
          <w:tcPr>
            <w:tcW w:type="dxa" w:w="960"/>
            <w:shd w:val="clear" w:color="auto" w:fill="DDDDDD"/>
          </w:tcPr>
          <w:p>
            <w:pPr>
              <w:spacing w:after="40" w:before="40"/>
              <w:jc w:val="center"/>
            </w:pPr>
            <w:r>
              <w:rPr>
                <w:rFonts w:ascii="Times New Roman" w:hAnsi="Times New Roman"/>
                <w:b/>
                <w:sz w:val="20"/>
              </w:rPr>
              <w:t>Total</w:t>
            </w:r>
          </w:p>
        </w:tc>
        <w:tc>
          <w:tcPr>
            <w:tcW w:type="dxa" w:w="960"/>
            <w:shd w:val="clear" w:color="auto" w:fill="DDDDDD"/>
          </w:tcPr>
          <w:p>
            <w:pPr>
              <w:spacing w:after="40" w:before="40"/>
              <w:jc w:val="center"/>
            </w:pPr>
            <w:r>
              <w:rPr>
                <w:rFonts w:ascii="Times New Roman" w:hAnsi="Times New Roman"/>
                <w:b/>
                <w:sz w:val="20"/>
              </w:rPr>
              <w:t>Type</w:t>
            </w:r>
          </w:p>
        </w:tc>
      </w:tr>
      <w:tr>
        <w:tc>
          <w:tcPr>
            <w:tcW w:type="dxa" w:w="960"/>
          </w:tcPr>
          <w:p>
            <w:pPr>
              <w:spacing w:after="40" w:before="40"/>
            </w:pPr>
            <w:r>
              <w:rPr>
                <w:rFonts w:ascii="Times New Roman" w:hAnsi="Times New Roman"/>
                <w:b w:val="0"/>
                <w:sz w:val="20"/>
              </w:rPr>
              <w:t>UE → BSAT → BSUC</w:t>
            </w:r>
          </w:p>
        </w:tc>
        <w:tc>
          <w:tcPr>
            <w:tcW w:type="dxa" w:w="960"/>
          </w:tcPr>
          <w:p>
            <w:pPr>
              <w:spacing w:after="40" w:before="40"/>
              <w:jc w:val="center"/>
            </w:pPr>
            <w:r>
              <w:rPr>
                <w:rFonts w:ascii="Times New Roman" w:hAnsi="Times New Roman"/>
                <w:b w:val="0"/>
                <w:sz w:val="20"/>
              </w:rPr>
              <w:t>0.075</w:t>
            </w:r>
          </w:p>
        </w:tc>
        <w:tc>
          <w:tcPr>
            <w:tcW w:type="dxa" w:w="960"/>
          </w:tcPr>
          <w:p>
            <w:pPr>
              <w:spacing w:after="40" w:before="40"/>
              <w:jc w:val="center"/>
            </w:pPr>
            <w:r>
              <w:rPr>
                <w:rFonts w:ascii="Times New Roman" w:hAnsi="Times New Roman"/>
                <w:b w:val="0"/>
                <w:sz w:val="20"/>
              </w:rPr>
              <w:t>0.027</w:t>
            </w:r>
          </w:p>
        </w:tc>
        <w:tc>
          <w:tcPr>
            <w:tcW w:type="dxa" w:w="960"/>
          </w:tcPr>
          <w:p>
            <w:pPr>
              <w:spacing w:after="40" w:before="40"/>
              <w:jc w:val="center"/>
            </w:pPr>
            <w:r>
              <w:rPr>
                <w:rFonts w:ascii="Times New Roman" w:hAnsi="Times New Roman"/>
                <w:b w:val="0"/>
                <w:sz w:val="20"/>
              </w:rPr>
              <w:t>2.72</w:t>
            </w:r>
          </w:p>
        </w:tc>
        <w:tc>
          <w:tcPr>
            <w:tcW w:type="dxa" w:w="960"/>
          </w:tcPr>
          <w:p>
            <w:pPr>
              <w:spacing w:after="40" w:before="40"/>
              <w:jc w:val="center"/>
            </w:pPr>
            <w:r>
              <w:rPr>
                <w:rFonts w:ascii="Times New Roman" w:hAnsi="Times New Roman"/>
                <w:b w:val="0"/>
                <w:sz w:val="20"/>
              </w:rPr>
              <w:t>.007</w:t>
            </w:r>
          </w:p>
        </w:tc>
        <w:tc>
          <w:tcPr>
            <w:tcW w:type="dxa" w:w="960"/>
          </w:tcPr>
          <w:p>
            <w:pPr>
              <w:spacing w:after="40" w:before="40"/>
              <w:jc w:val="center"/>
            </w:pPr>
            <w:r>
              <w:rPr>
                <w:rFonts w:ascii="Times New Roman" w:hAnsi="Times New Roman"/>
                <w:b w:val="0"/>
                <w:sz w:val="20"/>
              </w:rPr>
              <w:t>[0.024, 0.132]</w:t>
            </w:r>
          </w:p>
        </w:tc>
        <w:tc>
          <w:tcPr>
            <w:tcW w:type="dxa" w:w="960"/>
          </w:tcPr>
          <w:p>
            <w:pPr>
              <w:spacing w:after="40" w:before="40"/>
              <w:jc w:val="center"/>
            </w:pPr>
            <w:r>
              <w:rPr>
                <w:rFonts w:ascii="Times New Roman" w:hAnsi="Times New Roman"/>
                <w:b w:val="0"/>
                <w:sz w:val="20"/>
              </w:rPr>
              <w:t>0.088 (n.s.)</w:t>
            </w:r>
          </w:p>
        </w:tc>
        <w:tc>
          <w:tcPr>
            <w:tcW w:type="dxa" w:w="960"/>
          </w:tcPr>
          <w:p>
            <w:pPr>
              <w:spacing w:after="40" w:before="40"/>
              <w:jc w:val="center"/>
            </w:pPr>
            <w:r>
              <w:rPr>
                <w:rFonts w:ascii="Times New Roman" w:hAnsi="Times New Roman"/>
                <w:b w:val="0"/>
                <w:sz w:val="20"/>
              </w:rPr>
              <w:t>0.162</w:t>
            </w:r>
          </w:p>
        </w:tc>
        <w:tc>
          <w:tcPr>
            <w:tcW w:type="dxa" w:w="960"/>
          </w:tcPr>
          <w:p>
            <w:pPr>
              <w:spacing w:after="40" w:before="40"/>
              <w:jc w:val="center"/>
            </w:pPr>
            <w:r>
              <w:rPr>
                <w:rFonts w:ascii="Times New Roman" w:hAnsi="Times New Roman"/>
                <w:b w:val="0"/>
                <w:sz w:val="20"/>
              </w:rPr>
              <w:t>Full</w:t>
            </w:r>
          </w:p>
        </w:tc>
      </w:tr>
      <w:tr>
        <w:tc>
          <w:tcPr>
            <w:tcW w:type="dxa" w:w="960"/>
          </w:tcPr>
          <w:p>
            <w:pPr>
              <w:spacing w:after="40" w:before="40"/>
            </w:pPr>
            <w:r>
              <w:rPr>
                <w:rFonts w:ascii="Times New Roman" w:hAnsi="Times New Roman"/>
                <w:b w:val="0"/>
                <w:sz w:val="20"/>
              </w:rPr>
              <w:t>UX → BSAT → BSUC</w:t>
            </w:r>
          </w:p>
        </w:tc>
        <w:tc>
          <w:tcPr>
            <w:tcW w:type="dxa" w:w="960"/>
          </w:tcPr>
          <w:p>
            <w:pPr>
              <w:spacing w:after="40" w:before="40"/>
              <w:jc w:val="center"/>
            </w:pPr>
            <w:r>
              <w:rPr>
                <w:rFonts w:ascii="Times New Roman" w:hAnsi="Times New Roman"/>
                <w:b w:val="0"/>
                <w:sz w:val="20"/>
              </w:rPr>
              <w:t>0.187</w:t>
            </w:r>
          </w:p>
        </w:tc>
        <w:tc>
          <w:tcPr>
            <w:tcW w:type="dxa" w:w="960"/>
          </w:tcPr>
          <w:p>
            <w:pPr>
              <w:spacing w:after="40" w:before="40"/>
              <w:jc w:val="center"/>
            </w:pPr>
            <w:r>
              <w:rPr>
                <w:rFonts w:ascii="Times New Roman" w:hAnsi="Times New Roman"/>
                <w:b w:val="0"/>
                <w:sz w:val="20"/>
              </w:rPr>
              <w:t>0.030</w:t>
            </w:r>
          </w:p>
        </w:tc>
        <w:tc>
          <w:tcPr>
            <w:tcW w:type="dxa" w:w="960"/>
          </w:tcPr>
          <w:p>
            <w:pPr>
              <w:spacing w:after="40" w:before="40"/>
              <w:jc w:val="center"/>
            </w:pPr>
            <w:r>
              <w:rPr>
                <w:rFonts w:ascii="Times New Roman" w:hAnsi="Times New Roman"/>
                <w:b w:val="0"/>
                <w:sz w:val="20"/>
              </w:rPr>
              <w:t>6.15</w:t>
            </w:r>
          </w:p>
        </w:tc>
        <w:tc>
          <w:tcPr>
            <w:tcW w:type="dxa" w:w="960"/>
          </w:tcPr>
          <w:p>
            <w:pPr>
              <w:spacing w:after="40" w:before="40"/>
              <w:jc w:val="center"/>
            </w:pPr>
            <w:r>
              <w:rPr>
                <w:rFonts w:ascii="Times New Roman" w:hAnsi="Times New Roman"/>
                <w:b w:val="0"/>
                <w:sz w:val="20"/>
              </w:rPr>
              <w:t>&lt;.001</w:t>
            </w:r>
          </w:p>
        </w:tc>
        <w:tc>
          <w:tcPr>
            <w:tcW w:type="dxa" w:w="960"/>
          </w:tcPr>
          <w:p>
            <w:pPr>
              <w:spacing w:after="40" w:before="40"/>
              <w:jc w:val="center"/>
            </w:pPr>
            <w:r>
              <w:rPr>
                <w:rFonts w:ascii="Times New Roman" w:hAnsi="Times New Roman"/>
                <w:b w:val="0"/>
                <w:sz w:val="20"/>
              </w:rPr>
              <w:t>[0.131, 0.251]</w:t>
            </w:r>
          </w:p>
        </w:tc>
        <w:tc>
          <w:tcPr>
            <w:tcW w:type="dxa" w:w="960"/>
          </w:tcPr>
          <w:p>
            <w:pPr>
              <w:spacing w:after="40" w:before="40"/>
              <w:jc w:val="center"/>
            </w:pPr>
            <w:r>
              <w:rPr>
                <w:rFonts w:ascii="Times New Roman" w:hAnsi="Times New Roman"/>
                <w:b w:val="0"/>
                <w:sz w:val="20"/>
              </w:rPr>
              <w:t>0.095 (n.s.)</w:t>
            </w:r>
          </w:p>
        </w:tc>
        <w:tc>
          <w:tcPr>
            <w:tcW w:type="dxa" w:w="960"/>
          </w:tcPr>
          <w:p>
            <w:pPr>
              <w:spacing w:after="40" w:before="40"/>
              <w:jc w:val="center"/>
            </w:pPr>
            <w:r>
              <w:rPr>
                <w:rFonts w:ascii="Times New Roman" w:hAnsi="Times New Roman"/>
                <w:b w:val="0"/>
                <w:sz w:val="20"/>
              </w:rPr>
              <w:t>0.282</w:t>
            </w:r>
          </w:p>
        </w:tc>
        <w:tc>
          <w:tcPr>
            <w:tcW w:type="dxa" w:w="960"/>
          </w:tcPr>
          <w:p>
            <w:pPr>
              <w:spacing w:after="40" w:before="40"/>
              <w:jc w:val="center"/>
            </w:pPr>
            <w:r>
              <w:rPr>
                <w:rFonts w:ascii="Times New Roman" w:hAnsi="Times New Roman"/>
                <w:b w:val="0"/>
                <w:sz w:val="20"/>
              </w:rPr>
              <w:t>Full</w:t>
            </w:r>
          </w:p>
        </w:tc>
      </w:tr>
    </w:tbl>
    <w:p>
      <w:pPr>
        <w:spacing w:after="160"/>
        <w:jc w:val="both"/>
      </w:pPr>
      <w:r>
        <w:rPr>
          <w:rFonts w:ascii="Times New Roman" w:hAnsi="Times New Roman"/>
          <w:i w:val="0"/>
          <w:sz w:val="24"/>
        </w:rPr>
        <w:t>The total effects on continuance rank the antecedents as BSAT (0.476) &gt; UX (0.282) &gt; UE (0.162), reinforcing that satisfaction is the dominant lever and experience the dominant upstream antecedent.</w:t>
      </w:r>
    </w:p>
    <w:p>
      <w:pPr>
        <w:pStyle w:val="Heading2"/>
      </w:pPr>
      <w:r>
        <w:rPr>
          <w:rFonts w:ascii="Times New Roman" w:hAnsi="Times New Roman"/>
          <w:color w:val="000000"/>
        </w:rPr>
        <w:t>3.5 Importance–performance map analysis (IPMA)</w:t>
      </w:r>
    </w:p>
    <w:p>
      <w:pPr>
        <w:spacing w:after="160"/>
        <w:jc w:val="both"/>
      </w:pPr>
      <w:r>
        <w:rPr>
          <w:rFonts w:ascii="Times New Roman" w:hAnsi="Times New Roman"/>
          <w:i w:val="0"/>
          <w:sz w:val="24"/>
        </w:rPr>
        <w:t>An IPMA was conducted with BSUC as the target. The importance dimension (total effects) reproduces the ranking BSAT &gt; UX &gt; UE (Figure 8). The performance dimension is uninformative in these data because every construct's rescaled mean sits at the scale midpoint (≈ 50/100), a direct consequence of the uniform item marginals; the IPMA is therefore reported for completeness, but performance-based prioritization should not be inferred from this sample.</w:t>
      </w:r>
    </w:p>
    <w:p>
      <w:pPr>
        <w:spacing w:before="120"/>
        <w:jc w:val="center"/>
      </w:pPr>
      <w:r>
        <w:drawing>
          <wp:inline xmlns:a="http://schemas.openxmlformats.org/drawingml/2006/main" xmlns:pic="http://schemas.openxmlformats.org/drawingml/2006/picture">
            <wp:extent cx="4754880" cy="3475550"/>
            <wp:docPr id="8" name="Picture 8"/>
            <wp:cNvGraphicFramePr>
              <a:graphicFrameLocks noChangeAspect="1"/>
            </wp:cNvGraphicFramePr>
            <a:graphic>
              <a:graphicData uri="http://schemas.openxmlformats.org/drawingml/2006/picture">
                <pic:pic>
                  <pic:nvPicPr>
                    <pic:cNvPr id="0" name="Fig8_IPMA.png"/>
                    <pic:cNvPicPr/>
                  </pic:nvPicPr>
                  <pic:blipFill>
                    <a:blip r:embed="rId16"/>
                    <a:stretch>
                      <a:fillRect/>
                    </a:stretch>
                  </pic:blipFill>
                  <pic:spPr>
                    <a:xfrm>
                      <a:off x="0" y="0"/>
                      <a:ext cx="4754880" cy="3475550"/>
                    </a:xfrm>
                    <a:prstGeom prst="rect"/>
                  </pic:spPr>
                </pic:pic>
              </a:graphicData>
            </a:graphic>
          </wp:inline>
        </w:drawing>
      </w:r>
    </w:p>
    <w:p>
      <w:pPr>
        <w:spacing w:after="240"/>
        <w:jc w:val="center"/>
      </w:pPr>
      <w:r>
        <w:rPr>
          <w:rFonts w:ascii="Times New Roman" w:hAnsi="Times New Roman"/>
          <w:i/>
          <w:sz w:val="22"/>
        </w:rPr>
        <w:t>Figure 8. Importance–performance map analysis (target: BSUC).</w:t>
      </w:r>
    </w:p>
    <w:p>
      <w:pPr>
        <w:pStyle w:val="Heading1"/>
      </w:pPr>
      <w:r>
        <w:rPr>
          <w:rFonts w:ascii="Times New Roman" w:hAnsi="Times New Roman"/>
          <w:color w:val="000000"/>
        </w:rPr>
        <w:t>4. Configurational analysis (fsQCA)</w:t>
      </w:r>
    </w:p>
    <w:p>
      <w:pPr>
        <w:spacing w:after="160"/>
        <w:jc w:val="both"/>
      </w:pPr>
      <w:r>
        <w:rPr>
          <w:rFonts w:ascii="Times New Roman" w:hAnsi="Times New Roman"/>
          <w:i w:val="0"/>
          <w:sz w:val="24"/>
        </w:rPr>
        <w:t>To complement the variance-based analysis with a configurational and asymmetric view—which combinations of conditions are sufficient for high continuance, and whether the recipe for low continuance is simply the mirror image—an fsQCA was conducted with UE, UX and BSAT as conditions and BSUC as the outcome (Ragin, 2008; Fiss, 2011; Pappas &amp; Woodside, 2021).</w:t>
      </w:r>
    </w:p>
    <w:p>
      <w:pPr>
        <w:pStyle w:val="Heading2"/>
      </w:pPr>
      <w:r>
        <w:rPr>
          <w:rFonts w:ascii="Times New Roman" w:hAnsi="Times New Roman"/>
          <w:color w:val="000000"/>
        </w:rPr>
        <w:t>4.1 Calibration</w:t>
      </w:r>
    </w:p>
    <w:p>
      <w:pPr>
        <w:spacing w:after="160"/>
        <w:jc w:val="both"/>
      </w:pPr>
      <w:r>
        <w:rPr>
          <w:rFonts w:ascii="Times New Roman" w:hAnsi="Times New Roman"/>
          <w:i w:val="0"/>
          <w:sz w:val="24"/>
        </w:rPr>
        <w:t>Construct scores (item means) were calibrated into fuzzy-set membership using the direct method, with anchors set at the 95th percentile (full membership), the 50th percentile (cross-over), and the 5th percentile (full non-membership) of each construct (Table 10). Cases on the cross-over were nudged by 0.001 to avoid loss (Ragin, 2008). Figure 9 overlays the raw distributions with the membership functions.</w:t>
      </w:r>
    </w:p>
    <w:p>
      <w:pPr>
        <w:spacing w:after="80"/>
      </w:pPr>
      <w:r>
        <w:rPr>
          <w:rFonts w:ascii="Times New Roman" w:hAnsi="Times New Roman"/>
          <w:b/>
          <w:sz w:val="22"/>
        </w:rPr>
        <w:t>Table 10. Calibration anchors (direct method, percentile-based).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DDDDD"/>
          </w:tcPr>
          <w:p>
            <w:pPr>
              <w:spacing w:after="40" w:before="40"/>
              <w:jc w:val="center"/>
            </w:pPr>
            <w:r>
              <w:rPr>
                <w:rFonts w:ascii="Times New Roman" w:hAnsi="Times New Roman"/>
                <w:b/>
                <w:sz w:val="22"/>
              </w:rPr>
              <w:t>Construct</w:t>
            </w:r>
          </w:p>
        </w:tc>
        <w:tc>
          <w:tcPr>
            <w:tcW w:type="dxa" w:w="2160"/>
            <w:shd w:val="clear" w:color="auto" w:fill="DDDDDD"/>
          </w:tcPr>
          <w:p>
            <w:pPr>
              <w:spacing w:after="40" w:before="40"/>
              <w:jc w:val="center"/>
            </w:pPr>
            <w:r>
              <w:rPr>
                <w:rFonts w:ascii="Times New Roman" w:hAnsi="Times New Roman"/>
                <w:b/>
                <w:sz w:val="22"/>
              </w:rPr>
              <w:t>Full-in (P95)</w:t>
            </w:r>
          </w:p>
        </w:tc>
        <w:tc>
          <w:tcPr>
            <w:tcW w:type="dxa" w:w="2160"/>
            <w:shd w:val="clear" w:color="auto" w:fill="DDDDDD"/>
          </w:tcPr>
          <w:p>
            <w:pPr>
              <w:spacing w:after="40" w:before="40"/>
              <w:jc w:val="center"/>
            </w:pPr>
            <w:r>
              <w:rPr>
                <w:rFonts w:ascii="Times New Roman" w:hAnsi="Times New Roman"/>
                <w:b/>
                <w:sz w:val="22"/>
              </w:rPr>
              <w:t>Cross-over (P50)</w:t>
            </w:r>
          </w:p>
        </w:tc>
        <w:tc>
          <w:tcPr>
            <w:tcW w:type="dxa" w:w="2160"/>
            <w:shd w:val="clear" w:color="auto" w:fill="DDDDDD"/>
          </w:tcPr>
          <w:p>
            <w:pPr>
              <w:spacing w:after="40" w:before="40"/>
              <w:jc w:val="center"/>
            </w:pPr>
            <w:r>
              <w:rPr>
                <w:rFonts w:ascii="Times New Roman" w:hAnsi="Times New Roman"/>
                <w:b/>
                <w:sz w:val="22"/>
              </w:rPr>
              <w:t>Full-out (P5)</w:t>
            </w:r>
          </w:p>
        </w:tc>
      </w:tr>
      <w:tr>
        <w:tc>
          <w:tcPr>
            <w:tcW w:type="dxa" w:w="2160"/>
          </w:tcPr>
          <w:p>
            <w:pPr>
              <w:spacing w:after="40" w:before="40"/>
              <w:jc w:val="center"/>
            </w:pPr>
            <w:r>
              <w:rPr>
                <w:rFonts w:ascii="Times New Roman" w:hAnsi="Times New Roman"/>
                <w:b w:val="0"/>
                <w:sz w:val="22"/>
              </w:rPr>
              <w:t>UE</w:t>
            </w:r>
          </w:p>
        </w:tc>
        <w:tc>
          <w:tcPr>
            <w:tcW w:type="dxa" w:w="2160"/>
          </w:tcPr>
          <w:p>
            <w:pPr>
              <w:spacing w:after="40" w:before="40"/>
              <w:jc w:val="center"/>
            </w:pPr>
            <w:r>
              <w:rPr>
                <w:rFonts w:ascii="Times New Roman" w:hAnsi="Times New Roman"/>
                <w:b w:val="0"/>
                <w:sz w:val="22"/>
              </w:rPr>
              <w:t>6.60</w:t>
            </w:r>
          </w:p>
        </w:tc>
        <w:tc>
          <w:tcPr>
            <w:tcW w:type="dxa" w:w="2160"/>
          </w:tcPr>
          <w:p>
            <w:pPr>
              <w:spacing w:after="40" w:before="40"/>
              <w:jc w:val="center"/>
            </w:pPr>
            <w:r>
              <w:rPr>
                <w:rFonts w:ascii="Times New Roman" w:hAnsi="Times New Roman"/>
                <w:b w:val="0"/>
                <w:sz w:val="22"/>
              </w:rPr>
              <w:t>3.90</w:t>
            </w:r>
          </w:p>
        </w:tc>
        <w:tc>
          <w:tcPr>
            <w:tcW w:type="dxa" w:w="2160"/>
          </w:tcPr>
          <w:p>
            <w:pPr>
              <w:spacing w:after="40" w:before="40"/>
              <w:jc w:val="center"/>
            </w:pPr>
            <w:r>
              <w:rPr>
                <w:rFonts w:ascii="Times New Roman" w:hAnsi="Times New Roman"/>
                <w:b w:val="0"/>
                <w:sz w:val="22"/>
              </w:rPr>
              <w:t>1.40</w:t>
            </w:r>
          </w:p>
        </w:tc>
      </w:tr>
      <w:tr>
        <w:tc>
          <w:tcPr>
            <w:tcW w:type="dxa" w:w="2160"/>
          </w:tcPr>
          <w:p>
            <w:pPr>
              <w:spacing w:after="40" w:before="40"/>
              <w:jc w:val="center"/>
            </w:pPr>
            <w:r>
              <w:rPr>
                <w:rFonts w:ascii="Times New Roman" w:hAnsi="Times New Roman"/>
                <w:b w:val="0"/>
                <w:sz w:val="22"/>
              </w:rPr>
              <w:t>UX</w:t>
            </w:r>
          </w:p>
        </w:tc>
        <w:tc>
          <w:tcPr>
            <w:tcW w:type="dxa" w:w="2160"/>
          </w:tcPr>
          <w:p>
            <w:pPr>
              <w:spacing w:after="40" w:before="40"/>
              <w:jc w:val="center"/>
            </w:pPr>
            <w:r>
              <w:rPr>
                <w:rFonts w:ascii="Times New Roman" w:hAnsi="Times New Roman"/>
                <w:b w:val="0"/>
                <w:sz w:val="22"/>
              </w:rPr>
              <w:t>6.80</w:t>
            </w:r>
          </w:p>
        </w:tc>
        <w:tc>
          <w:tcPr>
            <w:tcW w:type="dxa" w:w="2160"/>
          </w:tcPr>
          <w:p>
            <w:pPr>
              <w:spacing w:after="40" w:before="40"/>
              <w:jc w:val="center"/>
            </w:pPr>
            <w:r>
              <w:rPr>
                <w:rFonts w:ascii="Times New Roman" w:hAnsi="Times New Roman"/>
                <w:b w:val="0"/>
                <w:sz w:val="22"/>
              </w:rPr>
              <w:t>4.00</w:t>
            </w:r>
          </w:p>
        </w:tc>
        <w:tc>
          <w:tcPr>
            <w:tcW w:type="dxa" w:w="2160"/>
          </w:tcPr>
          <w:p>
            <w:pPr>
              <w:spacing w:after="40" w:before="40"/>
              <w:jc w:val="center"/>
            </w:pPr>
            <w:r>
              <w:rPr>
                <w:rFonts w:ascii="Times New Roman" w:hAnsi="Times New Roman"/>
                <w:b w:val="0"/>
                <w:sz w:val="22"/>
              </w:rPr>
              <w:t>1.20</w:t>
            </w:r>
          </w:p>
        </w:tc>
      </w:tr>
      <w:tr>
        <w:tc>
          <w:tcPr>
            <w:tcW w:type="dxa" w:w="2160"/>
          </w:tcPr>
          <w:p>
            <w:pPr>
              <w:spacing w:after="40" w:before="40"/>
              <w:jc w:val="center"/>
            </w:pPr>
            <w:r>
              <w:rPr>
                <w:rFonts w:ascii="Times New Roman" w:hAnsi="Times New Roman"/>
                <w:b w:val="0"/>
                <w:sz w:val="22"/>
              </w:rPr>
              <w:t>BSAT</w:t>
            </w:r>
          </w:p>
        </w:tc>
        <w:tc>
          <w:tcPr>
            <w:tcW w:type="dxa" w:w="2160"/>
          </w:tcPr>
          <w:p>
            <w:pPr>
              <w:spacing w:after="40" w:before="40"/>
              <w:jc w:val="center"/>
            </w:pPr>
            <w:r>
              <w:rPr>
                <w:rFonts w:ascii="Times New Roman" w:hAnsi="Times New Roman"/>
                <w:b w:val="0"/>
                <w:sz w:val="22"/>
              </w:rPr>
              <w:t>6.61</w:t>
            </w:r>
          </w:p>
        </w:tc>
        <w:tc>
          <w:tcPr>
            <w:tcW w:type="dxa" w:w="2160"/>
          </w:tcPr>
          <w:p>
            <w:pPr>
              <w:spacing w:after="40" w:before="40"/>
              <w:jc w:val="center"/>
            </w:pPr>
            <w:r>
              <w:rPr>
                <w:rFonts w:ascii="Times New Roman" w:hAnsi="Times New Roman"/>
                <w:b w:val="0"/>
                <w:sz w:val="22"/>
              </w:rPr>
              <w:t>4.25</w:t>
            </w:r>
          </w:p>
        </w:tc>
        <w:tc>
          <w:tcPr>
            <w:tcW w:type="dxa" w:w="2160"/>
          </w:tcPr>
          <w:p>
            <w:pPr>
              <w:spacing w:after="40" w:before="40"/>
              <w:jc w:val="center"/>
            </w:pPr>
            <w:r>
              <w:rPr>
                <w:rFonts w:ascii="Times New Roman" w:hAnsi="Times New Roman"/>
                <w:b w:val="0"/>
                <w:sz w:val="22"/>
              </w:rPr>
              <w:t>1.25</w:t>
            </w:r>
          </w:p>
        </w:tc>
      </w:tr>
      <w:tr>
        <w:tc>
          <w:tcPr>
            <w:tcW w:type="dxa" w:w="2160"/>
          </w:tcPr>
          <w:p>
            <w:pPr>
              <w:spacing w:after="40" w:before="40"/>
              <w:jc w:val="center"/>
            </w:pPr>
            <w:r>
              <w:rPr>
                <w:rFonts w:ascii="Times New Roman" w:hAnsi="Times New Roman"/>
                <w:b w:val="0"/>
                <w:sz w:val="22"/>
              </w:rPr>
              <w:t>BSUC</w:t>
            </w:r>
          </w:p>
        </w:tc>
        <w:tc>
          <w:tcPr>
            <w:tcW w:type="dxa" w:w="2160"/>
          </w:tcPr>
          <w:p>
            <w:pPr>
              <w:spacing w:after="40" w:before="40"/>
              <w:jc w:val="center"/>
            </w:pPr>
            <w:r>
              <w:rPr>
                <w:rFonts w:ascii="Times New Roman" w:hAnsi="Times New Roman"/>
                <w:b w:val="0"/>
                <w:sz w:val="22"/>
              </w:rPr>
              <w:t>6.75</w:t>
            </w:r>
          </w:p>
        </w:tc>
        <w:tc>
          <w:tcPr>
            <w:tcW w:type="dxa" w:w="2160"/>
          </w:tcPr>
          <w:p>
            <w:pPr>
              <w:spacing w:after="40" w:before="40"/>
              <w:jc w:val="center"/>
            </w:pPr>
            <w:r>
              <w:rPr>
                <w:rFonts w:ascii="Times New Roman" w:hAnsi="Times New Roman"/>
                <w:b w:val="0"/>
                <w:sz w:val="22"/>
              </w:rPr>
              <w:t>4.00</w:t>
            </w:r>
          </w:p>
        </w:tc>
        <w:tc>
          <w:tcPr>
            <w:tcW w:type="dxa" w:w="2160"/>
          </w:tcPr>
          <w:p>
            <w:pPr>
              <w:spacing w:after="40" w:before="40"/>
              <w:jc w:val="center"/>
            </w:pPr>
            <w:r>
              <w:rPr>
                <w:rFonts w:ascii="Times New Roman" w:hAnsi="Times New Roman"/>
                <w:b w:val="0"/>
                <w:sz w:val="22"/>
              </w:rPr>
              <w:t>1.25</w:t>
            </w:r>
          </w:p>
        </w:tc>
      </w:tr>
    </w:tbl>
    <w:p>
      <w:pPr>
        <w:spacing w:before="120"/>
        <w:jc w:val="center"/>
      </w:pPr>
      <w:r>
        <w:drawing>
          <wp:inline xmlns:a="http://schemas.openxmlformats.org/drawingml/2006/main" xmlns:pic="http://schemas.openxmlformats.org/drawingml/2006/picture">
            <wp:extent cx="5760720" cy="3992403"/>
            <wp:docPr id="9" name="Picture 9"/>
            <wp:cNvGraphicFramePr>
              <a:graphicFrameLocks noChangeAspect="1"/>
            </wp:cNvGraphicFramePr>
            <a:graphic>
              <a:graphicData uri="http://schemas.openxmlformats.org/drawingml/2006/picture">
                <pic:pic>
                  <pic:nvPicPr>
                    <pic:cNvPr id="0" name="Fig9_calibration.png"/>
                    <pic:cNvPicPr/>
                  </pic:nvPicPr>
                  <pic:blipFill>
                    <a:blip r:embed="rId17"/>
                    <a:stretch>
                      <a:fillRect/>
                    </a:stretch>
                  </pic:blipFill>
                  <pic:spPr>
                    <a:xfrm>
                      <a:off x="0" y="0"/>
                      <a:ext cx="5760720" cy="3992403"/>
                    </a:xfrm>
                    <a:prstGeom prst="rect"/>
                  </pic:spPr>
                </pic:pic>
              </a:graphicData>
            </a:graphic>
          </wp:inline>
        </w:drawing>
      </w:r>
    </w:p>
    <w:p>
      <w:pPr>
        <w:spacing w:after="240"/>
        <w:jc w:val="center"/>
      </w:pPr>
      <w:r>
        <w:rPr>
          <w:rFonts w:ascii="Times New Roman" w:hAnsi="Times New Roman"/>
          <w:i/>
          <w:sz w:val="22"/>
        </w:rPr>
        <w:t>Figure 9. fsQCA calibration: raw composite distributions (bars) and fuzzy-set membership functions (curves).</w:t>
      </w:r>
    </w:p>
    <w:p>
      <w:pPr>
        <w:pStyle w:val="Heading2"/>
      </w:pPr>
      <w:r>
        <w:rPr>
          <w:rFonts w:ascii="Times New Roman" w:hAnsi="Times New Roman"/>
          <w:color w:val="000000"/>
        </w:rPr>
        <w:t>4.2 Analysis of necessary conditions</w:t>
      </w:r>
    </w:p>
    <w:p>
      <w:pPr>
        <w:spacing w:after="160"/>
        <w:jc w:val="both"/>
      </w:pPr>
      <w:r>
        <w:rPr>
          <w:rFonts w:ascii="Times New Roman" w:hAnsi="Times New Roman"/>
          <w:i w:val="0"/>
          <w:sz w:val="24"/>
        </w:rPr>
        <w:t>No single condition is necessary for high continuance: the highest necessity consistency is for BSAT (0.751), below the 0.90 threshold (Table 11, Figure 11). The same holds for the negated outcome (highest: ~BSAT, 0.784). The absence of any necessary condition is itself informative—high continuance does not require any one antecedent in isolation, motivating the sufficiency analysis.</w:t>
      </w:r>
    </w:p>
    <w:p>
      <w:pPr>
        <w:spacing w:after="80"/>
      </w:pPr>
      <w:r>
        <w:rPr>
          <w:rFonts w:ascii="Times New Roman" w:hAnsi="Times New Roman"/>
          <w:b/>
          <w:sz w:val="22"/>
        </w:rPr>
        <w:t>Table 11. Analysis of necessary conditions (consistency threshold = 0.90).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DDDD"/>
          </w:tcPr>
          <w:p>
            <w:pPr>
              <w:spacing w:after="40" w:before="40"/>
            </w:pPr>
            <w:r>
              <w:rPr>
                <w:rFonts w:ascii="Times New Roman" w:hAnsi="Times New Roman"/>
                <w:b/>
                <w:sz w:val="20"/>
              </w:rPr>
              <w:t>Condition</w:t>
            </w:r>
          </w:p>
        </w:tc>
        <w:tc>
          <w:tcPr>
            <w:tcW w:type="dxa" w:w="1728"/>
            <w:shd w:val="clear" w:color="auto" w:fill="DDDDDD"/>
          </w:tcPr>
          <w:p>
            <w:pPr>
              <w:spacing w:after="40" w:before="40"/>
              <w:jc w:val="center"/>
            </w:pPr>
            <w:r>
              <w:rPr>
                <w:rFonts w:ascii="Times New Roman" w:hAnsi="Times New Roman"/>
                <w:b/>
                <w:sz w:val="20"/>
              </w:rPr>
              <w:t>Cons. (high BSUC)</w:t>
            </w:r>
          </w:p>
        </w:tc>
        <w:tc>
          <w:tcPr>
            <w:tcW w:type="dxa" w:w="1728"/>
            <w:shd w:val="clear" w:color="auto" w:fill="DDDDDD"/>
          </w:tcPr>
          <w:p>
            <w:pPr>
              <w:spacing w:after="40" w:before="40"/>
              <w:jc w:val="center"/>
            </w:pPr>
            <w:r>
              <w:rPr>
                <w:rFonts w:ascii="Times New Roman" w:hAnsi="Times New Roman"/>
                <w:b/>
                <w:sz w:val="20"/>
              </w:rPr>
              <w:t>Cov. (high BSUC)</w:t>
            </w:r>
          </w:p>
        </w:tc>
        <w:tc>
          <w:tcPr>
            <w:tcW w:type="dxa" w:w="1728"/>
            <w:shd w:val="clear" w:color="auto" w:fill="DDDDDD"/>
          </w:tcPr>
          <w:p>
            <w:pPr>
              <w:spacing w:after="40" w:before="40"/>
              <w:jc w:val="center"/>
            </w:pPr>
            <w:r>
              <w:rPr>
                <w:rFonts w:ascii="Times New Roman" w:hAnsi="Times New Roman"/>
                <w:b/>
                <w:sz w:val="20"/>
              </w:rPr>
              <w:t>Cons. (~BSUC)</w:t>
            </w:r>
          </w:p>
        </w:tc>
        <w:tc>
          <w:tcPr>
            <w:tcW w:type="dxa" w:w="1728"/>
            <w:shd w:val="clear" w:color="auto" w:fill="DDDDDD"/>
          </w:tcPr>
          <w:p>
            <w:pPr>
              <w:spacing w:after="40" w:before="40"/>
              <w:jc w:val="center"/>
            </w:pPr>
            <w:r>
              <w:rPr>
                <w:rFonts w:ascii="Times New Roman" w:hAnsi="Times New Roman"/>
                <w:b/>
                <w:sz w:val="20"/>
              </w:rPr>
              <w:t>Cov. (~BSUC)</w:t>
            </w:r>
          </w:p>
        </w:tc>
      </w:tr>
      <w:tr>
        <w:tc>
          <w:tcPr>
            <w:tcW w:type="dxa" w:w="1728"/>
          </w:tcPr>
          <w:p>
            <w:pPr>
              <w:spacing w:after="40" w:before="40"/>
            </w:pPr>
            <w:r>
              <w:rPr>
                <w:rFonts w:ascii="Times New Roman" w:hAnsi="Times New Roman"/>
                <w:b w:val="0"/>
                <w:sz w:val="20"/>
              </w:rPr>
              <w:t>UE</w:t>
            </w:r>
          </w:p>
        </w:tc>
        <w:tc>
          <w:tcPr>
            <w:tcW w:type="dxa" w:w="1728"/>
          </w:tcPr>
          <w:p>
            <w:pPr>
              <w:spacing w:after="40" w:before="40"/>
              <w:jc w:val="center"/>
            </w:pPr>
            <w:r>
              <w:rPr>
                <w:rFonts w:ascii="Times New Roman" w:hAnsi="Times New Roman"/>
                <w:b w:val="0"/>
                <w:sz w:val="20"/>
              </w:rPr>
              <w:t>0.698</w:t>
            </w:r>
          </w:p>
        </w:tc>
        <w:tc>
          <w:tcPr>
            <w:tcW w:type="dxa" w:w="1728"/>
          </w:tcPr>
          <w:p>
            <w:pPr>
              <w:spacing w:after="40" w:before="40"/>
              <w:jc w:val="center"/>
            </w:pPr>
            <w:r>
              <w:rPr>
                <w:rFonts w:ascii="Times New Roman" w:hAnsi="Times New Roman"/>
                <w:b w:val="0"/>
                <w:sz w:val="20"/>
              </w:rPr>
              <w:t>0.685</w:t>
            </w:r>
          </w:p>
        </w:tc>
        <w:tc>
          <w:tcPr>
            <w:tcW w:type="dxa" w:w="1728"/>
          </w:tcPr>
          <w:p>
            <w:pPr>
              <w:spacing w:after="40" w:before="40"/>
              <w:jc w:val="center"/>
            </w:pPr>
            <w:r>
              <w:rPr>
                <w:rFonts w:ascii="Times New Roman" w:hAnsi="Times New Roman"/>
                <w:b w:val="0"/>
                <w:sz w:val="20"/>
              </w:rPr>
              <w:t>0.576</w:t>
            </w:r>
          </w:p>
        </w:tc>
        <w:tc>
          <w:tcPr>
            <w:tcW w:type="dxa" w:w="1728"/>
          </w:tcPr>
          <w:p>
            <w:pPr>
              <w:spacing w:after="40" w:before="40"/>
              <w:jc w:val="center"/>
            </w:pPr>
            <w:r>
              <w:rPr>
                <w:rFonts w:ascii="Times New Roman" w:hAnsi="Times New Roman"/>
                <w:b w:val="0"/>
                <w:sz w:val="20"/>
              </w:rPr>
              <w:t>0.567</w:t>
            </w:r>
          </w:p>
        </w:tc>
      </w:tr>
      <w:tr>
        <w:tc>
          <w:tcPr>
            <w:tcW w:type="dxa" w:w="1728"/>
          </w:tcPr>
          <w:p>
            <w:pPr>
              <w:spacing w:after="40" w:before="40"/>
            </w:pPr>
            <w:r>
              <w:rPr>
                <w:rFonts w:ascii="Times New Roman" w:hAnsi="Times New Roman"/>
                <w:b w:val="0"/>
                <w:sz w:val="20"/>
              </w:rPr>
              <w:t>~UE</w:t>
            </w:r>
          </w:p>
        </w:tc>
        <w:tc>
          <w:tcPr>
            <w:tcW w:type="dxa" w:w="1728"/>
          </w:tcPr>
          <w:p>
            <w:pPr>
              <w:spacing w:after="40" w:before="40"/>
              <w:jc w:val="center"/>
            </w:pPr>
            <w:r>
              <w:rPr>
                <w:rFonts w:ascii="Times New Roman" w:hAnsi="Times New Roman"/>
                <w:b w:val="0"/>
                <w:sz w:val="20"/>
              </w:rPr>
              <w:t>0.559</w:t>
            </w:r>
          </w:p>
        </w:tc>
        <w:tc>
          <w:tcPr>
            <w:tcW w:type="dxa" w:w="1728"/>
          </w:tcPr>
          <w:p>
            <w:pPr>
              <w:spacing w:after="40" w:before="40"/>
              <w:jc w:val="center"/>
            </w:pPr>
            <w:r>
              <w:rPr>
                <w:rFonts w:ascii="Times New Roman" w:hAnsi="Times New Roman"/>
                <w:b w:val="0"/>
                <w:sz w:val="20"/>
              </w:rPr>
              <w:t>0.568</w:t>
            </w:r>
          </w:p>
        </w:tc>
        <w:tc>
          <w:tcPr>
            <w:tcW w:type="dxa" w:w="1728"/>
          </w:tcPr>
          <w:p>
            <w:pPr>
              <w:spacing w:after="40" w:before="40"/>
              <w:jc w:val="center"/>
            </w:pPr>
            <w:r>
              <w:rPr>
                <w:rFonts w:ascii="Times New Roman" w:hAnsi="Times New Roman"/>
                <w:b w:val="0"/>
                <w:sz w:val="20"/>
              </w:rPr>
              <w:t>0.680</w:t>
            </w:r>
          </w:p>
        </w:tc>
        <w:tc>
          <w:tcPr>
            <w:tcW w:type="dxa" w:w="1728"/>
          </w:tcPr>
          <w:p>
            <w:pPr>
              <w:spacing w:after="40" w:before="40"/>
              <w:jc w:val="center"/>
            </w:pPr>
            <w:r>
              <w:rPr>
                <w:rFonts w:ascii="Times New Roman" w:hAnsi="Times New Roman"/>
                <w:b w:val="0"/>
                <w:sz w:val="20"/>
              </w:rPr>
              <w:t>0.693</w:t>
            </w:r>
          </w:p>
        </w:tc>
      </w:tr>
      <w:tr>
        <w:tc>
          <w:tcPr>
            <w:tcW w:type="dxa" w:w="1728"/>
          </w:tcPr>
          <w:p>
            <w:pPr>
              <w:spacing w:after="40" w:before="40"/>
            </w:pPr>
            <w:r>
              <w:rPr>
                <w:rFonts w:ascii="Times New Roman" w:hAnsi="Times New Roman"/>
                <w:b w:val="0"/>
                <w:sz w:val="20"/>
              </w:rPr>
              <w:t>UX</w:t>
            </w:r>
          </w:p>
        </w:tc>
        <w:tc>
          <w:tcPr>
            <w:tcW w:type="dxa" w:w="1728"/>
          </w:tcPr>
          <w:p>
            <w:pPr>
              <w:spacing w:after="40" w:before="40"/>
              <w:jc w:val="center"/>
            </w:pPr>
            <w:r>
              <w:rPr>
                <w:rFonts w:ascii="Times New Roman" w:hAnsi="Times New Roman"/>
                <w:b w:val="0"/>
                <w:sz w:val="20"/>
              </w:rPr>
              <w:t>0.718</w:t>
            </w:r>
          </w:p>
        </w:tc>
        <w:tc>
          <w:tcPr>
            <w:tcW w:type="dxa" w:w="1728"/>
          </w:tcPr>
          <w:p>
            <w:pPr>
              <w:spacing w:after="40" w:before="40"/>
              <w:jc w:val="center"/>
            </w:pPr>
            <w:r>
              <w:rPr>
                <w:rFonts w:ascii="Times New Roman" w:hAnsi="Times New Roman"/>
                <w:b w:val="0"/>
                <w:sz w:val="20"/>
              </w:rPr>
              <w:t>0.714</w:t>
            </w:r>
          </w:p>
        </w:tc>
        <w:tc>
          <w:tcPr>
            <w:tcW w:type="dxa" w:w="1728"/>
          </w:tcPr>
          <w:p>
            <w:pPr>
              <w:spacing w:after="40" w:before="40"/>
              <w:jc w:val="center"/>
            </w:pPr>
            <w:r>
              <w:rPr>
                <w:rFonts w:ascii="Times New Roman" w:hAnsi="Times New Roman"/>
                <w:b w:val="0"/>
                <w:sz w:val="20"/>
              </w:rPr>
              <w:t>0.560</w:t>
            </w:r>
          </w:p>
        </w:tc>
        <w:tc>
          <w:tcPr>
            <w:tcW w:type="dxa" w:w="1728"/>
          </w:tcPr>
          <w:p>
            <w:pPr>
              <w:spacing w:after="40" w:before="40"/>
              <w:jc w:val="center"/>
            </w:pPr>
            <w:r>
              <w:rPr>
                <w:rFonts w:ascii="Times New Roman" w:hAnsi="Times New Roman"/>
                <w:b w:val="0"/>
                <w:sz w:val="20"/>
              </w:rPr>
              <w:t>0.559</w:t>
            </w:r>
          </w:p>
        </w:tc>
      </w:tr>
      <w:tr>
        <w:tc>
          <w:tcPr>
            <w:tcW w:type="dxa" w:w="1728"/>
          </w:tcPr>
          <w:p>
            <w:pPr>
              <w:spacing w:after="40" w:before="40"/>
            </w:pPr>
            <w:r>
              <w:rPr>
                <w:rFonts w:ascii="Times New Roman" w:hAnsi="Times New Roman"/>
                <w:b w:val="0"/>
                <w:sz w:val="20"/>
              </w:rPr>
              <w:t>~UX</w:t>
            </w:r>
          </w:p>
        </w:tc>
        <w:tc>
          <w:tcPr>
            <w:tcW w:type="dxa" w:w="1728"/>
          </w:tcPr>
          <w:p>
            <w:pPr>
              <w:spacing w:after="40" w:before="40"/>
              <w:jc w:val="center"/>
            </w:pPr>
            <w:r>
              <w:rPr>
                <w:rFonts w:ascii="Times New Roman" w:hAnsi="Times New Roman"/>
                <w:b w:val="0"/>
                <w:sz w:val="20"/>
              </w:rPr>
              <w:t>0.557</w:t>
            </w:r>
          </w:p>
        </w:tc>
        <w:tc>
          <w:tcPr>
            <w:tcW w:type="dxa" w:w="1728"/>
          </w:tcPr>
          <w:p>
            <w:pPr>
              <w:spacing w:after="40" w:before="40"/>
              <w:jc w:val="center"/>
            </w:pPr>
            <w:r>
              <w:rPr>
                <w:rFonts w:ascii="Times New Roman" w:hAnsi="Times New Roman"/>
                <w:b w:val="0"/>
                <w:sz w:val="20"/>
              </w:rPr>
              <w:t>0.558</w:t>
            </w:r>
          </w:p>
        </w:tc>
        <w:tc>
          <w:tcPr>
            <w:tcW w:type="dxa" w:w="1728"/>
          </w:tcPr>
          <w:p>
            <w:pPr>
              <w:spacing w:after="40" w:before="40"/>
              <w:jc w:val="center"/>
            </w:pPr>
            <w:r>
              <w:rPr>
                <w:rFonts w:ascii="Times New Roman" w:hAnsi="Times New Roman"/>
                <w:b w:val="0"/>
                <w:sz w:val="20"/>
              </w:rPr>
              <w:t>0.713</w:t>
            </w:r>
          </w:p>
        </w:tc>
        <w:tc>
          <w:tcPr>
            <w:tcW w:type="dxa" w:w="1728"/>
          </w:tcPr>
          <w:p>
            <w:pPr>
              <w:spacing w:after="40" w:before="40"/>
              <w:jc w:val="center"/>
            </w:pPr>
            <w:r>
              <w:rPr>
                <w:rFonts w:ascii="Times New Roman" w:hAnsi="Times New Roman"/>
                <w:b w:val="0"/>
                <w:sz w:val="20"/>
              </w:rPr>
              <w:t>0.717</w:t>
            </w:r>
          </w:p>
        </w:tc>
      </w:tr>
      <w:tr>
        <w:tc>
          <w:tcPr>
            <w:tcW w:type="dxa" w:w="1728"/>
          </w:tcPr>
          <w:p>
            <w:pPr>
              <w:spacing w:after="40" w:before="40"/>
            </w:pPr>
            <w:r>
              <w:rPr>
                <w:rFonts w:ascii="Times New Roman" w:hAnsi="Times New Roman"/>
                <w:b w:val="0"/>
                <w:sz w:val="20"/>
              </w:rPr>
              <w:t>BSAT</w:t>
            </w:r>
          </w:p>
        </w:tc>
        <w:tc>
          <w:tcPr>
            <w:tcW w:type="dxa" w:w="1728"/>
          </w:tcPr>
          <w:p>
            <w:pPr>
              <w:spacing w:after="40" w:before="40"/>
              <w:jc w:val="center"/>
            </w:pPr>
            <w:r>
              <w:rPr>
                <w:rFonts w:ascii="Times New Roman" w:hAnsi="Times New Roman"/>
                <w:b w:val="0"/>
                <w:sz w:val="20"/>
              </w:rPr>
              <w:t>0.751</w:t>
            </w:r>
          </w:p>
        </w:tc>
        <w:tc>
          <w:tcPr>
            <w:tcW w:type="dxa" w:w="1728"/>
          </w:tcPr>
          <w:p>
            <w:pPr>
              <w:spacing w:after="40" w:before="40"/>
              <w:jc w:val="center"/>
            </w:pPr>
            <w:r>
              <w:rPr>
                <w:rFonts w:ascii="Times New Roman" w:hAnsi="Times New Roman"/>
                <w:b w:val="0"/>
                <w:sz w:val="20"/>
              </w:rPr>
              <w:t>0.776</w:t>
            </w:r>
          </w:p>
        </w:tc>
        <w:tc>
          <w:tcPr>
            <w:tcW w:type="dxa" w:w="1728"/>
          </w:tcPr>
          <w:p>
            <w:pPr>
              <w:spacing w:after="40" w:before="40"/>
              <w:jc w:val="center"/>
            </w:pPr>
            <w:r>
              <w:rPr>
                <w:rFonts w:ascii="Times New Roman" w:hAnsi="Times New Roman"/>
                <w:b w:val="0"/>
                <w:sz w:val="20"/>
              </w:rPr>
              <w:t>0.476</w:t>
            </w:r>
          </w:p>
        </w:tc>
        <w:tc>
          <w:tcPr>
            <w:tcW w:type="dxa" w:w="1728"/>
          </w:tcPr>
          <w:p>
            <w:pPr>
              <w:spacing w:after="40" w:before="40"/>
              <w:jc w:val="center"/>
            </w:pPr>
            <w:r>
              <w:rPr>
                <w:rFonts w:ascii="Times New Roman" w:hAnsi="Times New Roman"/>
                <w:b w:val="0"/>
                <w:sz w:val="20"/>
              </w:rPr>
              <w:t>0.494</w:t>
            </w:r>
          </w:p>
        </w:tc>
      </w:tr>
      <w:tr>
        <w:tc>
          <w:tcPr>
            <w:tcW w:type="dxa" w:w="1728"/>
          </w:tcPr>
          <w:p>
            <w:pPr>
              <w:spacing w:after="40" w:before="40"/>
            </w:pPr>
            <w:r>
              <w:rPr>
                <w:rFonts w:ascii="Times New Roman" w:hAnsi="Times New Roman"/>
                <w:b w:val="0"/>
                <w:sz w:val="20"/>
              </w:rPr>
              <w:t>~BSAT</w:t>
            </w:r>
          </w:p>
        </w:tc>
        <w:tc>
          <w:tcPr>
            <w:tcW w:type="dxa" w:w="1728"/>
          </w:tcPr>
          <w:p>
            <w:pPr>
              <w:spacing w:after="40" w:before="40"/>
              <w:jc w:val="center"/>
            </w:pPr>
            <w:r>
              <w:rPr>
                <w:rFonts w:ascii="Times New Roman" w:hAnsi="Times New Roman"/>
                <w:b w:val="0"/>
                <w:sz w:val="20"/>
              </w:rPr>
              <w:t>0.511</w:t>
            </w:r>
          </w:p>
        </w:tc>
        <w:tc>
          <w:tcPr>
            <w:tcW w:type="dxa" w:w="1728"/>
          </w:tcPr>
          <w:p>
            <w:pPr>
              <w:spacing w:after="40" w:before="40"/>
              <w:jc w:val="center"/>
            </w:pPr>
            <w:r>
              <w:rPr>
                <w:rFonts w:ascii="Times New Roman" w:hAnsi="Times New Roman"/>
                <w:b w:val="0"/>
                <w:sz w:val="20"/>
              </w:rPr>
              <w:t>0.493</w:t>
            </w:r>
          </w:p>
        </w:tc>
        <w:tc>
          <w:tcPr>
            <w:tcW w:type="dxa" w:w="1728"/>
          </w:tcPr>
          <w:p>
            <w:pPr>
              <w:spacing w:after="40" w:before="40"/>
              <w:jc w:val="center"/>
            </w:pPr>
            <w:r>
              <w:rPr>
                <w:rFonts w:ascii="Times New Roman" w:hAnsi="Times New Roman"/>
                <w:b w:val="0"/>
                <w:sz w:val="20"/>
              </w:rPr>
              <w:t>0.784</w:t>
            </w:r>
          </w:p>
        </w:tc>
        <w:tc>
          <w:tcPr>
            <w:tcW w:type="dxa" w:w="1728"/>
          </w:tcPr>
          <w:p>
            <w:pPr>
              <w:spacing w:after="40" w:before="40"/>
              <w:jc w:val="center"/>
            </w:pPr>
            <w:r>
              <w:rPr>
                <w:rFonts w:ascii="Times New Roman" w:hAnsi="Times New Roman"/>
                <w:b w:val="0"/>
                <w:sz w:val="20"/>
              </w:rPr>
              <w:t>0.759</w:t>
            </w:r>
          </w:p>
        </w:tc>
      </w:tr>
    </w:tbl>
    <w:p>
      <w:pPr>
        <w:spacing w:before="120"/>
        <w:jc w:val="center"/>
      </w:pPr>
      <w:r>
        <w:drawing>
          <wp:inline xmlns:a="http://schemas.openxmlformats.org/drawingml/2006/main" xmlns:pic="http://schemas.openxmlformats.org/drawingml/2006/picture">
            <wp:extent cx="5760720" cy="2069443"/>
            <wp:docPr id="10" name="Picture 10"/>
            <wp:cNvGraphicFramePr>
              <a:graphicFrameLocks noChangeAspect="1"/>
            </wp:cNvGraphicFramePr>
            <a:graphic>
              <a:graphicData uri="http://schemas.openxmlformats.org/drawingml/2006/picture">
                <pic:pic>
                  <pic:nvPicPr>
                    <pic:cNvPr id="0" name="Fig11_fsqca_necessity.png"/>
                    <pic:cNvPicPr/>
                  </pic:nvPicPr>
                  <pic:blipFill>
                    <a:blip r:embed="rId18"/>
                    <a:stretch>
                      <a:fillRect/>
                    </a:stretch>
                  </pic:blipFill>
                  <pic:spPr>
                    <a:xfrm>
                      <a:off x="0" y="0"/>
                      <a:ext cx="5760720" cy="2069443"/>
                    </a:xfrm>
                    <a:prstGeom prst="rect"/>
                  </pic:spPr>
                </pic:pic>
              </a:graphicData>
            </a:graphic>
          </wp:inline>
        </w:drawing>
      </w:r>
    </w:p>
    <w:p>
      <w:pPr>
        <w:spacing w:after="240"/>
        <w:jc w:val="center"/>
      </w:pPr>
      <w:r>
        <w:rPr>
          <w:rFonts w:ascii="Times New Roman" w:hAnsi="Times New Roman"/>
          <w:i/>
          <w:sz w:val="22"/>
        </w:rPr>
        <w:t>Figure 11. fsQCA necessity XY plots (no condition reaches the 0.90 necessity threshold).</w:t>
      </w:r>
    </w:p>
    <w:p>
      <w:pPr>
        <w:pStyle w:val="Heading2"/>
      </w:pPr>
      <w:r>
        <w:rPr>
          <w:rFonts w:ascii="Times New Roman" w:hAnsi="Times New Roman"/>
          <w:color w:val="000000"/>
        </w:rPr>
        <w:t>4.3 Analysis of sufficient configurations</w:t>
      </w:r>
    </w:p>
    <w:p>
      <w:pPr>
        <w:spacing w:after="160"/>
        <w:jc w:val="both"/>
      </w:pPr>
      <w:r>
        <w:rPr>
          <w:rFonts w:ascii="Times New Roman" w:hAnsi="Times New Roman"/>
          <w:i w:val="0"/>
          <w:sz w:val="24"/>
        </w:rPr>
        <w:t>A truth table was constructed over the 2³ = 8 corners of the vector space. Rows were coded as sufficient using a frequency threshold of 4 (all rows exceeded this; total retained cases = 312), a raw-consistency threshold of 0.80, and a PRI threshold of 0.70 (Greckhamer et al., 2018). The truth table is summarized in Table 12 and Figure 12.</w:t>
      </w:r>
    </w:p>
    <w:p>
      <w:pPr>
        <w:spacing w:after="80"/>
      </w:pPr>
      <w:r>
        <w:rPr>
          <w:rFonts w:ascii="Times New Roman" w:hAnsi="Times New Roman"/>
          <w:b/>
          <w:sz w:val="22"/>
        </w:rPr>
        <w:t>Table 12. Truth table (sorted by raw consistency).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DDDDD"/>
          </w:tcPr>
          <w:p>
            <w:pPr>
              <w:spacing w:after="40" w:before="40"/>
              <w:jc w:val="center"/>
            </w:pPr>
            <w:r>
              <w:rPr>
                <w:rFonts w:ascii="Times New Roman" w:hAnsi="Times New Roman"/>
                <w:b/>
                <w:sz w:val="20"/>
              </w:rPr>
              <w:t>UE</w:t>
            </w:r>
          </w:p>
        </w:tc>
        <w:tc>
          <w:tcPr>
            <w:tcW w:type="dxa" w:w="1234"/>
            <w:shd w:val="clear" w:color="auto" w:fill="DDDDDD"/>
          </w:tcPr>
          <w:p>
            <w:pPr>
              <w:spacing w:after="40" w:before="40"/>
              <w:jc w:val="center"/>
            </w:pPr>
            <w:r>
              <w:rPr>
                <w:rFonts w:ascii="Times New Roman" w:hAnsi="Times New Roman"/>
                <w:b/>
                <w:sz w:val="20"/>
              </w:rPr>
              <w:t>UX</w:t>
            </w:r>
          </w:p>
        </w:tc>
        <w:tc>
          <w:tcPr>
            <w:tcW w:type="dxa" w:w="1234"/>
            <w:shd w:val="clear" w:color="auto" w:fill="DDDDDD"/>
          </w:tcPr>
          <w:p>
            <w:pPr>
              <w:spacing w:after="40" w:before="40"/>
              <w:jc w:val="center"/>
            </w:pPr>
            <w:r>
              <w:rPr>
                <w:rFonts w:ascii="Times New Roman" w:hAnsi="Times New Roman"/>
                <w:b/>
                <w:sz w:val="20"/>
              </w:rPr>
              <w:t>BSAT</w:t>
            </w:r>
          </w:p>
        </w:tc>
        <w:tc>
          <w:tcPr>
            <w:tcW w:type="dxa" w:w="1234"/>
            <w:shd w:val="clear" w:color="auto" w:fill="DDDDDD"/>
          </w:tcPr>
          <w:p>
            <w:pPr>
              <w:spacing w:after="40" w:before="40"/>
              <w:jc w:val="center"/>
            </w:pPr>
            <w:r>
              <w:rPr>
                <w:rFonts w:ascii="Times New Roman" w:hAnsi="Times New Roman"/>
                <w:b/>
                <w:sz w:val="20"/>
              </w:rPr>
              <w:t>n cases</w:t>
            </w:r>
          </w:p>
        </w:tc>
        <w:tc>
          <w:tcPr>
            <w:tcW w:type="dxa" w:w="1234"/>
            <w:shd w:val="clear" w:color="auto" w:fill="DDDDDD"/>
          </w:tcPr>
          <w:p>
            <w:pPr>
              <w:spacing w:after="40" w:before="40"/>
              <w:jc w:val="center"/>
            </w:pPr>
            <w:r>
              <w:rPr>
                <w:rFonts w:ascii="Times New Roman" w:hAnsi="Times New Roman"/>
                <w:b/>
                <w:sz w:val="20"/>
              </w:rPr>
              <w:t>Raw cons.</w:t>
            </w:r>
          </w:p>
        </w:tc>
        <w:tc>
          <w:tcPr>
            <w:tcW w:type="dxa" w:w="1234"/>
            <w:shd w:val="clear" w:color="auto" w:fill="DDDDDD"/>
          </w:tcPr>
          <w:p>
            <w:pPr>
              <w:spacing w:after="40" w:before="40"/>
              <w:jc w:val="center"/>
            </w:pPr>
            <w:r>
              <w:rPr>
                <w:rFonts w:ascii="Times New Roman" w:hAnsi="Times New Roman"/>
                <w:b/>
                <w:sz w:val="20"/>
              </w:rPr>
              <w:t>PRI</w:t>
            </w:r>
          </w:p>
        </w:tc>
        <w:tc>
          <w:tcPr>
            <w:tcW w:type="dxa" w:w="1234"/>
            <w:shd w:val="clear" w:color="auto" w:fill="DDDDDD"/>
          </w:tcPr>
          <w:p>
            <w:pPr>
              <w:spacing w:after="40" w:before="40"/>
              <w:jc w:val="center"/>
            </w:pPr>
            <w:r>
              <w:rPr>
                <w:rFonts w:ascii="Times New Roman" w:hAnsi="Times New Roman"/>
                <w:b/>
                <w:sz w:val="20"/>
              </w:rPr>
              <w:t>Sufficient?</w:t>
            </w:r>
          </w:p>
        </w:tc>
      </w:tr>
      <w:tr>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19</w:t>
            </w:r>
          </w:p>
        </w:tc>
        <w:tc>
          <w:tcPr>
            <w:tcW w:type="dxa" w:w="1234"/>
          </w:tcPr>
          <w:p>
            <w:pPr>
              <w:spacing w:after="40" w:before="40"/>
              <w:jc w:val="center"/>
            </w:pPr>
            <w:r>
              <w:rPr>
                <w:rFonts w:ascii="Times New Roman" w:hAnsi="Times New Roman"/>
                <w:b w:val="0"/>
                <w:sz w:val="20"/>
              </w:rPr>
              <w:t>0.883</w:t>
            </w:r>
          </w:p>
        </w:tc>
        <w:tc>
          <w:tcPr>
            <w:tcW w:type="dxa" w:w="1234"/>
          </w:tcPr>
          <w:p>
            <w:pPr>
              <w:spacing w:after="40" w:before="40"/>
              <w:jc w:val="center"/>
            </w:pPr>
            <w:r>
              <w:rPr>
                <w:rFonts w:ascii="Times New Roman" w:hAnsi="Times New Roman"/>
                <w:b w:val="0"/>
                <w:sz w:val="20"/>
              </w:rPr>
              <w:t>0.698</w:t>
            </w:r>
          </w:p>
        </w:tc>
        <w:tc>
          <w:tcPr>
            <w:tcW w:type="dxa" w:w="1234"/>
          </w:tcPr>
          <w:p>
            <w:pPr>
              <w:spacing w:after="40" w:before="40"/>
              <w:jc w:val="center"/>
            </w:pPr>
            <w:r>
              <w:rPr>
                <w:rFonts w:ascii="Times New Roman" w:hAnsi="Times New Roman"/>
                <w:b w:val="0"/>
                <w:sz w:val="20"/>
              </w:rPr>
              <w:t>No (PRI &lt; 0.70)</w:t>
            </w:r>
          </w:p>
        </w:tc>
      </w:tr>
      <w:tr>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74</w:t>
            </w:r>
          </w:p>
        </w:tc>
        <w:tc>
          <w:tcPr>
            <w:tcW w:type="dxa" w:w="1234"/>
          </w:tcPr>
          <w:p>
            <w:pPr>
              <w:spacing w:after="40" w:before="40"/>
              <w:jc w:val="center"/>
            </w:pPr>
            <w:r>
              <w:rPr>
                <w:rFonts w:ascii="Times New Roman" w:hAnsi="Times New Roman"/>
                <w:b w:val="0"/>
                <w:sz w:val="20"/>
              </w:rPr>
              <w:t>0.857</w:t>
            </w:r>
          </w:p>
        </w:tc>
        <w:tc>
          <w:tcPr>
            <w:tcW w:type="dxa" w:w="1234"/>
          </w:tcPr>
          <w:p>
            <w:pPr>
              <w:spacing w:after="40" w:before="40"/>
              <w:jc w:val="center"/>
            </w:pPr>
            <w:r>
              <w:rPr>
                <w:rFonts w:ascii="Times New Roman" w:hAnsi="Times New Roman"/>
                <w:b w:val="0"/>
                <w:sz w:val="20"/>
              </w:rPr>
              <w:t>0.737</w:t>
            </w:r>
          </w:p>
        </w:tc>
        <w:tc>
          <w:tcPr>
            <w:tcW w:type="dxa" w:w="1234"/>
          </w:tcPr>
          <w:p>
            <w:pPr>
              <w:spacing w:after="40" w:before="40"/>
              <w:jc w:val="center"/>
            </w:pPr>
            <w:r>
              <w:rPr>
                <w:rFonts w:ascii="Times New Roman" w:hAnsi="Times New Roman"/>
                <w:b w:val="0"/>
                <w:sz w:val="20"/>
              </w:rPr>
              <w:t>Yes</w:t>
            </w:r>
          </w:p>
        </w:tc>
      </w:tr>
      <w:tr>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34</w:t>
            </w:r>
          </w:p>
        </w:tc>
        <w:tc>
          <w:tcPr>
            <w:tcW w:type="dxa" w:w="1234"/>
          </w:tcPr>
          <w:p>
            <w:pPr>
              <w:spacing w:after="40" w:before="40"/>
              <w:jc w:val="center"/>
            </w:pPr>
            <w:r>
              <w:rPr>
                <w:rFonts w:ascii="Times New Roman" w:hAnsi="Times New Roman"/>
                <w:b w:val="0"/>
                <w:sz w:val="20"/>
              </w:rPr>
              <w:t>0.853</w:t>
            </w:r>
          </w:p>
        </w:tc>
        <w:tc>
          <w:tcPr>
            <w:tcW w:type="dxa" w:w="1234"/>
          </w:tcPr>
          <w:p>
            <w:pPr>
              <w:spacing w:after="40" w:before="40"/>
              <w:jc w:val="center"/>
            </w:pPr>
            <w:r>
              <w:rPr>
                <w:rFonts w:ascii="Times New Roman" w:hAnsi="Times New Roman"/>
                <w:b w:val="0"/>
                <w:sz w:val="20"/>
              </w:rPr>
              <w:t>0.664</w:t>
            </w:r>
          </w:p>
        </w:tc>
        <w:tc>
          <w:tcPr>
            <w:tcW w:type="dxa" w:w="1234"/>
          </w:tcPr>
          <w:p>
            <w:pPr>
              <w:spacing w:after="40" w:before="40"/>
              <w:jc w:val="center"/>
            </w:pPr>
            <w:r>
              <w:rPr>
                <w:rFonts w:ascii="Times New Roman" w:hAnsi="Times New Roman"/>
                <w:b w:val="0"/>
                <w:sz w:val="20"/>
              </w:rPr>
              <w:t>No</w:t>
            </w:r>
          </w:p>
        </w:tc>
      </w:tr>
      <w:tr>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30</w:t>
            </w:r>
          </w:p>
        </w:tc>
        <w:tc>
          <w:tcPr>
            <w:tcW w:type="dxa" w:w="1234"/>
          </w:tcPr>
          <w:p>
            <w:pPr>
              <w:spacing w:after="40" w:before="40"/>
              <w:jc w:val="center"/>
            </w:pPr>
            <w:r>
              <w:rPr>
                <w:rFonts w:ascii="Times New Roman" w:hAnsi="Times New Roman"/>
                <w:b w:val="0"/>
                <w:sz w:val="20"/>
              </w:rPr>
              <w:t>0.817</w:t>
            </w:r>
          </w:p>
        </w:tc>
        <w:tc>
          <w:tcPr>
            <w:tcW w:type="dxa" w:w="1234"/>
          </w:tcPr>
          <w:p>
            <w:pPr>
              <w:spacing w:after="40" w:before="40"/>
              <w:jc w:val="center"/>
            </w:pPr>
            <w:r>
              <w:rPr>
                <w:rFonts w:ascii="Times New Roman" w:hAnsi="Times New Roman"/>
                <w:b w:val="0"/>
                <w:sz w:val="20"/>
              </w:rPr>
              <w:t>0.542</w:t>
            </w:r>
          </w:p>
        </w:tc>
        <w:tc>
          <w:tcPr>
            <w:tcW w:type="dxa" w:w="1234"/>
          </w:tcPr>
          <w:p>
            <w:pPr>
              <w:spacing w:after="40" w:before="40"/>
              <w:jc w:val="center"/>
            </w:pPr>
            <w:r>
              <w:rPr>
                <w:rFonts w:ascii="Times New Roman" w:hAnsi="Times New Roman"/>
                <w:b w:val="0"/>
                <w:sz w:val="20"/>
              </w:rPr>
              <w:t>No</w:t>
            </w:r>
          </w:p>
        </w:tc>
      </w:tr>
      <w:tr>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27</w:t>
            </w:r>
          </w:p>
        </w:tc>
        <w:tc>
          <w:tcPr>
            <w:tcW w:type="dxa" w:w="1234"/>
          </w:tcPr>
          <w:p>
            <w:pPr>
              <w:spacing w:after="40" w:before="40"/>
              <w:jc w:val="center"/>
            </w:pPr>
            <w:r>
              <w:rPr>
                <w:rFonts w:ascii="Times New Roman" w:hAnsi="Times New Roman"/>
                <w:b w:val="0"/>
                <w:sz w:val="20"/>
              </w:rPr>
              <w:t>0.764</w:t>
            </w:r>
          </w:p>
        </w:tc>
        <w:tc>
          <w:tcPr>
            <w:tcW w:type="dxa" w:w="1234"/>
          </w:tcPr>
          <w:p>
            <w:pPr>
              <w:spacing w:after="40" w:before="40"/>
              <w:jc w:val="center"/>
            </w:pPr>
            <w:r>
              <w:rPr>
                <w:rFonts w:ascii="Times New Roman" w:hAnsi="Times New Roman"/>
                <w:b w:val="0"/>
                <w:sz w:val="20"/>
              </w:rPr>
              <w:t>0.443</w:t>
            </w:r>
          </w:p>
        </w:tc>
        <w:tc>
          <w:tcPr>
            <w:tcW w:type="dxa" w:w="1234"/>
          </w:tcPr>
          <w:p>
            <w:pPr>
              <w:spacing w:after="40" w:before="40"/>
              <w:jc w:val="center"/>
            </w:pPr>
            <w:r>
              <w:rPr>
                <w:rFonts w:ascii="Times New Roman" w:hAnsi="Times New Roman"/>
                <w:b w:val="0"/>
                <w:sz w:val="20"/>
              </w:rPr>
              <w:t>No</w:t>
            </w:r>
          </w:p>
        </w:tc>
      </w:tr>
      <w:tr>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26</w:t>
            </w:r>
          </w:p>
        </w:tc>
        <w:tc>
          <w:tcPr>
            <w:tcW w:type="dxa" w:w="1234"/>
          </w:tcPr>
          <w:p>
            <w:pPr>
              <w:spacing w:after="40" w:before="40"/>
              <w:jc w:val="center"/>
            </w:pPr>
            <w:r>
              <w:rPr>
                <w:rFonts w:ascii="Times New Roman" w:hAnsi="Times New Roman"/>
                <w:b w:val="0"/>
                <w:sz w:val="20"/>
              </w:rPr>
              <w:t>0.744</w:t>
            </w:r>
          </w:p>
        </w:tc>
        <w:tc>
          <w:tcPr>
            <w:tcW w:type="dxa" w:w="1234"/>
          </w:tcPr>
          <w:p>
            <w:pPr>
              <w:spacing w:after="40" w:before="40"/>
              <w:jc w:val="center"/>
            </w:pPr>
            <w:r>
              <w:rPr>
                <w:rFonts w:ascii="Times New Roman" w:hAnsi="Times New Roman"/>
                <w:b w:val="0"/>
                <w:sz w:val="20"/>
              </w:rPr>
              <w:t>0.366</w:t>
            </w:r>
          </w:p>
        </w:tc>
        <w:tc>
          <w:tcPr>
            <w:tcW w:type="dxa" w:w="1234"/>
          </w:tcPr>
          <w:p>
            <w:pPr>
              <w:spacing w:after="40" w:before="40"/>
              <w:jc w:val="center"/>
            </w:pPr>
            <w:r>
              <w:rPr>
                <w:rFonts w:ascii="Times New Roman" w:hAnsi="Times New Roman"/>
                <w:b w:val="0"/>
                <w:sz w:val="20"/>
              </w:rPr>
              <w:t>No</w:t>
            </w:r>
          </w:p>
        </w:tc>
      </w:tr>
      <w:tr>
        <w:tc>
          <w:tcPr>
            <w:tcW w:type="dxa" w:w="1234"/>
          </w:tcPr>
          <w:p>
            <w:pPr>
              <w:spacing w:after="40" w:before="40"/>
              <w:jc w:val="center"/>
            </w:pPr>
            <w:r>
              <w:rPr>
                <w:rFonts w:ascii="Times New Roman" w:hAnsi="Times New Roman"/>
                <w:b w:val="0"/>
                <w:sz w:val="20"/>
              </w:rPr>
              <w:t>1</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36</w:t>
            </w:r>
          </w:p>
        </w:tc>
        <w:tc>
          <w:tcPr>
            <w:tcW w:type="dxa" w:w="1234"/>
          </w:tcPr>
          <w:p>
            <w:pPr>
              <w:spacing w:after="40" w:before="40"/>
              <w:jc w:val="center"/>
            </w:pPr>
            <w:r>
              <w:rPr>
                <w:rFonts w:ascii="Times New Roman" w:hAnsi="Times New Roman"/>
                <w:b w:val="0"/>
                <w:sz w:val="20"/>
              </w:rPr>
              <w:t>0.687</w:t>
            </w:r>
          </w:p>
        </w:tc>
        <w:tc>
          <w:tcPr>
            <w:tcW w:type="dxa" w:w="1234"/>
          </w:tcPr>
          <w:p>
            <w:pPr>
              <w:spacing w:after="40" w:before="40"/>
              <w:jc w:val="center"/>
            </w:pPr>
            <w:r>
              <w:rPr>
                <w:rFonts w:ascii="Times New Roman" w:hAnsi="Times New Roman"/>
                <w:b w:val="0"/>
                <w:sz w:val="20"/>
              </w:rPr>
              <w:t>0.303</w:t>
            </w:r>
          </w:p>
        </w:tc>
        <w:tc>
          <w:tcPr>
            <w:tcW w:type="dxa" w:w="1234"/>
          </w:tcPr>
          <w:p>
            <w:pPr>
              <w:spacing w:after="40" w:before="40"/>
              <w:jc w:val="center"/>
            </w:pPr>
            <w:r>
              <w:rPr>
                <w:rFonts w:ascii="Times New Roman" w:hAnsi="Times New Roman"/>
                <w:b w:val="0"/>
                <w:sz w:val="20"/>
              </w:rPr>
              <w:t>No</w:t>
            </w:r>
          </w:p>
        </w:tc>
      </w:tr>
      <w:tr>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0</w:t>
            </w:r>
          </w:p>
        </w:tc>
        <w:tc>
          <w:tcPr>
            <w:tcW w:type="dxa" w:w="1234"/>
          </w:tcPr>
          <w:p>
            <w:pPr>
              <w:spacing w:after="40" w:before="40"/>
              <w:jc w:val="center"/>
            </w:pPr>
            <w:r>
              <w:rPr>
                <w:rFonts w:ascii="Times New Roman" w:hAnsi="Times New Roman"/>
                <w:b w:val="0"/>
                <w:sz w:val="20"/>
              </w:rPr>
              <w:t>66</w:t>
            </w:r>
          </w:p>
        </w:tc>
        <w:tc>
          <w:tcPr>
            <w:tcW w:type="dxa" w:w="1234"/>
          </w:tcPr>
          <w:p>
            <w:pPr>
              <w:spacing w:after="40" w:before="40"/>
              <w:jc w:val="center"/>
            </w:pPr>
            <w:r>
              <w:rPr>
                <w:rFonts w:ascii="Times New Roman" w:hAnsi="Times New Roman"/>
                <w:b w:val="0"/>
                <w:sz w:val="20"/>
              </w:rPr>
              <w:t>0.570</w:t>
            </w:r>
          </w:p>
        </w:tc>
        <w:tc>
          <w:tcPr>
            <w:tcW w:type="dxa" w:w="1234"/>
          </w:tcPr>
          <w:p>
            <w:pPr>
              <w:spacing w:after="40" w:before="40"/>
              <w:jc w:val="center"/>
            </w:pPr>
            <w:r>
              <w:rPr>
                <w:rFonts w:ascii="Times New Roman" w:hAnsi="Times New Roman"/>
                <w:b w:val="0"/>
                <w:sz w:val="20"/>
              </w:rPr>
              <w:t>0.190</w:t>
            </w:r>
          </w:p>
        </w:tc>
        <w:tc>
          <w:tcPr>
            <w:tcW w:type="dxa" w:w="1234"/>
          </w:tcPr>
          <w:p>
            <w:pPr>
              <w:spacing w:after="40" w:before="40"/>
              <w:jc w:val="center"/>
            </w:pPr>
            <w:r>
              <w:rPr>
                <w:rFonts w:ascii="Times New Roman" w:hAnsi="Times New Roman"/>
                <w:b w:val="0"/>
                <w:sz w:val="20"/>
              </w:rPr>
              <w:t>No</w:t>
            </w:r>
          </w:p>
        </w:tc>
      </w:tr>
    </w:tbl>
    <w:p>
      <w:pPr>
        <w:spacing w:after="160"/>
        <w:jc w:val="both"/>
      </w:pPr>
      <w:r>
        <w:rPr>
          <w:rFonts w:ascii="Times New Roman" w:hAnsi="Times New Roman"/>
          <w:i w:val="0"/>
          <w:sz w:val="24"/>
        </w:rPr>
        <w:t>The Quine–McCluskey minimisation returns a single sufficient configuration; the complex, parsimonious and intermediate solutions coincide (Table 13). All three conditions appear and—because retained in both the parsimonious and intermediate solution—each is a core condition (Fiss, 2011). High brand-system continuance arises when engagement, experience and satisfaction are all simultaneously high (solution coverage = 0.497, consistency = 0.857). The corner UE·~UX·BSAT had the highest raw consistency (0.883) but was correctly excluded because its PRI (0.698) fell below 0.70.</w:t>
      </w:r>
    </w:p>
    <w:p>
      <w:pPr>
        <w:spacing w:after="80"/>
      </w:pPr>
      <w:r>
        <w:rPr>
          <w:rFonts w:ascii="Times New Roman" w:hAnsi="Times New Roman"/>
          <w:b/>
          <w:sz w:val="22"/>
        </w:rPr>
        <w:t>Table 13. Sufficient configuration for high BSUC (Fiss notation).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DDDDD"/>
          </w:tcPr>
          <w:p>
            <w:pPr>
              <w:spacing w:after="40" w:before="40"/>
              <w:jc w:val="center"/>
            </w:pPr>
            <w:r>
              <w:rPr>
                <w:rFonts w:ascii="Times New Roman" w:hAnsi="Times New Roman"/>
                <w:b/>
                <w:sz w:val="22"/>
              </w:rPr>
              <w:t>Configuration</w:t>
            </w:r>
          </w:p>
        </w:tc>
        <w:tc>
          <w:tcPr>
            <w:tcW w:type="dxa" w:w="1234"/>
            <w:shd w:val="clear" w:color="auto" w:fill="DDDDDD"/>
          </w:tcPr>
          <w:p>
            <w:pPr>
              <w:spacing w:after="40" w:before="40"/>
              <w:jc w:val="center"/>
            </w:pPr>
            <w:r>
              <w:rPr>
                <w:rFonts w:ascii="Times New Roman" w:hAnsi="Times New Roman"/>
                <w:b/>
                <w:sz w:val="22"/>
              </w:rPr>
              <w:t>UE</w:t>
            </w:r>
          </w:p>
        </w:tc>
        <w:tc>
          <w:tcPr>
            <w:tcW w:type="dxa" w:w="1234"/>
            <w:shd w:val="clear" w:color="auto" w:fill="DDDDDD"/>
          </w:tcPr>
          <w:p>
            <w:pPr>
              <w:spacing w:after="40" w:before="40"/>
              <w:jc w:val="center"/>
            </w:pPr>
            <w:r>
              <w:rPr>
                <w:rFonts w:ascii="Times New Roman" w:hAnsi="Times New Roman"/>
                <w:b/>
                <w:sz w:val="22"/>
              </w:rPr>
              <w:t>UX</w:t>
            </w:r>
          </w:p>
        </w:tc>
        <w:tc>
          <w:tcPr>
            <w:tcW w:type="dxa" w:w="1234"/>
            <w:shd w:val="clear" w:color="auto" w:fill="DDDDDD"/>
          </w:tcPr>
          <w:p>
            <w:pPr>
              <w:spacing w:after="40" w:before="40"/>
              <w:jc w:val="center"/>
            </w:pPr>
            <w:r>
              <w:rPr>
                <w:rFonts w:ascii="Times New Roman" w:hAnsi="Times New Roman"/>
                <w:b/>
                <w:sz w:val="22"/>
              </w:rPr>
              <w:t>BSAT</w:t>
            </w:r>
          </w:p>
        </w:tc>
        <w:tc>
          <w:tcPr>
            <w:tcW w:type="dxa" w:w="1234"/>
            <w:shd w:val="clear" w:color="auto" w:fill="DDDDDD"/>
          </w:tcPr>
          <w:p>
            <w:pPr>
              <w:spacing w:after="40" w:before="40"/>
              <w:jc w:val="center"/>
            </w:pPr>
            <w:r>
              <w:rPr>
                <w:rFonts w:ascii="Times New Roman" w:hAnsi="Times New Roman"/>
                <w:b/>
                <w:sz w:val="22"/>
              </w:rPr>
              <w:t>Raw cov.</w:t>
            </w:r>
          </w:p>
        </w:tc>
        <w:tc>
          <w:tcPr>
            <w:tcW w:type="dxa" w:w="1234"/>
            <w:shd w:val="clear" w:color="auto" w:fill="DDDDDD"/>
          </w:tcPr>
          <w:p>
            <w:pPr>
              <w:spacing w:after="40" w:before="40"/>
              <w:jc w:val="center"/>
            </w:pPr>
            <w:r>
              <w:rPr>
                <w:rFonts w:ascii="Times New Roman" w:hAnsi="Times New Roman"/>
                <w:b/>
                <w:sz w:val="22"/>
              </w:rPr>
              <w:t>Unique cov.</w:t>
            </w:r>
          </w:p>
        </w:tc>
        <w:tc>
          <w:tcPr>
            <w:tcW w:type="dxa" w:w="1234"/>
            <w:shd w:val="clear" w:color="auto" w:fill="DDDDDD"/>
          </w:tcPr>
          <w:p>
            <w:pPr>
              <w:spacing w:after="40" w:before="40"/>
              <w:jc w:val="center"/>
            </w:pPr>
            <w:r>
              <w:rPr>
                <w:rFonts w:ascii="Times New Roman" w:hAnsi="Times New Roman"/>
                <w:b/>
                <w:sz w:val="22"/>
              </w:rPr>
              <w:t>Consistency</w:t>
            </w:r>
          </w:p>
        </w:tc>
      </w:tr>
      <w:tr>
        <w:tc>
          <w:tcPr>
            <w:tcW w:type="dxa" w:w="1234"/>
          </w:tcPr>
          <w:p>
            <w:pPr>
              <w:spacing w:after="40" w:before="40"/>
              <w:jc w:val="center"/>
            </w:pPr>
            <w:r>
              <w:rPr>
                <w:rFonts w:ascii="Times New Roman" w:hAnsi="Times New Roman"/>
                <w:b w:val="0"/>
                <w:sz w:val="22"/>
              </w:rPr>
              <w:t>C1</w:t>
            </w:r>
          </w:p>
        </w:tc>
        <w:tc>
          <w:tcPr>
            <w:tcW w:type="dxa" w:w="1234"/>
          </w:tcPr>
          <w:p>
            <w:pPr>
              <w:spacing w:after="40" w:before="40"/>
              <w:jc w:val="center"/>
            </w:pPr>
            <w:r>
              <w:rPr>
                <w:rFonts w:ascii="Times New Roman" w:hAnsi="Times New Roman"/>
                <w:b w:val="0"/>
                <w:sz w:val="22"/>
              </w:rPr>
              <w:t>● core</w:t>
            </w:r>
          </w:p>
        </w:tc>
        <w:tc>
          <w:tcPr>
            <w:tcW w:type="dxa" w:w="1234"/>
          </w:tcPr>
          <w:p>
            <w:pPr>
              <w:spacing w:after="40" w:before="40"/>
              <w:jc w:val="center"/>
            </w:pPr>
            <w:r>
              <w:rPr>
                <w:rFonts w:ascii="Times New Roman" w:hAnsi="Times New Roman"/>
                <w:b w:val="0"/>
                <w:sz w:val="22"/>
              </w:rPr>
              <w:t>● core</w:t>
            </w:r>
          </w:p>
        </w:tc>
        <w:tc>
          <w:tcPr>
            <w:tcW w:type="dxa" w:w="1234"/>
          </w:tcPr>
          <w:p>
            <w:pPr>
              <w:spacing w:after="40" w:before="40"/>
              <w:jc w:val="center"/>
            </w:pPr>
            <w:r>
              <w:rPr>
                <w:rFonts w:ascii="Times New Roman" w:hAnsi="Times New Roman"/>
                <w:b w:val="0"/>
                <w:sz w:val="22"/>
              </w:rPr>
              <w:t>● core</w:t>
            </w:r>
          </w:p>
        </w:tc>
        <w:tc>
          <w:tcPr>
            <w:tcW w:type="dxa" w:w="1234"/>
          </w:tcPr>
          <w:p>
            <w:pPr>
              <w:spacing w:after="40" w:before="40"/>
              <w:jc w:val="center"/>
            </w:pPr>
            <w:r>
              <w:rPr>
                <w:rFonts w:ascii="Times New Roman" w:hAnsi="Times New Roman"/>
                <w:b w:val="0"/>
                <w:sz w:val="22"/>
              </w:rPr>
              <w:t>0.497</w:t>
            </w:r>
          </w:p>
        </w:tc>
        <w:tc>
          <w:tcPr>
            <w:tcW w:type="dxa" w:w="1234"/>
          </w:tcPr>
          <w:p>
            <w:pPr>
              <w:spacing w:after="40" w:before="40"/>
              <w:jc w:val="center"/>
            </w:pPr>
            <w:r>
              <w:rPr>
                <w:rFonts w:ascii="Times New Roman" w:hAnsi="Times New Roman"/>
                <w:b w:val="0"/>
                <w:sz w:val="22"/>
              </w:rPr>
              <w:t>0.497</w:t>
            </w:r>
          </w:p>
        </w:tc>
        <w:tc>
          <w:tcPr>
            <w:tcW w:type="dxa" w:w="1234"/>
          </w:tcPr>
          <w:p>
            <w:pPr>
              <w:spacing w:after="40" w:before="40"/>
              <w:jc w:val="center"/>
            </w:pPr>
            <w:r>
              <w:rPr>
                <w:rFonts w:ascii="Times New Roman" w:hAnsi="Times New Roman"/>
                <w:b w:val="0"/>
                <w:sz w:val="22"/>
              </w:rPr>
              <w:t>0.857</w:t>
            </w:r>
          </w:p>
        </w:tc>
      </w:tr>
      <w:tr>
        <w:tc>
          <w:tcPr>
            <w:tcW w:type="dxa" w:w="1234"/>
          </w:tcPr>
          <w:p>
            <w:pPr>
              <w:spacing w:after="40" w:before="40"/>
              <w:jc w:val="center"/>
            </w:pPr>
            <w:r>
              <w:rPr>
                <w:rFonts w:ascii="Times New Roman" w:hAnsi="Times New Roman"/>
                <w:b w:val="0"/>
                <w:sz w:val="22"/>
              </w:rPr>
              <w:t>Solution</w:t>
            </w:r>
          </w:p>
        </w:tc>
        <w:tc>
          <w:tcPr>
            <w:tcW w:type="dxa" w:w="1234"/>
          </w:tcPr>
          <w:p>
            <w:pPr>
              <w:spacing w:after="40" w:before="40"/>
              <w:jc w:val="center"/>
            </w:pPr>
            <w:r>
              <w:rPr>
                <w:rFonts w:ascii="Times New Roman" w:hAnsi="Times New Roman"/>
                <w:b w:val="0"/>
                <w:sz w:val="22"/>
              </w:rPr>
            </w:r>
          </w:p>
        </w:tc>
        <w:tc>
          <w:tcPr>
            <w:tcW w:type="dxa" w:w="1234"/>
          </w:tcPr>
          <w:p>
            <w:pPr>
              <w:spacing w:after="40" w:before="40"/>
              <w:jc w:val="center"/>
            </w:pPr>
            <w:r>
              <w:rPr>
                <w:rFonts w:ascii="Times New Roman" w:hAnsi="Times New Roman"/>
                <w:b w:val="0"/>
                <w:sz w:val="22"/>
              </w:rPr>
            </w:r>
          </w:p>
        </w:tc>
        <w:tc>
          <w:tcPr>
            <w:tcW w:type="dxa" w:w="1234"/>
          </w:tcPr>
          <w:p>
            <w:pPr>
              <w:spacing w:after="40" w:before="40"/>
              <w:jc w:val="center"/>
            </w:pPr>
            <w:r>
              <w:rPr>
                <w:rFonts w:ascii="Times New Roman" w:hAnsi="Times New Roman"/>
                <w:b w:val="0"/>
                <w:sz w:val="22"/>
              </w:rPr>
            </w:r>
          </w:p>
        </w:tc>
        <w:tc>
          <w:tcPr>
            <w:tcW w:type="dxa" w:w="1234"/>
          </w:tcPr>
          <w:p>
            <w:pPr>
              <w:spacing w:after="40" w:before="40"/>
              <w:jc w:val="center"/>
            </w:pPr>
            <w:r>
              <w:rPr>
                <w:rFonts w:ascii="Times New Roman" w:hAnsi="Times New Roman"/>
                <w:b w:val="0"/>
                <w:sz w:val="22"/>
              </w:rPr>
              <w:t>0.497</w:t>
            </w:r>
          </w:p>
        </w:tc>
        <w:tc>
          <w:tcPr>
            <w:tcW w:type="dxa" w:w="1234"/>
          </w:tcPr>
          <w:p>
            <w:pPr>
              <w:spacing w:after="40" w:before="40"/>
              <w:jc w:val="center"/>
            </w:pPr>
            <w:r>
              <w:rPr>
                <w:rFonts w:ascii="Times New Roman" w:hAnsi="Times New Roman"/>
                <w:b w:val="0"/>
                <w:sz w:val="22"/>
              </w:rPr>
            </w:r>
          </w:p>
        </w:tc>
        <w:tc>
          <w:tcPr>
            <w:tcW w:type="dxa" w:w="1234"/>
          </w:tcPr>
          <w:p>
            <w:pPr>
              <w:spacing w:after="40" w:before="40"/>
              <w:jc w:val="center"/>
            </w:pPr>
            <w:r>
              <w:rPr>
                <w:rFonts w:ascii="Times New Roman" w:hAnsi="Times New Roman"/>
                <w:b w:val="0"/>
                <w:sz w:val="22"/>
              </w:rPr>
              <w:t>0.857</w:t>
            </w:r>
          </w:p>
        </w:tc>
      </w:tr>
    </w:tbl>
    <w:p>
      <w:pPr>
        <w:spacing w:after="200"/>
      </w:pPr>
      <w:r>
        <w:rPr>
          <w:rFonts w:ascii="Times New Roman" w:hAnsi="Times New Roman"/>
          <w:i/>
          <w:sz w:val="20"/>
        </w:rPr>
        <w:t>● = core condition present.</w:t>
      </w:r>
    </w:p>
    <w:p>
      <w:pPr>
        <w:spacing w:before="120"/>
        <w:jc w:val="center"/>
      </w:pPr>
      <w:r>
        <w:drawing>
          <wp:inline xmlns:a="http://schemas.openxmlformats.org/drawingml/2006/main" xmlns:pic="http://schemas.openxmlformats.org/drawingml/2006/picture">
            <wp:extent cx="4389120" cy="4115507"/>
            <wp:docPr id="11" name="Picture 11"/>
            <wp:cNvGraphicFramePr>
              <a:graphicFrameLocks noChangeAspect="1"/>
            </wp:cNvGraphicFramePr>
            <a:graphic>
              <a:graphicData uri="http://schemas.openxmlformats.org/drawingml/2006/picture">
                <pic:pic>
                  <pic:nvPicPr>
                    <pic:cNvPr id="0" name="Fig10_fsqca_XY_sufficiency.png"/>
                    <pic:cNvPicPr/>
                  </pic:nvPicPr>
                  <pic:blipFill>
                    <a:blip r:embed="rId19"/>
                    <a:stretch>
                      <a:fillRect/>
                    </a:stretch>
                  </pic:blipFill>
                  <pic:spPr>
                    <a:xfrm>
                      <a:off x="0" y="0"/>
                      <a:ext cx="4389120" cy="4115507"/>
                    </a:xfrm>
                    <a:prstGeom prst="rect"/>
                  </pic:spPr>
                </pic:pic>
              </a:graphicData>
            </a:graphic>
          </wp:inline>
        </w:drawing>
      </w:r>
    </w:p>
    <w:p>
      <w:pPr>
        <w:spacing w:after="240"/>
        <w:jc w:val="center"/>
      </w:pPr>
      <w:r>
        <w:rPr>
          <w:rFonts w:ascii="Times New Roman" w:hAnsi="Times New Roman"/>
          <w:i/>
          <w:sz w:val="22"/>
        </w:rPr>
        <w:t>Figure 10. fsQCA sufficiency XY plot for the core configuration UE·UX·BSAT (consistency = 0.857, coverage = 0.497).</w:t>
      </w:r>
    </w:p>
    <w:p>
      <w:pPr>
        <w:spacing w:before="120"/>
        <w:jc w:val="center"/>
      </w:pPr>
      <w:r>
        <w:drawing>
          <wp:inline xmlns:a="http://schemas.openxmlformats.org/drawingml/2006/main" xmlns:pic="http://schemas.openxmlformats.org/drawingml/2006/picture">
            <wp:extent cx="5029200" cy="3151751"/>
            <wp:docPr id="12" name="Picture 12"/>
            <wp:cNvGraphicFramePr>
              <a:graphicFrameLocks noChangeAspect="1"/>
            </wp:cNvGraphicFramePr>
            <a:graphic>
              <a:graphicData uri="http://schemas.openxmlformats.org/drawingml/2006/picture">
                <pic:pic>
                  <pic:nvPicPr>
                    <pic:cNvPr id="0" name="Fig12_truth_table.png"/>
                    <pic:cNvPicPr/>
                  </pic:nvPicPr>
                  <pic:blipFill>
                    <a:blip r:embed="rId20"/>
                    <a:stretch>
                      <a:fillRect/>
                    </a:stretch>
                  </pic:blipFill>
                  <pic:spPr>
                    <a:xfrm>
                      <a:off x="0" y="0"/>
                      <a:ext cx="5029200" cy="3151751"/>
                    </a:xfrm>
                    <a:prstGeom prst="rect"/>
                  </pic:spPr>
                </pic:pic>
              </a:graphicData>
            </a:graphic>
          </wp:inline>
        </w:drawing>
      </w:r>
    </w:p>
    <w:p>
      <w:pPr>
        <w:spacing w:after="240"/>
        <w:jc w:val="center"/>
      </w:pPr>
      <w:r>
        <w:rPr>
          <w:rFonts w:ascii="Times New Roman" w:hAnsi="Times New Roman"/>
          <w:i/>
          <w:sz w:val="22"/>
        </w:rPr>
        <w:t>Figure 12. Truth-table configurations ranked by sufficiency consistency (green = coded sufficient for high BSUC).</w:t>
      </w:r>
    </w:p>
    <w:p>
      <w:pPr>
        <w:spacing w:after="160"/>
        <w:jc w:val="both"/>
      </w:pPr>
      <w:r>
        <w:rPr>
          <w:rFonts w:ascii="Times New Roman" w:hAnsi="Times New Roman"/>
          <w:i w:val="0"/>
          <w:sz w:val="24"/>
        </w:rPr>
        <w:t>To make the logic underlying the intermediate solution transparent, Table 13a reports the subset/superset analysis. Each row is a candidate sufficient term formed by the logical AND of the presence of the indicated conditions; less restrictive expressions (fewer conditions) are supersets and more restrictive ones (more conditions) are subsets. The analysis exhibits the canonical consistency–coverage trade-off: as conditions are added, consistency rises while coverage falls. The full conjunction UE · UX · BSAT attains the highest consistency (0.857) and satisfies both the 0.80 raw-consistency and 0.70 PRI thresholds, which is why it is retained; satisfaction alone (BSAT) has the highest coverage (0.751) but a PRI (0.661) below threshold, confirming that satisfaction is empirically important yet not, on its own, a trustworthy sufficient recipe.</w:t>
      </w:r>
    </w:p>
    <w:p>
      <w:pPr>
        <w:spacing w:after="80"/>
      </w:pPr>
      <w:r>
        <w:rPr>
          <w:rFonts w:ascii="Times New Roman" w:hAnsi="Times New Roman"/>
          <w:b/>
          <w:sz w:val="22"/>
        </w:rPr>
        <w:t>Table 13a. Intermediate solution — subset/superset analysis (outcome = high Brand Success, BSUC).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DDDD"/>
          </w:tcPr>
          <w:p>
            <w:pPr>
              <w:spacing w:after="40" w:before="40"/>
            </w:pPr>
            <w:r>
              <w:rPr>
                <w:rFonts w:ascii="Times New Roman" w:hAnsi="Times New Roman"/>
                <w:b/>
                <w:sz w:val="20"/>
              </w:rPr>
              <w:t>Combination</w:t>
            </w:r>
          </w:p>
        </w:tc>
        <w:tc>
          <w:tcPr>
            <w:tcW w:type="dxa" w:w="1728"/>
            <w:shd w:val="clear" w:color="auto" w:fill="DDDDDD"/>
          </w:tcPr>
          <w:p>
            <w:pPr>
              <w:spacing w:after="40" w:before="40"/>
              <w:jc w:val="center"/>
            </w:pPr>
            <w:r>
              <w:rPr>
                <w:rFonts w:ascii="Times New Roman" w:hAnsi="Times New Roman"/>
                <w:b/>
                <w:sz w:val="20"/>
              </w:rPr>
              <w:t># conditions</w:t>
            </w:r>
          </w:p>
        </w:tc>
        <w:tc>
          <w:tcPr>
            <w:tcW w:type="dxa" w:w="1728"/>
            <w:shd w:val="clear" w:color="auto" w:fill="DDDDDD"/>
          </w:tcPr>
          <w:p>
            <w:pPr>
              <w:spacing w:after="40" w:before="40"/>
              <w:jc w:val="center"/>
            </w:pPr>
            <w:r>
              <w:rPr>
                <w:rFonts w:ascii="Times New Roman" w:hAnsi="Times New Roman"/>
                <w:b/>
                <w:sz w:val="20"/>
              </w:rPr>
              <w:t>Raw consistency</w:t>
            </w:r>
          </w:p>
        </w:tc>
        <w:tc>
          <w:tcPr>
            <w:tcW w:type="dxa" w:w="1728"/>
            <w:shd w:val="clear" w:color="auto" w:fill="DDDDDD"/>
          </w:tcPr>
          <w:p>
            <w:pPr>
              <w:spacing w:after="40" w:before="40"/>
              <w:jc w:val="center"/>
            </w:pPr>
            <w:r>
              <w:rPr>
                <w:rFonts w:ascii="Times New Roman" w:hAnsi="Times New Roman"/>
                <w:b/>
                <w:sz w:val="20"/>
              </w:rPr>
              <w:t>PRI consistency</w:t>
            </w:r>
          </w:p>
        </w:tc>
        <w:tc>
          <w:tcPr>
            <w:tcW w:type="dxa" w:w="1728"/>
            <w:shd w:val="clear" w:color="auto" w:fill="DDDDDD"/>
          </w:tcPr>
          <w:p>
            <w:pPr>
              <w:spacing w:after="40" w:before="40"/>
              <w:jc w:val="center"/>
            </w:pPr>
            <w:r>
              <w:rPr>
                <w:rFonts w:ascii="Times New Roman" w:hAnsi="Times New Roman"/>
                <w:b/>
                <w:sz w:val="20"/>
              </w:rPr>
              <w:t>Raw coverage</w:t>
            </w:r>
          </w:p>
        </w:tc>
      </w:tr>
      <w:tr>
        <w:tc>
          <w:tcPr>
            <w:tcW w:type="dxa" w:w="1728"/>
          </w:tcPr>
          <w:p>
            <w:pPr>
              <w:spacing w:after="40" w:before="40"/>
            </w:pPr>
            <w:r>
              <w:rPr>
                <w:rFonts w:ascii="Times New Roman" w:hAnsi="Times New Roman"/>
                <w:b w:val="0"/>
                <w:sz w:val="20"/>
              </w:rPr>
              <w:t>UE · UX · BSAT</w:t>
            </w:r>
          </w:p>
        </w:tc>
        <w:tc>
          <w:tcPr>
            <w:tcW w:type="dxa" w:w="1728"/>
          </w:tcPr>
          <w:p>
            <w:pPr>
              <w:spacing w:after="40" w:before="40"/>
              <w:jc w:val="center"/>
            </w:pPr>
            <w:r>
              <w:rPr>
                <w:rFonts w:ascii="Times New Roman" w:hAnsi="Times New Roman"/>
                <w:b w:val="0"/>
                <w:sz w:val="20"/>
              </w:rPr>
              <w:t>3</w:t>
            </w:r>
          </w:p>
        </w:tc>
        <w:tc>
          <w:tcPr>
            <w:tcW w:type="dxa" w:w="1728"/>
          </w:tcPr>
          <w:p>
            <w:pPr>
              <w:spacing w:after="40" w:before="40"/>
              <w:jc w:val="center"/>
            </w:pPr>
            <w:r>
              <w:rPr>
                <w:rFonts w:ascii="Times New Roman" w:hAnsi="Times New Roman"/>
                <w:b w:val="0"/>
                <w:sz w:val="20"/>
              </w:rPr>
              <w:t>0.857</w:t>
            </w:r>
          </w:p>
        </w:tc>
        <w:tc>
          <w:tcPr>
            <w:tcW w:type="dxa" w:w="1728"/>
          </w:tcPr>
          <w:p>
            <w:pPr>
              <w:spacing w:after="40" w:before="40"/>
              <w:jc w:val="center"/>
            </w:pPr>
            <w:r>
              <w:rPr>
                <w:rFonts w:ascii="Times New Roman" w:hAnsi="Times New Roman"/>
                <w:b w:val="0"/>
                <w:sz w:val="20"/>
              </w:rPr>
              <w:t>0.737</w:t>
            </w:r>
          </w:p>
        </w:tc>
        <w:tc>
          <w:tcPr>
            <w:tcW w:type="dxa" w:w="1728"/>
          </w:tcPr>
          <w:p>
            <w:pPr>
              <w:spacing w:after="40" w:before="40"/>
              <w:jc w:val="center"/>
            </w:pPr>
            <w:r>
              <w:rPr>
                <w:rFonts w:ascii="Times New Roman" w:hAnsi="Times New Roman"/>
                <w:b w:val="0"/>
                <w:sz w:val="20"/>
              </w:rPr>
              <w:t>0.497</w:t>
            </w:r>
          </w:p>
        </w:tc>
      </w:tr>
      <w:tr>
        <w:tc>
          <w:tcPr>
            <w:tcW w:type="dxa" w:w="1728"/>
          </w:tcPr>
          <w:p>
            <w:pPr>
              <w:spacing w:after="40" w:before="40"/>
            </w:pPr>
            <w:r>
              <w:rPr>
                <w:rFonts w:ascii="Times New Roman" w:hAnsi="Times New Roman"/>
                <w:b w:val="0"/>
                <w:sz w:val="20"/>
              </w:rPr>
              <w:t>UE · BSAT</w:t>
            </w:r>
          </w:p>
        </w:tc>
        <w:tc>
          <w:tcPr>
            <w:tcW w:type="dxa" w:w="1728"/>
          </w:tcPr>
          <w:p>
            <w:pPr>
              <w:spacing w:after="40" w:before="40"/>
              <w:jc w:val="center"/>
            </w:pPr>
            <w:r>
              <w:rPr>
                <w:rFonts w:ascii="Times New Roman" w:hAnsi="Times New Roman"/>
                <w:b w:val="0"/>
                <w:sz w:val="20"/>
              </w:rPr>
              <w:t>2</w:t>
            </w:r>
          </w:p>
        </w:tc>
        <w:tc>
          <w:tcPr>
            <w:tcW w:type="dxa" w:w="1728"/>
          </w:tcPr>
          <w:p>
            <w:pPr>
              <w:spacing w:after="40" w:before="40"/>
              <w:jc w:val="center"/>
            </w:pPr>
            <w:r>
              <w:rPr>
                <w:rFonts w:ascii="Times New Roman" w:hAnsi="Times New Roman"/>
                <w:b w:val="0"/>
                <w:sz w:val="20"/>
              </w:rPr>
              <w:t>0.839</w:t>
            </w:r>
          </w:p>
        </w:tc>
        <w:tc>
          <w:tcPr>
            <w:tcW w:type="dxa" w:w="1728"/>
          </w:tcPr>
          <w:p>
            <w:pPr>
              <w:spacing w:after="40" w:before="40"/>
              <w:jc w:val="center"/>
            </w:pPr>
            <w:r>
              <w:rPr>
                <w:rFonts w:ascii="Times New Roman" w:hAnsi="Times New Roman"/>
                <w:b w:val="0"/>
                <w:sz w:val="20"/>
              </w:rPr>
              <w:t>0.725</w:t>
            </w:r>
          </w:p>
        </w:tc>
        <w:tc>
          <w:tcPr>
            <w:tcW w:type="dxa" w:w="1728"/>
          </w:tcPr>
          <w:p>
            <w:pPr>
              <w:spacing w:after="40" w:before="40"/>
              <w:jc w:val="center"/>
            </w:pPr>
            <w:r>
              <w:rPr>
                <w:rFonts w:ascii="Times New Roman" w:hAnsi="Times New Roman"/>
                <w:b w:val="0"/>
                <w:sz w:val="20"/>
              </w:rPr>
              <w:t>0.573</w:t>
            </w:r>
          </w:p>
        </w:tc>
      </w:tr>
      <w:tr>
        <w:tc>
          <w:tcPr>
            <w:tcW w:type="dxa" w:w="1728"/>
          </w:tcPr>
          <w:p>
            <w:pPr>
              <w:spacing w:after="40" w:before="40"/>
            </w:pPr>
            <w:r>
              <w:rPr>
                <w:rFonts w:ascii="Times New Roman" w:hAnsi="Times New Roman"/>
                <w:b w:val="0"/>
                <w:sz w:val="20"/>
              </w:rPr>
              <w:t>UX · BSAT</w:t>
            </w:r>
          </w:p>
        </w:tc>
        <w:tc>
          <w:tcPr>
            <w:tcW w:type="dxa" w:w="1728"/>
          </w:tcPr>
          <w:p>
            <w:pPr>
              <w:spacing w:after="40" w:before="40"/>
              <w:jc w:val="center"/>
            </w:pPr>
            <w:r>
              <w:rPr>
                <w:rFonts w:ascii="Times New Roman" w:hAnsi="Times New Roman"/>
                <w:b w:val="0"/>
                <w:sz w:val="20"/>
              </w:rPr>
              <w:t>2</w:t>
            </w:r>
          </w:p>
        </w:tc>
        <w:tc>
          <w:tcPr>
            <w:tcW w:type="dxa" w:w="1728"/>
          </w:tcPr>
          <w:p>
            <w:pPr>
              <w:spacing w:after="40" w:before="40"/>
              <w:jc w:val="center"/>
            </w:pPr>
            <w:r>
              <w:rPr>
                <w:rFonts w:ascii="Times New Roman" w:hAnsi="Times New Roman"/>
                <w:b w:val="0"/>
                <w:sz w:val="20"/>
              </w:rPr>
              <w:t>0.829</w:t>
            </w:r>
          </w:p>
        </w:tc>
        <w:tc>
          <w:tcPr>
            <w:tcW w:type="dxa" w:w="1728"/>
          </w:tcPr>
          <w:p>
            <w:pPr>
              <w:spacing w:after="40" w:before="40"/>
              <w:jc w:val="center"/>
            </w:pPr>
            <w:r>
              <w:rPr>
                <w:rFonts w:ascii="Times New Roman" w:hAnsi="Times New Roman"/>
                <w:b w:val="0"/>
                <w:sz w:val="20"/>
              </w:rPr>
              <w:t>0.714</w:t>
            </w:r>
          </w:p>
        </w:tc>
        <w:tc>
          <w:tcPr>
            <w:tcW w:type="dxa" w:w="1728"/>
          </w:tcPr>
          <w:p>
            <w:pPr>
              <w:spacing w:after="40" w:before="40"/>
              <w:jc w:val="center"/>
            </w:pPr>
            <w:r>
              <w:rPr>
                <w:rFonts w:ascii="Times New Roman" w:hAnsi="Times New Roman"/>
                <w:b w:val="0"/>
                <w:sz w:val="20"/>
              </w:rPr>
              <w:t>0.604</w:t>
            </w:r>
          </w:p>
        </w:tc>
      </w:tr>
      <w:tr>
        <w:tc>
          <w:tcPr>
            <w:tcW w:type="dxa" w:w="1728"/>
          </w:tcPr>
          <w:p>
            <w:pPr>
              <w:spacing w:after="40" w:before="40"/>
            </w:pPr>
            <w:r>
              <w:rPr>
                <w:rFonts w:ascii="Times New Roman" w:hAnsi="Times New Roman"/>
                <w:b w:val="0"/>
                <w:sz w:val="20"/>
              </w:rPr>
              <w:t>BSAT</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0.776</w:t>
            </w:r>
          </w:p>
        </w:tc>
        <w:tc>
          <w:tcPr>
            <w:tcW w:type="dxa" w:w="1728"/>
          </w:tcPr>
          <w:p>
            <w:pPr>
              <w:spacing w:after="40" w:before="40"/>
              <w:jc w:val="center"/>
            </w:pPr>
            <w:r>
              <w:rPr>
                <w:rFonts w:ascii="Times New Roman" w:hAnsi="Times New Roman"/>
                <w:b w:val="0"/>
                <w:sz w:val="20"/>
              </w:rPr>
              <w:t>0.661</w:t>
            </w:r>
          </w:p>
        </w:tc>
        <w:tc>
          <w:tcPr>
            <w:tcW w:type="dxa" w:w="1728"/>
          </w:tcPr>
          <w:p>
            <w:pPr>
              <w:spacing w:after="40" w:before="40"/>
              <w:jc w:val="center"/>
            </w:pPr>
            <w:r>
              <w:rPr>
                <w:rFonts w:ascii="Times New Roman" w:hAnsi="Times New Roman"/>
                <w:b w:val="0"/>
                <w:sz w:val="20"/>
              </w:rPr>
              <w:t>0.751</w:t>
            </w:r>
          </w:p>
        </w:tc>
      </w:tr>
      <w:tr>
        <w:tc>
          <w:tcPr>
            <w:tcW w:type="dxa" w:w="1728"/>
          </w:tcPr>
          <w:p>
            <w:pPr>
              <w:spacing w:after="40" w:before="40"/>
            </w:pPr>
            <w:r>
              <w:rPr>
                <w:rFonts w:ascii="Times New Roman" w:hAnsi="Times New Roman"/>
                <w:b w:val="0"/>
                <w:sz w:val="20"/>
              </w:rPr>
              <w:t>UE · UX</w:t>
            </w:r>
          </w:p>
        </w:tc>
        <w:tc>
          <w:tcPr>
            <w:tcW w:type="dxa" w:w="1728"/>
          </w:tcPr>
          <w:p>
            <w:pPr>
              <w:spacing w:after="40" w:before="40"/>
              <w:jc w:val="center"/>
            </w:pPr>
            <w:r>
              <w:rPr>
                <w:rFonts w:ascii="Times New Roman" w:hAnsi="Times New Roman"/>
                <w:b w:val="0"/>
                <w:sz w:val="20"/>
              </w:rPr>
              <w:t>2</w:t>
            </w:r>
          </w:p>
        </w:tc>
        <w:tc>
          <w:tcPr>
            <w:tcW w:type="dxa" w:w="1728"/>
          </w:tcPr>
          <w:p>
            <w:pPr>
              <w:spacing w:after="40" w:before="40"/>
              <w:jc w:val="center"/>
            </w:pPr>
            <w:r>
              <w:rPr>
                <w:rFonts w:ascii="Times New Roman" w:hAnsi="Times New Roman"/>
                <w:b w:val="0"/>
                <w:sz w:val="20"/>
              </w:rPr>
              <w:t>0.774</w:t>
            </w:r>
          </w:p>
        </w:tc>
        <w:tc>
          <w:tcPr>
            <w:tcW w:type="dxa" w:w="1728"/>
          </w:tcPr>
          <w:p>
            <w:pPr>
              <w:spacing w:after="40" w:before="40"/>
              <w:jc w:val="center"/>
            </w:pPr>
            <w:r>
              <w:rPr>
                <w:rFonts w:ascii="Times New Roman" w:hAnsi="Times New Roman"/>
                <w:b w:val="0"/>
                <w:sz w:val="20"/>
              </w:rPr>
              <w:t>0.620</w:t>
            </w:r>
          </w:p>
        </w:tc>
        <w:tc>
          <w:tcPr>
            <w:tcW w:type="dxa" w:w="1728"/>
          </w:tcPr>
          <w:p>
            <w:pPr>
              <w:spacing w:after="40" w:before="40"/>
              <w:jc w:val="center"/>
            </w:pPr>
            <w:r>
              <w:rPr>
                <w:rFonts w:ascii="Times New Roman" w:hAnsi="Times New Roman"/>
                <w:b w:val="0"/>
                <w:sz w:val="20"/>
              </w:rPr>
              <w:t>0.566</w:t>
            </w:r>
          </w:p>
        </w:tc>
      </w:tr>
      <w:tr>
        <w:tc>
          <w:tcPr>
            <w:tcW w:type="dxa" w:w="1728"/>
          </w:tcPr>
          <w:p>
            <w:pPr>
              <w:spacing w:after="40" w:before="40"/>
            </w:pPr>
            <w:r>
              <w:rPr>
                <w:rFonts w:ascii="Times New Roman" w:hAnsi="Times New Roman"/>
                <w:b w:val="0"/>
                <w:sz w:val="20"/>
              </w:rPr>
              <w:t>UX</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0.714</w:t>
            </w:r>
          </w:p>
        </w:tc>
        <w:tc>
          <w:tcPr>
            <w:tcW w:type="dxa" w:w="1728"/>
          </w:tcPr>
          <w:p>
            <w:pPr>
              <w:spacing w:after="40" w:before="40"/>
              <w:jc w:val="center"/>
            </w:pPr>
            <w:r>
              <w:rPr>
                <w:rFonts w:ascii="Times New Roman" w:hAnsi="Times New Roman"/>
                <w:b w:val="0"/>
                <w:sz w:val="20"/>
              </w:rPr>
              <w:t>0.568</w:t>
            </w:r>
          </w:p>
        </w:tc>
        <w:tc>
          <w:tcPr>
            <w:tcW w:type="dxa" w:w="1728"/>
          </w:tcPr>
          <w:p>
            <w:pPr>
              <w:spacing w:after="40" w:before="40"/>
              <w:jc w:val="center"/>
            </w:pPr>
            <w:r>
              <w:rPr>
                <w:rFonts w:ascii="Times New Roman" w:hAnsi="Times New Roman"/>
                <w:b w:val="0"/>
                <w:sz w:val="20"/>
              </w:rPr>
              <w:t>0.718</w:t>
            </w:r>
          </w:p>
        </w:tc>
      </w:tr>
      <w:tr>
        <w:tc>
          <w:tcPr>
            <w:tcW w:type="dxa" w:w="1728"/>
          </w:tcPr>
          <w:p>
            <w:pPr>
              <w:spacing w:after="40" w:before="40"/>
            </w:pPr>
            <w:r>
              <w:rPr>
                <w:rFonts w:ascii="Times New Roman" w:hAnsi="Times New Roman"/>
                <w:b w:val="0"/>
                <w:sz w:val="20"/>
              </w:rPr>
              <w:t>UE</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0.685</w:t>
            </w:r>
          </w:p>
        </w:tc>
        <w:tc>
          <w:tcPr>
            <w:tcW w:type="dxa" w:w="1728"/>
          </w:tcPr>
          <w:p>
            <w:pPr>
              <w:spacing w:after="40" w:before="40"/>
              <w:jc w:val="center"/>
            </w:pPr>
            <w:r>
              <w:rPr>
                <w:rFonts w:ascii="Times New Roman" w:hAnsi="Times New Roman"/>
                <w:b w:val="0"/>
                <w:sz w:val="20"/>
              </w:rPr>
              <w:t>0.530</w:t>
            </w:r>
          </w:p>
        </w:tc>
        <w:tc>
          <w:tcPr>
            <w:tcW w:type="dxa" w:w="1728"/>
          </w:tcPr>
          <w:p>
            <w:pPr>
              <w:spacing w:after="40" w:before="40"/>
              <w:jc w:val="center"/>
            </w:pPr>
            <w:r>
              <w:rPr>
                <w:rFonts w:ascii="Times New Roman" w:hAnsi="Times New Roman"/>
                <w:b w:val="0"/>
                <w:sz w:val="20"/>
              </w:rPr>
              <w:t>0.698</w:t>
            </w:r>
          </w:p>
        </w:tc>
      </w:tr>
    </w:tbl>
    <w:p>
      <w:pPr>
        <w:spacing w:after="160"/>
        <w:jc w:val="both"/>
      </w:pPr>
      <w:r>
        <w:rPr>
          <w:rFonts w:ascii="Times New Roman" w:hAnsi="Times New Roman"/>
          <w:i w:val="0"/>
          <w:sz w:val="24"/>
        </w:rPr>
        <w:t>Table 13b presents the same result in the configuration format conventionally used to report fsQCA solutions for a focal outcome (Fiss, 2011; Ragin, 2008), i.e. as a single column describing the recipe for high Brand Success (BSUC) in the metaverse, the role of each condition (core vs. peripheral), and the associated consistency and coverage metrics. Because the parsimonious and intermediate solutions coincide, all three conditions are core.</w:t>
      </w:r>
    </w:p>
    <w:p>
      <w:pPr>
        <w:spacing w:after="80"/>
      </w:pPr>
      <w:r>
        <w:rPr>
          <w:rFonts w:ascii="Times New Roman" w:hAnsi="Times New Roman"/>
          <w:b/>
          <w:sz w:val="22"/>
        </w:rPr>
        <w:t>Table 13b. Configuration analysis for high Brand Success (BSUC) in the metaverse.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DDDD"/>
          </w:tcPr>
          <w:p>
            <w:pPr>
              <w:spacing w:after="40" w:before="40"/>
            </w:pPr>
            <w:r>
              <w:rPr>
                <w:rFonts w:ascii="Times New Roman" w:hAnsi="Times New Roman"/>
                <w:b/>
                <w:sz w:val="22"/>
              </w:rPr>
              <w:t>Condition / Metric</w:t>
            </w:r>
          </w:p>
        </w:tc>
        <w:tc>
          <w:tcPr>
            <w:tcW w:type="dxa" w:w="4320"/>
            <w:shd w:val="clear" w:color="auto" w:fill="DDDDDD"/>
          </w:tcPr>
          <w:p>
            <w:pPr>
              <w:spacing w:after="40" w:before="40"/>
              <w:jc w:val="center"/>
            </w:pPr>
            <w:r>
              <w:rPr>
                <w:rFonts w:ascii="Times New Roman" w:hAnsi="Times New Roman"/>
                <w:b/>
                <w:sz w:val="22"/>
              </w:rPr>
              <w:t>Configuration 1</w:t>
            </w:r>
          </w:p>
        </w:tc>
      </w:tr>
      <w:tr>
        <w:tc>
          <w:tcPr>
            <w:tcW w:type="dxa" w:w="4320"/>
          </w:tcPr>
          <w:p>
            <w:pPr>
              <w:spacing w:after="40" w:before="40"/>
            </w:pPr>
            <w:r>
              <w:rPr>
                <w:rFonts w:ascii="Times New Roman" w:hAnsi="Times New Roman"/>
                <w:b w:val="0"/>
                <w:sz w:val="22"/>
              </w:rPr>
              <w:t>User Engagement (UE)</w:t>
            </w:r>
          </w:p>
        </w:tc>
        <w:tc>
          <w:tcPr>
            <w:tcW w:type="dxa" w:w="4320"/>
          </w:tcPr>
          <w:p>
            <w:pPr>
              <w:spacing w:after="40" w:before="40"/>
              <w:jc w:val="center"/>
            </w:pPr>
            <w:r>
              <w:rPr>
                <w:rFonts w:ascii="Times New Roman" w:hAnsi="Times New Roman"/>
                <w:b w:val="0"/>
                <w:sz w:val="22"/>
              </w:rPr>
              <w:t>● (core)</w:t>
            </w:r>
          </w:p>
        </w:tc>
      </w:tr>
      <w:tr>
        <w:tc>
          <w:tcPr>
            <w:tcW w:type="dxa" w:w="4320"/>
          </w:tcPr>
          <w:p>
            <w:pPr>
              <w:spacing w:after="40" w:before="40"/>
            </w:pPr>
            <w:r>
              <w:rPr>
                <w:rFonts w:ascii="Times New Roman" w:hAnsi="Times New Roman"/>
                <w:b w:val="0"/>
                <w:sz w:val="22"/>
              </w:rPr>
              <w:t>User Experience (UX)</w:t>
            </w:r>
          </w:p>
        </w:tc>
        <w:tc>
          <w:tcPr>
            <w:tcW w:type="dxa" w:w="4320"/>
          </w:tcPr>
          <w:p>
            <w:pPr>
              <w:spacing w:after="40" w:before="40"/>
              <w:jc w:val="center"/>
            </w:pPr>
            <w:r>
              <w:rPr>
                <w:rFonts w:ascii="Times New Roman" w:hAnsi="Times New Roman"/>
                <w:b w:val="0"/>
                <w:sz w:val="22"/>
              </w:rPr>
              <w:t>● (core)</w:t>
            </w:r>
          </w:p>
        </w:tc>
      </w:tr>
      <w:tr>
        <w:tc>
          <w:tcPr>
            <w:tcW w:type="dxa" w:w="4320"/>
          </w:tcPr>
          <w:p>
            <w:pPr>
              <w:spacing w:after="40" w:before="40"/>
            </w:pPr>
            <w:r>
              <w:rPr>
                <w:rFonts w:ascii="Times New Roman" w:hAnsi="Times New Roman"/>
                <w:b w:val="0"/>
                <w:sz w:val="22"/>
              </w:rPr>
              <w:t>Brand Satisfaction (BSAT)</w:t>
            </w:r>
          </w:p>
        </w:tc>
        <w:tc>
          <w:tcPr>
            <w:tcW w:type="dxa" w:w="4320"/>
          </w:tcPr>
          <w:p>
            <w:pPr>
              <w:spacing w:after="40" w:before="40"/>
              <w:jc w:val="center"/>
            </w:pPr>
            <w:r>
              <w:rPr>
                <w:rFonts w:ascii="Times New Roman" w:hAnsi="Times New Roman"/>
                <w:b w:val="0"/>
                <w:sz w:val="22"/>
              </w:rPr>
              <w:t>● (core)</w:t>
            </w:r>
          </w:p>
        </w:tc>
      </w:tr>
      <w:tr>
        <w:tc>
          <w:tcPr>
            <w:tcW w:type="dxa" w:w="4320"/>
          </w:tcPr>
          <w:p>
            <w:pPr>
              <w:spacing w:after="40" w:before="40"/>
            </w:pPr>
            <w:r>
              <w:rPr>
                <w:rFonts w:ascii="Times New Roman" w:hAnsi="Times New Roman"/>
                <w:b w:val="0"/>
                <w:sz w:val="22"/>
              </w:rPr>
              <w:t>Raw coverage</w:t>
            </w:r>
          </w:p>
        </w:tc>
        <w:tc>
          <w:tcPr>
            <w:tcW w:type="dxa" w:w="4320"/>
          </w:tcPr>
          <w:p>
            <w:pPr>
              <w:spacing w:after="40" w:before="40"/>
              <w:jc w:val="center"/>
            </w:pPr>
            <w:r>
              <w:rPr>
                <w:rFonts w:ascii="Times New Roman" w:hAnsi="Times New Roman"/>
                <w:b w:val="0"/>
                <w:sz w:val="22"/>
              </w:rPr>
              <w:t>0.497</w:t>
            </w:r>
          </w:p>
        </w:tc>
      </w:tr>
      <w:tr>
        <w:tc>
          <w:tcPr>
            <w:tcW w:type="dxa" w:w="4320"/>
          </w:tcPr>
          <w:p>
            <w:pPr>
              <w:spacing w:after="40" w:before="40"/>
            </w:pPr>
            <w:r>
              <w:rPr>
                <w:rFonts w:ascii="Times New Roman" w:hAnsi="Times New Roman"/>
                <w:b w:val="0"/>
                <w:sz w:val="22"/>
              </w:rPr>
              <w:t>Unique coverage</w:t>
            </w:r>
          </w:p>
        </w:tc>
        <w:tc>
          <w:tcPr>
            <w:tcW w:type="dxa" w:w="4320"/>
          </w:tcPr>
          <w:p>
            <w:pPr>
              <w:spacing w:after="40" w:before="40"/>
              <w:jc w:val="center"/>
            </w:pPr>
            <w:r>
              <w:rPr>
                <w:rFonts w:ascii="Times New Roman" w:hAnsi="Times New Roman"/>
                <w:b w:val="0"/>
                <w:sz w:val="22"/>
              </w:rPr>
              <w:t>0.497</w:t>
            </w:r>
          </w:p>
        </w:tc>
      </w:tr>
      <w:tr>
        <w:tc>
          <w:tcPr>
            <w:tcW w:type="dxa" w:w="4320"/>
          </w:tcPr>
          <w:p>
            <w:pPr>
              <w:spacing w:after="40" w:before="40"/>
            </w:pPr>
            <w:r>
              <w:rPr>
                <w:rFonts w:ascii="Times New Roman" w:hAnsi="Times New Roman"/>
                <w:b w:val="0"/>
                <w:sz w:val="22"/>
              </w:rPr>
              <w:t>Configuration consistency</w:t>
            </w:r>
          </w:p>
        </w:tc>
        <w:tc>
          <w:tcPr>
            <w:tcW w:type="dxa" w:w="4320"/>
          </w:tcPr>
          <w:p>
            <w:pPr>
              <w:spacing w:after="40" w:before="40"/>
              <w:jc w:val="center"/>
            </w:pPr>
            <w:r>
              <w:rPr>
                <w:rFonts w:ascii="Times New Roman" w:hAnsi="Times New Roman"/>
                <w:b w:val="0"/>
                <w:sz w:val="22"/>
              </w:rPr>
              <w:t>0.857</w:t>
            </w:r>
          </w:p>
        </w:tc>
      </w:tr>
      <w:tr>
        <w:tc>
          <w:tcPr>
            <w:tcW w:type="dxa" w:w="4320"/>
          </w:tcPr>
          <w:p>
            <w:pPr>
              <w:spacing w:after="40" w:before="40"/>
            </w:pPr>
            <w:r>
              <w:rPr>
                <w:rFonts w:ascii="Times New Roman" w:hAnsi="Times New Roman"/>
                <w:b w:val="0"/>
                <w:sz w:val="22"/>
              </w:rPr>
              <w:t>Overall solution coverage</w:t>
            </w:r>
          </w:p>
        </w:tc>
        <w:tc>
          <w:tcPr>
            <w:tcW w:type="dxa" w:w="4320"/>
          </w:tcPr>
          <w:p>
            <w:pPr>
              <w:spacing w:after="40" w:before="40"/>
              <w:jc w:val="center"/>
            </w:pPr>
            <w:r>
              <w:rPr>
                <w:rFonts w:ascii="Times New Roman" w:hAnsi="Times New Roman"/>
                <w:b w:val="0"/>
                <w:sz w:val="22"/>
              </w:rPr>
              <w:t>0.497</w:t>
            </w:r>
          </w:p>
        </w:tc>
      </w:tr>
      <w:tr>
        <w:tc>
          <w:tcPr>
            <w:tcW w:type="dxa" w:w="4320"/>
          </w:tcPr>
          <w:p>
            <w:pPr>
              <w:spacing w:after="40" w:before="40"/>
            </w:pPr>
            <w:r>
              <w:rPr>
                <w:rFonts w:ascii="Times New Roman" w:hAnsi="Times New Roman"/>
                <w:b w:val="0"/>
                <w:sz w:val="22"/>
              </w:rPr>
              <w:t>Overall solution consistency</w:t>
            </w:r>
          </w:p>
        </w:tc>
        <w:tc>
          <w:tcPr>
            <w:tcW w:type="dxa" w:w="4320"/>
          </w:tcPr>
          <w:p>
            <w:pPr>
              <w:spacing w:after="40" w:before="40"/>
              <w:jc w:val="center"/>
            </w:pPr>
            <w:r>
              <w:rPr>
                <w:rFonts w:ascii="Times New Roman" w:hAnsi="Times New Roman"/>
                <w:b w:val="0"/>
                <w:sz w:val="22"/>
              </w:rPr>
              <w:t>0.857</w:t>
            </w:r>
          </w:p>
        </w:tc>
      </w:tr>
    </w:tbl>
    <w:p>
      <w:pPr>
        <w:spacing w:after="200"/>
      </w:pPr>
      <w:r>
        <w:rPr>
          <w:rFonts w:ascii="Times New Roman" w:hAnsi="Times New Roman"/>
          <w:i/>
          <w:sz w:val="20"/>
        </w:rPr>
        <w:t>Notation: ● = core causal condition (present in both the parsimonious and the intermediate solution); blank = absent or “don't care”. Frequency threshold = 4 cases; raw-consistency threshold = 0.80; PRI threshold = 0.70.</w:t>
      </w:r>
    </w:p>
    <w:p>
      <w:pPr>
        <w:pStyle w:val="Heading2"/>
      </w:pPr>
      <w:r>
        <w:rPr>
          <w:rFonts w:ascii="Times New Roman" w:hAnsi="Times New Roman"/>
          <w:color w:val="000000"/>
        </w:rPr>
        <w:t>4.4 Causal asymmetry (negated outcome)</w:t>
      </w:r>
    </w:p>
    <w:p>
      <w:pPr>
        <w:spacing w:after="160"/>
        <w:jc w:val="both"/>
      </w:pPr>
      <w:r>
        <w:rPr>
          <w:rFonts w:ascii="Times New Roman" w:hAnsi="Times New Roman"/>
          <w:i w:val="0"/>
          <w:sz w:val="24"/>
        </w:rPr>
        <w:t>A separate sufficiency analysis for low continuance (~BSUC) returns the mirror-absence configuration ~UE·~UX·~BSAT (coverage = 0.492, consistency = 0.861). Because this is not a simple algebraic negation of the high-continuance recipe, the data demonstrate causal asymmetry: the conditions that produce continuance and those that produce abandonment are not perfect opposites. This asymmetric insight is unavailable from the symmetric PLS-SEM (Figure 13).</w:t>
      </w:r>
    </w:p>
    <w:p>
      <w:pPr>
        <w:spacing w:before="120"/>
        <w:jc w:val="center"/>
      </w:pPr>
      <w:r>
        <w:drawing>
          <wp:inline xmlns:a="http://schemas.openxmlformats.org/drawingml/2006/main" xmlns:pic="http://schemas.openxmlformats.org/drawingml/2006/picture">
            <wp:extent cx="4389120" cy="3483720"/>
            <wp:docPr id="13" name="Picture 13"/>
            <wp:cNvGraphicFramePr>
              <a:graphicFrameLocks noChangeAspect="1"/>
            </wp:cNvGraphicFramePr>
            <a:graphic>
              <a:graphicData uri="http://schemas.openxmlformats.org/drawingml/2006/picture">
                <pic:pic>
                  <pic:nvPicPr>
                    <pic:cNvPr id="0" name="Fig13_configurations.png"/>
                    <pic:cNvPicPr/>
                  </pic:nvPicPr>
                  <pic:blipFill>
                    <a:blip r:embed="rId21"/>
                    <a:stretch>
                      <a:fillRect/>
                    </a:stretch>
                  </pic:blipFill>
                  <pic:spPr>
                    <a:xfrm>
                      <a:off x="0" y="0"/>
                      <a:ext cx="4389120" cy="3483720"/>
                    </a:xfrm>
                    <a:prstGeom prst="rect"/>
                  </pic:spPr>
                </pic:pic>
              </a:graphicData>
            </a:graphic>
          </wp:inline>
        </w:drawing>
      </w:r>
    </w:p>
    <w:p>
      <w:pPr>
        <w:spacing w:after="240"/>
        <w:jc w:val="center"/>
      </w:pPr>
      <w:r>
        <w:rPr>
          <w:rFonts w:ascii="Times New Roman" w:hAnsi="Times New Roman"/>
          <w:i/>
          <w:sz w:val="22"/>
        </w:rPr>
        <w:t>Figure 13. Configurations for high vs. low BSUC (causal asymmetry; large circles = core conditions).</w:t>
      </w:r>
    </w:p>
    <w:p>
      <w:pPr>
        <w:pStyle w:val="Heading2"/>
      </w:pPr>
      <w:r>
        <w:rPr>
          <w:rFonts w:ascii="Times New Roman" w:hAnsi="Times New Roman"/>
          <w:color w:val="000000"/>
        </w:rPr>
        <w:t>4.5 Robustness of the fsQCA</w:t>
      </w:r>
    </w:p>
    <w:p>
      <w:pPr>
        <w:spacing w:after="160"/>
        <w:jc w:val="both"/>
      </w:pPr>
      <w:r>
        <w:rPr>
          <w:rFonts w:ascii="Times New Roman" w:hAnsi="Times New Roman"/>
          <w:i w:val="0"/>
          <w:sz w:val="24"/>
        </w:rPr>
        <w:t>The configurational solution is stable under perturbations of the analytical choices (Table 14). Varying the calibration anchors (P90/P50/P10), raising the raw-consistency threshold to 0.85, and raising the frequency threshold to 6 all reproduce the identical UE·UX·BSAT solution with essentially unchanged coverage and consistency. Only fixed substantive anchors (6/4/2) simplify the recipe to UE·BSAT, consistent with UX being the weakest necessity condition.</w:t>
      </w:r>
    </w:p>
    <w:p>
      <w:pPr>
        <w:spacing w:after="80"/>
      </w:pPr>
      <w:r>
        <w:rPr>
          <w:rFonts w:ascii="Times New Roman" w:hAnsi="Times New Roman"/>
          <w:b/>
          <w:sz w:val="22"/>
        </w:rPr>
        <w:t>Table 14. fsQCA robustness checks.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DDDDD"/>
          </w:tcPr>
          <w:p>
            <w:pPr>
              <w:spacing w:after="40" w:before="40"/>
            </w:pPr>
            <w:r>
              <w:rPr>
                <w:rFonts w:ascii="Times New Roman" w:hAnsi="Times New Roman"/>
                <w:b/>
                <w:sz w:val="20"/>
              </w:rPr>
              <w:t>Scenario</w:t>
            </w:r>
          </w:p>
        </w:tc>
        <w:tc>
          <w:tcPr>
            <w:tcW w:type="dxa" w:w="1728"/>
            <w:shd w:val="clear" w:color="auto" w:fill="DDDDDD"/>
          </w:tcPr>
          <w:p>
            <w:pPr>
              <w:spacing w:after="40" w:before="40"/>
              <w:jc w:val="center"/>
            </w:pPr>
            <w:r>
              <w:rPr>
                <w:rFonts w:ascii="Times New Roman" w:hAnsi="Times New Roman"/>
                <w:b/>
                <w:sz w:val="20"/>
              </w:rPr>
              <w:t># configs</w:t>
            </w:r>
          </w:p>
        </w:tc>
        <w:tc>
          <w:tcPr>
            <w:tcW w:type="dxa" w:w="1728"/>
            <w:shd w:val="clear" w:color="auto" w:fill="DDDDDD"/>
          </w:tcPr>
          <w:p>
            <w:pPr>
              <w:spacing w:after="40" w:before="40"/>
              <w:jc w:val="center"/>
            </w:pPr>
            <w:r>
              <w:rPr>
                <w:rFonts w:ascii="Times New Roman" w:hAnsi="Times New Roman"/>
                <w:b/>
                <w:sz w:val="20"/>
              </w:rPr>
              <w:t>Sol. coverage</w:t>
            </w:r>
          </w:p>
        </w:tc>
        <w:tc>
          <w:tcPr>
            <w:tcW w:type="dxa" w:w="1728"/>
            <w:shd w:val="clear" w:color="auto" w:fill="DDDDDD"/>
          </w:tcPr>
          <w:p>
            <w:pPr>
              <w:spacing w:after="40" w:before="40"/>
              <w:jc w:val="center"/>
            </w:pPr>
            <w:r>
              <w:rPr>
                <w:rFonts w:ascii="Times New Roman" w:hAnsi="Times New Roman"/>
                <w:b/>
                <w:sz w:val="20"/>
              </w:rPr>
              <w:t>Sol. consistency</w:t>
            </w:r>
          </w:p>
        </w:tc>
        <w:tc>
          <w:tcPr>
            <w:tcW w:type="dxa" w:w="1728"/>
            <w:shd w:val="clear" w:color="auto" w:fill="DDDDDD"/>
          </w:tcPr>
          <w:p>
            <w:pPr>
              <w:spacing w:after="40" w:before="40"/>
            </w:pPr>
            <w:r>
              <w:rPr>
                <w:rFonts w:ascii="Times New Roman" w:hAnsi="Times New Roman"/>
                <w:b/>
                <w:sz w:val="20"/>
              </w:rPr>
              <w:t>Configuration(s)</w:t>
            </w:r>
          </w:p>
        </w:tc>
      </w:tr>
      <w:tr>
        <w:tc>
          <w:tcPr>
            <w:tcW w:type="dxa" w:w="1728"/>
          </w:tcPr>
          <w:p>
            <w:pPr>
              <w:spacing w:after="40" w:before="40"/>
            </w:pPr>
            <w:r>
              <w:rPr>
                <w:rFonts w:ascii="Times New Roman" w:hAnsi="Times New Roman"/>
                <w:b w:val="0"/>
                <w:sz w:val="20"/>
              </w:rPr>
              <w:t>Percentile 95/50/5 (main)</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0.497</w:t>
            </w:r>
          </w:p>
        </w:tc>
        <w:tc>
          <w:tcPr>
            <w:tcW w:type="dxa" w:w="1728"/>
          </w:tcPr>
          <w:p>
            <w:pPr>
              <w:spacing w:after="40" w:before="40"/>
              <w:jc w:val="center"/>
            </w:pPr>
            <w:r>
              <w:rPr>
                <w:rFonts w:ascii="Times New Roman" w:hAnsi="Times New Roman"/>
                <w:b w:val="0"/>
                <w:sz w:val="20"/>
              </w:rPr>
              <w:t>0.857</w:t>
            </w:r>
          </w:p>
        </w:tc>
        <w:tc>
          <w:tcPr>
            <w:tcW w:type="dxa" w:w="1728"/>
          </w:tcPr>
          <w:p>
            <w:pPr>
              <w:spacing w:after="40" w:before="40"/>
            </w:pPr>
            <w:r>
              <w:rPr>
                <w:rFonts w:ascii="Times New Roman" w:hAnsi="Times New Roman"/>
                <w:b w:val="0"/>
                <w:sz w:val="20"/>
              </w:rPr>
              <w:t>UE·UX·BSAT</w:t>
            </w:r>
          </w:p>
        </w:tc>
      </w:tr>
      <w:tr>
        <w:tc>
          <w:tcPr>
            <w:tcW w:type="dxa" w:w="1728"/>
          </w:tcPr>
          <w:p>
            <w:pPr>
              <w:spacing w:after="40" w:before="40"/>
            </w:pPr>
            <w:r>
              <w:rPr>
                <w:rFonts w:ascii="Times New Roman" w:hAnsi="Times New Roman"/>
                <w:b w:val="0"/>
                <w:sz w:val="20"/>
              </w:rPr>
              <w:t>Percentile 90/50/10</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0.476</w:t>
            </w:r>
          </w:p>
        </w:tc>
        <w:tc>
          <w:tcPr>
            <w:tcW w:type="dxa" w:w="1728"/>
          </w:tcPr>
          <w:p>
            <w:pPr>
              <w:spacing w:after="40" w:before="40"/>
              <w:jc w:val="center"/>
            </w:pPr>
            <w:r>
              <w:rPr>
                <w:rFonts w:ascii="Times New Roman" w:hAnsi="Times New Roman"/>
                <w:b w:val="0"/>
                <w:sz w:val="20"/>
              </w:rPr>
              <w:t>0.833</w:t>
            </w:r>
          </w:p>
        </w:tc>
        <w:tc>
          <w:tcPr>
            <w:tcW w:type="dxa" w:w="1728"/>
          </w:tcPr>
          <w:p>
            <w:pPr>
              <w:spacing w:after="40" w:before="40"/>
            </w:pPr>
            <w:r>
              <w:rPr>
                <w:rFonts w:ascii="Times New Roman" w:hAnsi="Times New Roman"/>
                <w:b w:val="0"/>
                <w:sz w:val="20"/>
              </w:rPr>
              <w:t>UE·UX·BSAT</w:t>
            </w:r>
          </w:p>
        </w:tc>
      </w:tr>
      <w:tr>
        <w:tc>
          <w:tcPr>
            <w:tcW w:type="dxa" w:w="1728"/>
          </w:tcPr>
          <w:p>
            <w:pPr>
              <w:spacing w:after="40" w:before="40"/>
            </w:pPr>
            <w:r>
              <w:rPr>
                <w:rFonts w:ascii="Times New Roman" w:hAnsi="Times New Roman"/>
                <w:b w:val="0"/>
                <w:sz w:val="20"/>
              </w:rPr>
              <w:t>Raw consistency ≥ 0.85</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0.497</w:t>
            </w:r>
          </w:p>
        </w:tc>
        <w:tc>
          <w:tcPr>
            <w:tcW w:type="dxa" w:w="1728"/>
          </w:tcPr>
          <w:p>
            <w:pPr>
              <w:spacing w:after="40" w:before="40"/>
              <w:jc w:val="center"/>
            </w:pPr>
            <w:r>
              <w:rPr>
                <w:rFonts w:ascii="Times New Roman" w:hAnsi="Times New Roman"/>
                <w:b w:val="0"/>
                <w:sz w:val="20"/>
              </w:rPr>
              <w:t>0.857</w:t>
            </w:r>
          </w:p>
        </w:tc>
        <w:tc>
          <w:tcPr>
            <w:tcW w:type="dxa" w:w="1728"/>
          </w:tcPr>
          <w:p>
            <w:pPr>
              <w:spacing w:after="40" w:before="40"/>
            </w:pPr>
            <w:r>
              <w:rPr>
                <w:rFonts w:ascii="Times New Roman" w:hAnsi="Times New Roman"/>
                <w:b w:val="0"/>
                <w:sz w:val="20"/>
              </w:rPr>
              <w:t>UE·UX·BSAT</w:t>
            </w:r>
          </w:p>
        </w:tc>
      </w:tr>
      <w:tr>
        <w:tc>
          <w:tcPr>
            <w:tcW w:type="dxa" w:w="1728"/>
          </w:tcPr>
          <w:p>
            <w:pPr>
              <w:spacing w:after="40" w:before="40"/>
            </w:pPr>
            <w:r>
              <w:rPr>
                <w:rFonts w:ascii="Times New Roman" w:hAnsi="Times New Roman"/>
                <w:b w:val="0"/>
                <w:sz w:val="20"/>
              </w:rPr>
              <w:t>Frequency ≥ 6</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0.497</w:t>
            </w:r>
          </w:p>
        </w:tc>
        <w:tc>
          <w:tcPr>
            <w:tcW w:type="dxa" w:w="1728"/>
          </w:tcPr>
          <w:p>
            <w:pPr>
              <w:spacing w:after="40" w:before="40"/>
              <w:jc w:val="center"/>
            </w:pPr>
            <w:r>
              <w:rPr>
                <w:rFonts w:ascii="Times New Roman" w:hAnsi="Times New Roman"/>
                <w:b w:val="0"/>
                <w:sz w:val="20"/>
              </w:rPr>
              <w:t>0.857</w:t>
            </w:r>
          </w:p>
        </w:tc>
        <w:tc>
          <w:tcPr>
            <w:tcW w:type="dxa" w:w="1728"/>
          </w:tcPr>
          <w:p>
            <w:pPr>
              <w:spacing w:after="40" w:before="40"/>
            </w:pPr>
            <w:r>
              <w:rPr>
                <w:rFonts w:ascii="Times New Roman" w:hAnsi="Times New Roman"/>
                <w:b w:val="0"/>
                <w:sz w:val="20"/>
              </w:rPr>
              <w:t>UE·UX·BSAT</w:t>
            </w:r>
          </w:p>
        </w:tc>
      </w:tr>
      <w:tr>
        <w:tc>
          <w:tcPr>
            <w:tcW w:type="dxa" w:w="1728"/>
          </w:tcPr>
          <w:p>
            <w:pPr>
              <w:spacing w:after="40" w:before="40"/>
            </w:pPr>
            <w:r>
              <w:rPr>
                <w:rFonts w:ascii="Times New Roman" w:hAnsi="Times New Roman"/>
                <w:b w:val="0"/>
                <w:sz w:val="20"/>
              </w:rPr>
              <w:t>Substantive anchors 6/4/2</w:t>
            </w:r>
          </w:p>
        </w:tc>
        <w:tc>
          <w:tcPr>
            <w:tcW w:type="dxa" w:w="1728"/>
          </w:tcPr>
          <w:p>
            <w:pPr>
              <w:spacing w:after="40" w:before="40"/>
              <w:jc w:val="center"/>
            </w:pPr>
            <w:r>
              <w:rPr>
                <w:rFonts w:ascii="Times New Roman" w:hAnsi="Times New Roman"/>
                <w:b w:val="0"/>
                <w:sz w:val="20"/>
              </w:rPr>
              <w:t>1</w:t>
            </w:r>
          </w:p>
        </w:tc>
        <w:tc>
          <w:tcPr>
            <w:tcW w:type="dxa" w:w="1728"/>
          </w:tcPr>
          <w:p>
            <w:pPr>
              <w:spacing w:after="40" w:before="40"/>
              <w:jc w:val="center"/>
            </w:pPr>
            <w:r>
              <w:rPr>
                <w:rFonts w:ascii="Times New Roman" w:hAnsi="Times New Roman"/>
                <w:b w:val="0"/>
                <w:sz w:val="20"/>
              </w:rPr>
              <w:t>0.533</w:t>
            </w:r>
          </w:p>
        </w:tc>
        <w:tc>
          <w:tcPr>
            <w:tcW w:type="dxa" w:w="1728"/>
          </w:tcPr>
          <w:p>
            <w:pPr>
              <w:spacing w:after="40" w:before="40"/>
              <w:jc w:val="center"/>
            </w:pPr>
            <w:r>
              <w:rPr>
                <w:rFonts w:ascii="Times New Roman" w:hAnsi="Times New Roman"/>
                <w:b w:val="0"/>
                <w:sz w:val="20"/>
              </w:rPr>
              <w:t>0.805</w:t>
            </w:r>
          </w:p>
        </w:tc>
        <w:tc>
          <w:tcPr>
            <w:tcW w:type="dxa" w:w="1728"/>
          </w:tcPr>
          <w:p>
            <w:pPr>
              <w:spacing w:after="40" w:before="40"/>
            </w:pPr>
            <w:r>
              <w:rPr>
                <w:rFonts w:ascii="Times New Roman" w:hAnsi="Times New Roman"/>
                <w:b w:val="0"/>
                <w:sz w:val="20"/>
              </w:rPr>
              <w:t>UE·BSAT</w:t>
            </w:r>
          </w:p>
        </w:tc>
      </w:tr>
    </w:tbl>
    <w:p>
      <w:pPr>
        <w:pStyle w:val="Heading1"/>
      </w:pPr>
      <w:r>
        <w:rPr>
          <w:rFonts w:ascii="Times New Roman" w:hAnsi="Times New Roman"/>
          <w:color w:val="000000"/>
        </w:rPr>
        <w:t>5. Synthesis: convergence and complementarity of PLS-SEM and fsQCA</w:t>
      </w:r>
    </w:p>
    <w:p>
      <w:pPr>
        <w:spacing w:after="160"/>
        <w:jc w:val="both"/>
      </w:pPr>
      <w:r>
        <w:rPr>
          <w:rFonts w:ascii="Times New Roman" w:hAnsi="Times New Roman"/>
          <w:i w:val="0"/>
          <w:sz w:val="24"/>
        </w:rPr>
        <w:t>The two methods tell a coherent and mutually reinforcing story (Table 15). Convergence: both place satisfaction (BSAT) at the centre of continuance—in PLS-SEM it is the strongest path and the full mediator of UE and UX; in fsQCA it has the highest single-condition necessity consistency and is a core element of the sole sufficient recipe. Both also agree that experience matters more than engagement upstream.</w:t>
      </w:r>
    </w:p>
    <w:p>
      <w:pPr>
        <w:spacing w:after="160"/>
        <w:jc w:val="both"/>
      </w:pPr>
      <w:r>
        <w:rPr>
          <w:rFonts w:ascii="Times New Roman" w:hAnsi="Times New Roman"/>
          <w:i w:val="0"/>
          <w:sz w:val="24"/>
        </w:rPr>
        <w:t>Complementarity 1 (equifinality / conjunction): PLS-SEM finds the direct effects of UE and UX non-significant, but fsQCA clarifies that UE and UX are jointly required as part of the sufficient configuration—the antecedents are complements, not substitutes. Complementarity 2 (asymmetry): fsQCA shows the recipe for low continuance is not the inverse of the recipe for high continuance, revealing causal asymmetry of managerial relevance.</w:t>
      </w:r>
    </w:p>
    <w:p>
      <w:pPr>
        <w:spacing w:after="80"/>
      </w:pPr>
      <w:r>
        <w:rPr>
          <w:rFonts w:ascii="Times New Roman" w:hAnsi="Times New Roman"/>
          <w:b/>
          <w:sz w:val="22"/>
        </w:rPr>
        <w:t>Table 15. Summary of findings across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DDDD"/>
          </w:tcPr>
          <w:p>
            <w:pPr>
              <w:spacing w:after="40" w:before="40"/>
            </w:pPr>
            <w:r>
              <w:rPr>
                <w:rFonts w:ascii="Times New Roman" w:hAnsi="Times New Roman"/>
                <w:b/>
                <w:sz w:val="20"/>
              </w:rPr>
              <w:t>Question</w:t>
            </w:r>
          </w:p>
        </w:tc>
        <w:tc>
          <w:tcPr>
            <w:tcW w:type="dxa" w:w="2880"/>
            <w:shd w:val="clear" w:color="auto" w:fill="DDDDDD"/>
          </w:tcPr>
          <w:p>
            <w:pPr>
              <w:spacing w:after="40" w:before="40"/>
            </w:pPr>
            <w:r>
              <w:rPr>
                <w:rFonts w:ascii="Times New Roman" w:hAnsi="Times New Roman"/>
                <w:b/>
                <w:sz w:val="20"/>
              </w:rPr>
              <w:t>PLS-SEM answer</w:t>
            </w:r>
          </w:p>
        </w:tc>
        <w:tc>
          <w:tcPr>
            <w:tcW w:type="dxa" w:w="2880"/>
            <w:shd w:val="clear" w:color="auto" w:fill="DDDDDD"/>
          </w:tcPr>
          <w:p>
            <w:pPr>
              <w:spacing w:after="40" w:before="40"/>
            </w:pPr>
            <w:r>
              <w:rPr>
                <w:rFonts w:ascii="Times New Roman" w:hAnsi="Times New Roman"/>
                <w:b/>
                <w:sz w:val="20"/>
              </w:rPr>
              <w:t>fsQCA answer</w:t>
            </w:r>
          </w:p>
        </w:tc>
      </w:tr>
      <w:tr>
        <w:tc>
          <w:tcPr>
            <w:tcW w:type="dxa" w:w="2880"/>
          </w:tcPr>
          <w:p>
            <w:pPr>
              <w:spacing w:after="40" w:before="40"/>
            </w:pPr>
            <w:r>
              <w:rPr>
                <w:rFonts w:ascii="Times New Roman" w:hAnsi="Times New Roman"/>
                <w:b w:val="0"/>
                <w:sz w:val="20"/>
              </w:rPr>
              <w:t>What drives continuance on average?</w:t>
            </w:r>
          </w:p>
        </w:tc>
        <w:tc>
          <w:tcPr>
            <w:tcW w:type="dxa" w:w="2880"/>
          </w:tcPr>
          <w:p>
            <w:pPr>
              <w:spacing w:after="40" w:before="40"/>
            </w:pPr>
            <w:r>
              <w:rPr>
                <w:rFonts w:ascii="Times New Roman" w:hAnsi="Times New Roman"/>
                <w:b w:val="0"/>
                <w:sz w:val="20"/>
              </w:rPr>
              <w:t>BSAT (β=.476***); UE/UX only indirectly</w:t>
            </w:r>
          </w:p>
        </w:tc>
        <w:tc>
          <w:tcPr>
            <w:tcW w:type="dxa" w:w="2880"/>
          </w:tcPr>
          <w:p>
            <w:pPr>
              <w:spacing w:after="40" w:before="40"/>
            </w:pPr>
            <w:r>
              <w:rPr>
                <w:rFonts w:ascii="Times New Roman" w:hAnsi="Times New Roman"/>
                <w:b w:val="0"/>
                <w:sz w:val="20"/>
              </w:rPr>
              <w:t>BSAT highest necessity; core in recipe</w:t>
            </w:r>
          </w:p>
        </w:tc>
      </w:tr>
      <w:tr>
        <w:tc>
          <w:tcPr>
            <w:tcW w:type="dxa" w:w="2880"/>
          </w:tcPr>
          <w:p>
            <w:pPr>
              <w:spacing w:after="40" w:before="40"/>
            </w:pPr>
            <w:r>
              <w:rPr>
                <w:rFonts w:ascii="Times New Roman" w:hAnsi="Times New Roman"/>
                <w:b w:val="0"/>
                <w:sz w:val="20"/>
              </w:rPr>
              <w:t>Are UE/UX effects direct?</w:t>
            </w:r>
          </w:p>
        </w:tc>
        <w:tc>
          <w:tcPr>
            <w:tcW w:type="dxa" w:w="2880"/>
          </w:tcPr>
          <w:p>
            <w:pPr>
              <w:spacing w:after="40" w:before="40"/>
            </w:pPr>
            <w:r>
              <w:rPr>
                <w:rFonts w:ascii="Times New Roman" w:hAnsi="Times New Roman"/>
                <w:b w:val="0"/>
                <w:sz w:val="20"/>
              </w:rPr>
              <w:t>No — fully mediated by BSAT</w:t>
            </w:r>
          </w:p>
        </w:tc>
        <w:tc>
          <w:tcPr>
            <w:tcW w:type="dxa" w:w="2880"/>
          </w:tcPr>
          <w:p>
            <w:pPr>
              <w:spacing w:after="40" w:before="40"/>
            </w:pPr>
            <w:r>
              <w:rPr>
                <w:rFonts w:ascii="Times New Roman" w:hAnsi="Times New Roman"/>
                <w:b w:val="0"/>
                <w:sz w:val="20"/>
              </w:rPr>
              <w:t>Required jointly, with BSAT</w:t>
            </w:r>
          </w:p>
        </w:tc>
      </w:tr>
      <w:tr>
        <w:tc>
          <w:tcPr>
            <w:tcW w:type="dxa" w:w="2880"/>
          </w:tcPr>
          <w:p>
            <w:pPr>
              <w:spacing w:after="40" w:before="40"/>
            </w:pPr>
            <w:r>
              <w:rPr>
                <w:rFonts w:ascii="Times New Roman" w:hAnsi="Times New Roman"/>
                <w:b w:val="0"/>
                <w:sz w:val="20"/>
              </w:rPr>
              <w:t>Which combination yields high continuance?</w:t>
            </w:r>
          </w:p>
        </w:tc>
        <w:tc>
          <w:tcPr>
            <w:tcW w:type="dxa" w:w="2880"/>
          </w:tcPr>
          <w:p>
            <w:pPr>
              <w:spacing w:after="40" w:before="40"/>
            </w:pPr>
            <w:r>
              <w:rPr>
                <w:rFonts w:ascii="Times New Roman" w:hAnsi="Times New Roman"/>
                <w:b w:val="0"/>
                <w:sz w:val="20"/>
              </w:rPr>
              <w:t>(not addressable)</w:t>
            </w:r>
          </w:p>
        </w:tc>
        <w:tc>
          <w:tcPr>
            <w:tcW w:type="dxa" w:w="2880"/>
          </w:tcPr>
          <w:p>
            <w:pPr>
              <w:spacing w:after="40" w:before="40"/>
            </w:pPr>
            <w:r>
              <w:rPr>
                <w:rFonts w:ascii="Times New Roman" w:hAnsi="Times New Roman"/>
                <w:b w:val="0"/>
                <w:sz w:val="20"/>
              </w:rPr>
              <w:t>UE·UX·BSAT (cons.=.857, cov.=.497)</w:t>
            </w:r>
          </w:p>
        </w:tc>
      </w:tr>
      <w:tr>
        <w:tc>
          <w:tcPr>
            <w:tcW w:type="dxa" w:w="2880"/>
          </w:tcPr>
          <w:p>
            <w:pPr>
              <w:spacing w:after="40" w:before="40"/>
            </w:pPr>
            <w:r>
              <w:rPr>
                <w:rFonts w:ascii="Times New Roman" w:hAnsi="Times New Roman"/>
                <w:b w:val="0"/>
                <w:sz w:val="20"/>
              </w:rPr>
              <w:t>Is low continuance the mirror image?</w:t>
            </w:r>
          </w:p>
        </w:tc>
        <w:tc>
          <w:tcPr>
            <w:tcW w:type="dxa" w:w="2880"/>
          </w:tcPr>
          <w:p>
            <w:pPr>
              <w:spacing w:after="40" w:before="40"/>
            </w:pPr>
            <w:r>
              <w:rPr>
                <w:rFonts w:ascii="Times New Roman" w:hAnsi="Times New Roman"/>
                <w:b w:val="0"/>
                <w:sz w:val="20"/>
              </w:rPr>
              <w:t>(not addressable)</w:t>
            </w:r>
          </w:p>
        </w:tc>
        <w:tc>
          <w:tcPr>
            <w:tcW w:type="dxa" w:w="2880"/>
          </w:tcPr>
          <w:p>
            <w:pPr>
              <w:spacing w:after="40" w:before="40"/>
            </w:pPr>
            <w:r>
              <w:rPr>
                <w:rFonts w:ascii="Times New Roman" w:hAnsi="Times New Roman"/>
                <w:b w:val="0"/>
                <w:sz w:val="20"/>
              </w:rPr>
              <w:t>No — ~UE·~UX·~BSAT (asymmetry)</w:t>
            </w:r>
          </w:p>
        </w:tc>
      </w:tr>
      <w:tr>
        <w:tc>
          <w:tcPr>
            <w:tcW w:type="dxa" w:w="2880"/>
          </w:tcPr>
          <w:p>
            <w:pPr>
              <w:spacing w:after="40" w:before="40"/>
            </w:pPr>
            <w:r>
              <w:rPr>
                <w:rFonts w:ascii="Times New Roman" w:hAnsi="Times New Roman"/>
                <w:b w:val="0"/>
                <w:sz w:val="20"/>
              </w:rPr>
              <w:t>Predictive validity?</w:t>
            </w:r>
          </w:p>
        </w:tc>
        <w:tc>
          <w:tcPr>
            <w:tcW w:type="dxa" w:w="2880"/>
          </w:tcPr>
          <w:p>
            <w:pPr>
              <w:spacing w:after="40" w:before="40"/>
            </w:pPr>
            <w:r>
              <w:rPr>
                <w:rFonts w:ascii="Times New Roman" w:hAnsi="Times New Roman"/>
                <w:b w:val="0"/>
                <w:sz w:val="20"/>
              </w:rPr>
              <w:t>Q²&gt;0; PLS&lt;LM on 3/4 indicators</w:t>
            </w:r>
          </w:p>
        </w:tc>
        <w:tc>
          <w:tcPr>
            <w:tcW w:type="dxa" w:w="2880"/>
          </w:tcPr>
          <w:p>
            <w:pPr>
              <w:spacing w:after="40" w:before="40"/>
            </w:pPr>
            <w:r>
              <w:rPr>
                <w:rFonts w:ascii="Times New Roman" w:hAnsi="Times New Roman"/>
                <w:b w:val="0"/>
                <w:sz w:val="20"/>
              </w:rPr>
              <w:t>Solution stable across robustness checks</w:t>
            </w:r>
          </w:p>
        </w:tc>
      </w:tr>
    </w:tbl>
    <w:p>
      <w:pPr>
        <w:spacing w:after="160"/>
        <w:jc w:val="both"/>
      </w:pPr>
      <w:r>
        <w:rPr>
          <w:rFonts w:ascii="Times New Roman" w:hAnsi="Times New Roman"/>
          <w:i w:val="0"/>
          <w:sz w:val="24"/>
        </w:rPr>
        <w:t>In sum, satisfaction is the proximal engine of brand-system continuance, user experience is its dominant upstream antecedent, and the highest levels of continuance are reached only when engagement, experience and satisfaction are present in combination—while the route to abandonment follows its own, asymmetric logic.</w:t>
      </w:r>
    </w:p>
    <w:p>
      <w:pPr>
        <w:pStyle w:val="Heading1"/>
      </w:pPr>
      <w:r>
        <w:rPr>
          <w:rFonts w:ascii="Times New Roman" w:hAnsi="Times New Roman"/>
          <w:color w:val="000000"/>
        </w:rPr>
        <w:t>Appendix</w:t>
      </w:r>
    </w:p>
    <w:p>
      <w:pPr>
        <w:spacing w:before="120"/>
        <w:jc w:val="center"/>
      </w:pPr>
      <w:r>
        <w:drawing>
          <wp:inline xmlns:a="http://schemas.openxmlformats.org/drawingml/2006/main" xmlns:pic="http://schemas.openxmlformats.org/drawingml/2006/picture">
            <wp:extent cx="5029200" cy="4359009"/>
            <wp:docPr id="14" name="Picture 14"/>
            <wp:cNvGraphicFramePr>
              <a:graphicFrameLocks noChangeAspect="1"/>
            </wp:cNvGraphicFramePr>
            <a:graphic>
              <a:graphicData uri="http://schemas.openxmlformats.org/drawingml/2006/picture">
                <pic:pic>
                  <pic:nvPicPr>
                    <pic:cNvPr id="0" name="FigA1_item_correlations.png"/>
                    <pic:cNvPicPr/>
                  </pic:nvPicPr>
                  <pic:blipFill>
                    <a:blip r:embed="rId22"/>
                    <a:stretch>
                      <a:fillRect/>
                    </a:stretch>
                  </pic:blipFill>
                  <pic:spPr>
                    <a:xfrm>
                      <a:off x="0" y="0"/>
                      <a:ext cx="5029200" cy="4359009"/>
                    </a:xfrm>
                    <a:prstGeom prst="rect"/>
                  </pic:spPr>
                </pic:pic>
              </a:graphicData>
            </a:graphic>
          </wp:inline>
        </w:drawing>
      </w:r>
    </w:p>
    <w:p>
      <w:pPr>
        <w:spacing w:after="240"/>
        <w:jc w:val="center"/>
      </w:pPr>
      <w:r>
        <w:rPr>
          <w:rFonts w:ascii="Times New Roman" w:hAnsi="Times New Roman"/>
          <w:i/>
          <w:sz w:val="22"/>
        </w:rPr>
        <w:t>Figure A1. Item-level correlation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s="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