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Results</w:t>
      </w:r>
    </w:p>
    <w:p>
      <w:pPr>
        <w:pStyle w:val="Heading1"/>
      </w:pPr>
      <w:r>
        <w:rPr>
          <w:rFonts w:ascii="Times New Roman" w:hAnsi="Times New Roman"/>
          <w:color w:val="000000"/>
        </w:rPr>
        <w:t>Sample characteristics</w:t>
      </w:r>
    </w:p>
    <w:p>
      <w:pPr>
        <w:spacing w:after="160"/>
        <w:jc w:val="both"/>
      </w:pPr>
      <w:r>
        <w:rPr>
          <w:rFonts w:ascii="Times New Roman" w:hAnsi="Times New Roman"/>
          <w:i w:val="0"/>
          <w:sz w:val="24"/>
        </w:rPr>
        <w:t>The final sample comprised 312 complete responses from active users of avatar-mediated (metaverse-type) platforms in India; all 312 cases were retained, as there were no missing values across the 20 items and no straight-line response patterns. The demographic and platform-usage profile of the sample is summarised in Table 1.</w:t>
      </w:r>
    </w:p>
    <w:p>
      <w:pPr>
        <w:spacing w:after="160"/>
        <w:jc w:val="both"/>
      </w:pPr>
      <w:r>
        <w:rPr>
          <w:rFonts w:ascii="Times New Roman" w:hAnsi="Times New Roman"/>
          <w:i w:val="0"/>
          <w:sz w:val="24"/>
        </w:rPr>
        <w:t>The sample was reasonably balanced by gender, with a slight majority of women (54.00%, n = 169) relative to men (46.00%, n = 143). Respondents were distributed fairly evenly across the five age bands, from 18–22 years (20.51%) and 23–28 years (24.04%) through to 42–45 years (17.95%), indicating that the sample spans younger and more established adult cohorts rather than being concentrated in a single generation. In terms of marital status, the largest groups were married respondents without children (38.78%) and single respondents (34.29%), followed by married respondents with children (26.93%). Occupationally, the sample combined business professionals (39.10%), salaried employees (32.69%), and students (28.21%), and monthly family income was spread across all bands, with the largest group in the INR 50,001–80,000 range (32.05%) and meaningful representation at both lower (≤ INR 30,000: 18.40%) and higher (≥ INR 80,001: 23.91%) ends.</w:t>
      </w:r>
    </w:p>
    <w:p>
      <w:pPr>
        <w:spacing w:after="160"/>
        <w:jc w:val="both"/>
      </w:pPr>
      <w:r>
        <w:rPr>
          <w:rFonts w:ascii="Times New Roman" w:hAnsi="Times New Roman"/>
          <w:i w:val="0"/>
          <w:sz w:val="24"/>
        </w:rPr>
        <w:t>Crucially for the present study, respondents reported substantial experience with brand-relevant activities in immersive environments. A clear majority engaged with metaverse-type platforms at least weekly (71.46%: daily 16.67%, several times a week 31.41%, weekly 23.38%), and the remainder did so monthly (17.31%) or rarely (11.21%). Beyond mere access, large proportions of respondents had participated in behaviours central to brand experience in these settings: social interaction and content creation (52.56%), NFT interaction (45.19%), and virtual-event participation (41.35%). Together, this profile confirms that the respondents possessed meaningful, behaviourally grounded exposure to brands in avatar-mediated environments, supporting the relevance of the sample to the research questions.</w:t>
      </w:r>
    </w:p>
    <w:p>
      <w:pPr>
        <w:spacing w:after="80"/>
      </w:pPr>
      <w:r>
        <w:rPr>
          <w:rFonts w:ascii="Times New Roman" w:hAnsi="Times New Roman"/>
          <w:b/>
          <w:sz w:val="22"/>
        </w:rPr>
        <w:t>Table 1. Sample profile (N = 312).</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DDDDD"/>
          </w:tcPr>
          <w:p>
            <w:pPr>
              <w:spacing w:after="20" w:before="20"/>
            </w:pPr>
            <w:r>
              <w:rPr>
                <w:rFonts w:ascii="Times New Roman" w:hAnsi="Times New Roman"/>
                <w:b/>
                <w:sz w:val="20"/>
              </w:rPr>
              <w:t>Participants' information</w:t>
            </w:r>
          </w:p>
        </w:tc>
        <w:tc>
          <w:tcPr>
            <w:tcW w:type="dxa" w:w="1440"/>
            <w:shd w:val="clear" w:color="auto" w:fill="DDDDDD"/>
          </w:tcPr>
          <w:p>
            <w:pPr>
              <w:spacing w:after="20" w:before="20"/>
              <w:jc w:val="center"/>
            </w:pPr>
            <w:r>
              <w:rPr>
                <w:rFonts w:ascii="Times New Roman" w:hAnsi="Times New Roman"/>
                <w:b/>
                <w:sz w:val="20"/>
              </w:rPr>
              <w:t>n</w:t>
            </w:r>
          </w:p>
        </w:tc>
        <w:tc>
          <w:tcPr>
            <w:tcW w:type="dxa" w:w="1440"/>
            <w:shd w:val="clear" w:color="auto" w:fill="DDDDDD"/>
          </w:tcPr>
          <w:p>
            <w:pPr>
              <w:spacing w:after="20" w:before="20"/>
              <w:jc w:val="center"/>
            </w:pPr>
            <w:r>
              <w:rPr>
                <w:rFonts w:ascii="Times New Roman" w:hAnsi="Times New Roman"/>
                <w:b/>
                <w:sz w:val="20"/>
              </w:rPr>
              <w:t>%</w:t>
            </w:r>
          </w:p>
        </w:tc>
        <w:tc>
          <w:tcPr>
            <w:tcW w:type="dxa" w:w="1440"/>
            <w:shd w:val="clear" w:color="auto" w:fill="DDDDDD"/>
          </w:tcPr>
          <w:p>
            <w:pPr>
              <w:spacing w:after="20" w:before="20"/>
            </w:pPr>
            <w:r>
              <w:rPr>
                <w:rFonts w:ascii="Times New Roman" w:hAnsi="Times New Roman"/>
                <w:b/>
                <w:sz w:val="20"/>
              </w:rPr>
              <w:t>Participants' information</w:t>
            </w:r>
          </w:p>
        </w:tc>
        <w:tc>
          <w:tcPr>
            <w:tcW w:type="dxa" w:w="1440"/>
            <w:shd w:val="clear" w:color="auto" w:fill="DDDDDD"/>
          </w:tcPr>
          <w:p>
            <w:pPr>
              <w:spacing w:after="20" w:before="20"/>
              <w:jc w:val="center"/>
            </w:pPr>
            <w:r>
              <w:rPr>
                <w:rFonts w:ascii="Times New Roman" w:hAnsi="Times New Roman"/>
                <w:b/>
                <w:sz w:val="20"/>
              </w:rPr>
              <w:t>n</w:t>
            </w:r>
          </w:p>
        </w:tc>
        <w:tc>
          <w:tcPr>
            <w:tcW w:type="dxa" w:w="1440"/>
            <w:shd w:val="clear" w:color="auto" w:fill="DDDDDD"/>
          </w:tcPr>
          <w:p>
            <w:pPr>
              <w:spacing w:after="20" w:before="20"/>
              <w:jc w:val="center"/>
            </w:pPr>
            <w:r>
              <w:rPr>
                <w:rFonts w:ascii="Times New Roman" w:hAnsi="Times New Roman"/>
                <w:b/>
                <w:sz w:val="20"/>
              </w:rPr>
              <w:t>%</w:t>
            </w:r>
          </w:p>
        </w:tc>
      </w:tr>
      <w:tr>
        <w:tc>
          <w:tcPr>
            <w:tcW w:type="dxa" w:w="1440"/>
          </w:tcPr>
          <w:p>
            <w:pPr>
              <w:spacing w:after="20" w:before="20"/>
            </w:pPr>
            <w:r>
              <w:rPr>
                <w:rFonts w:ascii="Times New Roman" w:hAnsi="Times New Roman"/>
                <w:b/>
                <w:sz w:val="20"/>
              </w:rPr>
              <w:t>Gender</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b/>
                <w:sz w:val="20"/>
              </w:rPr>
              <w:t>Metaverse engagement frequency</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sz w:val="20"/>
              </w:rPr>
              <w:t>Male</w:t>
            </w:r>
          </w:p>
        </w:tc>
        <w:tc>
          <w:tcPr>
            <w:tcW w:type="dxa" w:w="1440"/>
          </w:tcPr>
          <w:p>
            <w:pPr>
              <w:spacing w:after="20" w:before="20"/>
              <w:jc w:val="center"/>
            </w:pPr>
            <w:r>
              <w:rPr>
                <w:rFonts w:ascii="Times New Roman" w:hAnsi="Times New Roman"/>
                <w:sz w:val="20"/>
              </w:rPr>
              <w:t>143</w:t>
            </w:r>
          </w:p>
        </w:tc>
        <w:tc>
          <w:tcPr>
            <w:tcW w:type="dxa" w:w="1440"/>
          </w:tcPr>
          <w:p>
            <w:pPr>
              <w:spacing w:after="20" w:before="20"/>
              <w:jc w:val="center"/>
            </w:pPr>
            <w:r>
              <w:rPr>
                <w:rFonts w:ascii="Times New Roman" w:hAnsi="Times New Roman"/>
                <w:sz w:val="20"/>
              </w:rPr>
              <w:t>46.00</w:t>
            </w:r>
          </w:p>
        </w:tc>
        <w:tc>
          <w:tcPr>
            <w:tcW w:type="dxa" w:w="1440"/>
          </w:tcPr>
          <w:p>
            <w:pPr>
              <w:spacing w:after="20" w:before="20"/>
            </w:pPr>
            <w:r>
              <w:rPr>
                <w:rFonts w:ascii="Times New Roman" w:hAnsi="Times New Roman"/>
                <w:sz w:val="20"/>
              </w:rPr>
              <w:t>Daily</w:t>
            </w:r>
          </w:p>
        </w:tc>
        <w:tc>
          <w:tcPr>
            <w:tcW w:type="dxa" w:w="1440"/>
          </w:tcPr>
          <w:p>
            <w:pPr>
              <w:spacing w:after="20" w:before="20"/>
              <w:jc w:val="center"/>
            </w:pPr>
            <w:r>
              <w:rPr>
                <w:rFonts w:ascii="Times New Roman" w:hAnsi="Times New Roman"/>
                <w:sz w:val="20"/>
              </w:rPr>
              <w:t>52</w:t>
            </w:r>
          </w:p>
        </w:tc>
        <w:tc>
          <w:tcPr>
            <w:tcW w:type="dxa" w:w="1440"/>
          </w:tcPr>
          <w:p>
            <w:pPr>
              <w:spacing w:after="20" w:before="20"/>
              <w:jc w:val="center"/>
            </w:pPr>
            <w:r>
              <w:rPr>
                <w:rFonts w:ascii="Times New Roman" w:hAnsi="Times New Roman"/>
                <w:sz w:val="20"/>
              </w:rPr>
              <w:t>16.67</w:t>
            </w:r>
          </w:p>
        </w:tc>
      </w:tr>
      <w:tr>
        <w:tc>
          <w:tcPr>
            <w:tcW w:type="dxa" w:w="1440"/>
          </w:tcPr>
          <w:p>
            <w:pPr>
              <w:spacing w:after="20" w:before="20"/>
            </w:pPr>
            <w:r>
              <w:rPr>
                <w:rFonts w:ascii="Times New Roman" w:hAnsi="Times New Roman"/>
                <w:sz w:val="20"/>
              </w:rPr>
              <w:t>Female</w:t>
            </w:r>
          </w:p>
        </w:tc>
        <w:tc>
          <w:tcPr>
            <w:tcW w:type="dxa" w:w="1440"/>
          </w:tcPr>
          <w:p>
            <w:pPr>
              <w:spacing w:after="20" w:before="20"/>
              <w:jc w:val="center"/>
            </w:pPr>
            <w:r>
              <w:rPr>
                <w:rFonts w:ascii="Times New Roman" w:hAnsi="Times New Roman"/>
                <w:sz w:val="20"/>
              </w:rPr>
              <w:t>169</w:t>
            </w:r>
          </w:p>
        </w:tc>
        <w:tc>
          <w:tcPr>
            <w:tcW w:type="dxa" w:w="1440"/>
          </w:tcPr>
          <w:p>
            <w:pPr>
              <w:spacing w:after="20" w:before="20"/>
              <w:jc w:val="center"/>
            </w:pPr>
            <w:r>
              <w:rPr>
                <w:rFonts w:ascii="Times New Roman" w:hAnsi="Times New Roman"/>
                <w:sz w:val="20"/>
              </w:rPr>
              <w:t>54.00</w:t>
            </w:r>
          </w:p>
        </w:tc>
        <w:tc>
          <w:tcPr>
            <w:tcW w:type="dxa" w:w="1440"/>
          </w:tcPr>
          <w:p>
            <w:pPr>
              <w:spacing w:after="20" w:before="20"/>
            </w:pPr>
            <w:r>
              <w:rPr>
                <w:rFonts w:ascii="Times New Roman" w:hAnsi="Times New Roman"/>
                <w:sz w:val="20"/>
              </w:rPr>
              <w:t>Several times a week</w:t>
            </w:r>
          </w:p>
        </w:tc>
        <w:tc>
          <w:tcPr>
            <w:tcW w:type="dxa" w:w="1440"/>
          </w:tcPr>
          <w:p>
            <w:pPr>
              <w:spacing w:after="20" w:before="20"/>
              <w:jc w:val="center"/>
            </w:pPr>
            <w:r>
              <w:rPr>
                <w:rFonts w:ascii="Times New Roman" w:hAnsi="Times New Roman"/>
                <w:sz w:val="20"/>
              </w:rPr>
              <w:t>98</w:t>
            </w:r>
          </w:p>
        </w:tc>
        <w:tc>
          <w:tcPr>
            <w:tcW w:type="dxa" w:w="1440"/>
          </w:tcPr>
          <w:p>
            <w:pPr>
              <w:spacing w:after="20" w:before="20"/>
              <w:jc w:val="center"/>
            </w:pPr>
            <w:r>
              <w:rPr>
                <w:rFonts w:ascii="Times New Roman" w:hAnsi="Times New Roman"/>
                <w:sz w:val="20"/>
              </w:rPr>
              <w:t>31.41</w:t>
            </w:r>
          </w:p>
        </w:tc>
      </w:tr>
      <w:tr>
        <w:tc>
          <w:tcPr>
            <w:tcW w:type="dxa" w:w="1440"/>
          </w:tcPr>
          <w:p>
            <w:pPr>
              <w:spacing w:after="20" w:before="20"/>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sz w:val="20"/>
              </w:rPr>
              <w:t>Weekly</w:t>
            </w:r>
          </w:p>
        </w:tc>
        <w:tc>
          <w:tcPr>
            <w:tcW w:type="dxa" w:w="1440"/>
          </w:tcPr>
          <w:p>
            <w:pPr>
              <w:spacing w:after="20" w:before="20"/>
              <w:jc w:val="center"/>
            </w:pPr>
            <w:r>
              <w:rPr>
                <w:rFonts w:ascii="Times New Roman" w:hAnsi="Times New Roman"/>
                <w:sz w:val="20"/>
              </w:rPr>
              <w:t>73</w:t>
            </w:r>
          </w:p>
        </w:tc>
        <w:tc>
          <w:tcPr>
            <w:tcW w:type="dxa" w:w="1440"/>
          </w:tcPr>
          <w:p>
            <w:pPr>
              <w:spacing w:after="20" w:before="20"/>
              <w:jc w:val="center"/>
            </w:pPr>
            <w:r>
              <w:rPr>
                <w:rFonts w:ascii="Times New Roman" w:hAnsi="Times New Roman"/>
                <w:sz w:val="20"/>
              </w:rPr>
              <w:t>23.38</w:t>
            </w:r>
          </w:p>
        </w:tc>
      </w:tr>
      <w:tr>
        <w:tc>
          <w:tcPr>
            <w:tcW w:type="dxa" w:w="1440"/>
          </w:tcPr>
          <w:p>
            <w:pPr>
              <w:spacing w:after="20" w:before="20"/>
            </w:pPr>
            <w:r>
              <w:rPr>
                <w:rFonts w:ascii="Times New Roman" w:hAnsi="Times New Roman"/>
                <w:b/>
                <w:sz w:val="20"/>
              </w:rPr>
              <w:t>Age (years)</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b/>
                <w:sz w:val="20"/>
              </w:rPr>
              <w:t>Monthly</w:t>
            </w:r>
          </w:p>
        </w:tc>
        <w:tc>
          <w:tcPr>
            <w:tcW w:type="dxa" w:w="1440"/>
          </w:tcPr>
          <w:p>
            <w:pPr>
              <w:spacing w:after="20" w:before="20"/>
              <w:jc w:val="center"/>
            </w:pPr>
            <w:r>
              <w:rPr>
                <w:rFonts w:ascii="Times New Roman" w:hAnsi="Times New Roman"/>
                <w:sz w:val="20"/>
              </w:rPr>
              <w:t>54</w:t>
            </w:r>
          </w:p>
        </w:tc>
        <w:tc>
          <w:tcPr>
            <w:tcW w:type="dxa" w:w="1440"/>
          </w:tcPr>
          <w:p>
            <w:pPr>
              <w:spacing w:after="20" w:before="20"/>
              <w:jc w:val="center"/>
            </w:pPr>
            <w:r>
              <w:rPr>
                <w:rFonts w:ascii="Times New Roman" w:hAnsi="Times New Roman"/>
                <w:sz w:val="20"/>
              </w:rPr>
              <w:t>17.31</w:t>
            </w:r>
          </w:p>
        </w:tc>
      </w:tr>
      <w:tr>
        <w:tc>
          <w:tcPr>
            <w:tcW w:type="dxa" w:w="1440"/>
          </w:tcPr>
          <w:p>
            <w:pPr>
              <w:spacing w:after="20" w:before="20"/>
            </w:pPr>
            <w:r>
              <w:rPr>
                <w:rFonts w:ascii="Times New Roman" w:hAnsi="Times New Roman"/>
                <w:sz w:val="20"/>
              </w:rPr>
              <w:t>18–22</w:t>
            </w:r>
          </w:p>
        </w:tc>
        <w:tc>
          <w:tcPr>
            <w:tcW w:type="dxa" w:w="1440"/>
          </w:tcPr>
          <w:p>
            <w:pPr>
              <w:spacing w:after="20" w:before="20"/>
              <w:jc w:val="center"/>
            </w:pPr>
            <w:r>
              <w:rPr>
                <w:rFonts w:ascii="Times New Roman" w:hAnsi="Times New Roman"/>
                <w:sz w:val="20"/>
              </w:rPr>
              <w:t>64</w:t>
            </w:r>
          </w:p>
        </w:tc>
        <w:tc>
          <w:tcPr>
            <w:tcW w:type="dxa" w:w="1440"/>
          </w:tcPr>
          <w:p>
            <w:pPr>
              <w:spacing w:after="20" w:before="20"/>
              <w:jc w:val="center"/>
            </w:pPr>
            <w:r>
              <w:rPr>
                <w:rFonts w:ascii="Times New Roman" w:hAnsi="Times New Roman"/>
                <w:sz w:val="20"/>
              </w:rPr>
              <w:t>20.51</w:t>
            </w:r>
          </w:p>
        </w:tc>
        <w:tc>
          <w:tcPr>
            <w:tcW w:type="dxa" w:w="1440"/>
          </w:tcPr>
          <w:p>
            <w:pPr>
              <w:spacing w:after="20" w:before="20"/>
            </w:pPr>
            <w:r>
              <w:rPr>
                <w:rFonts w:ascii="Times New Roman" w:hAnsi="Times New Roman"/>
                <w:sz w:val="20"/>
              </w:rPr>
              <w:t>Rarely</w:t>
            </w:r>
          </w:p>
        </w:tc>
        <w:tc>
          <w:tcPr>
            <w:tcW w:type="dxa" w:w="1440"/>
          </w:tcPr>
          <w:p>
            <w:pPr>
              <w:spacing w:after="20" w:before="20"/>
              <w:jc w:val="center"/>
            </w:pPr>
            <w:r>
              <w:rPr>
                <w:rFonts w:ascii="Times New Roman" w:hAnsi="Times New Roman"/>
                <w:sz w:val="20"/>
              </w:rPr>
              <w:t>35</w:t>
            </w:r>
          </w:p>
        </w:tc>
        <w:tc>
          <w:tcPr>
            <w:tcW w:type="dxa" w:w="1440"/>
          </w:tcPr>
          <w:p>
            <w:pPr>
              <w:spacing w:after="20" w:before="20"/>
              <w:jc w:val="center"/>
            </w:pPr>
            <w:r>
              <w:rPr>
                <w:rFonts w:ascii="Times New Roman" w:hAnsi="Times New Roman"/>
                <w:sz w:val="20"/>
              </w:rPr>
              <w:t>11.21</w:t>
            </w:r>
          </w:p>
        </w:tc>
      </w:tr>
      <w:tr>
        <w:tc>
          <w:tcPr>
            <w:tcW w:type="dxa" w:w="1440"/>
          </w:tcPr>
          <w:p>
            <w:pPr>
              <w:spacing w:after="20" w:before="20"/>
            </w:pPr>
            <w:r>
              <w:rPr>
                <w:rFonts w:ascii="Times New Roman" w:hAnsi="Times New Roman"/>
                <w:sz w:val="20"/>
              </w:rPr>
              <w:t>23–28</w:t>
            </w:r>
          </w:p>
        </w:tc>
        <w:tc>
          <w:tcPr>
            <w:tcW w:type="dxa" w:w="1440"/>
          </w:tcPr>
          <w:p>
            <w:pPr>
              <w:spacing w:after="20" w:before="20"/>
              <w:jc w:val="center"/>
            </w:pPr>
            <w:r>
              <w:rPr>
                <w:rFonts w:ascii="Times New Roman" w:hAnsi="Times New Roman"/>
                <w:sz w:val="20"/>
              </w:rPr>
              <w:t>75</w:t>
            </w:r>
          </w:p>
        </w:tc>
        <w:tc>
          <w:tcPr>
            <w:tcW w:type="dxa" w:w="1440"/>
          </w:tcPr>
          <w:p>
            <w:pPr>
              <w:spacing w:after="20" w:before="20"/>
              <w:jc w:val="center"/>
            </w:pPr>
            <w:r>
              <w:rPr>
                <w:rFonts w:ascii="Times New Roman" w:hAnsi="Times New Roman"/>
                <w:sz w:val="20"/>
              </w:rPr>
              <w:t>24.04</w:t>
            </w:r>
          </w:p>
        </w:tc>
        <w:tc>
          <w:tcPr>
            <w:tcW w:type="dxa" w:w="1440"/>
          </w:tcPr>
          <w:p>
            <w:pPr>
              <w:spacing w:after="20" w:before="20"/>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b/>
                <w:sz w:val="20"/>
              </w:rPr>
              <w:t>29–34</w:t>
            </w:r>
          </w:p>
        </w:tc>
        <w:tc>
          <w:tcPr>
            <w:tcW w:type="dxa" w:w="1440"/>
          </w:tcPr>
          <w:p>
            <w:pPr>
              <w:spacing w:after="20" w:before="20"/>
              <w:jc w:val="center"/>
            </w:pPr>
            <w:r>
              <w:rPr>
                <w:rFonts w:ascii="Times New Roman" w:hAnsi="Times New Roman"/>
                <w:sz w:val="20"/>
              </w:rPr>
              <w:t>60</w:t>
            </w:r>
          </w:p>
        </w:tc>
        <w:tc>
          <w:tcPr>
            <w:tcW w:type="dxa" w:w="1440"/>
          </w:tcPr>
          <w:p>
            <w:pPr>
              <w:spacing w:after="20" w:before="20"/>
              <w:jc w:val="center"/>
            </w:pPr>
            <w:r>
              <w:rPr>
                <w:rFonts w:ascii="Times New Roman" w:hAnsi="Times New Roman"/>
                <w:sz w:val="20"/>
              </w:rPr>
              <w:t>19.23</w:t>
            </w:r>
          </w:p>
        </w:tc>
        <w:tc>
          <w:tcPr>
            <w:tcW w:type="dxa" w:w="1440"/>
          </w:tcPr>
          <w:p>
            <w:pPr>
              <w:spacing w:after="20" w:before="20"/>
            </w:pPr>
            <w:r>
              <w:rPr>
                <w:rFonts w:ascii="Times New Roman" w:hAnsi="Times New Roman"/>
                <w:b/>
                <w:sz w:val="20"/>
              </w:rPr>
              <w:t>NFT interaction</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sz w:val="20"/>
              </w:rPr>
              <w:t>35–41</w:t>
            </w:r>
          </w:p>
        </w:tc>
        <w:tc>
          <w:tcPr>
            <w:tcW w:type="dxa" w:w="1440"/>
          </w:tcPr>
          <w:p>
            <w:pPr>
              <w:spacing w:after="20" w:before="20"/>
              <w:jc w:val="center"/>
            </w:pPr>
            <w:r>
              <w:rPr>
                <w:rFonts w:ascii="Times New Roman" w:hAnsi="Times New Roman"/>
                <w:sz w:val="20"/>
              </w:rPr>
              <w:t>57</w:t>
            </w:r>
          </w:p>
        </w:tc>
        <w:tc>
          <w:tcPr>
            <w:tcW w:type="dxa" w:w="1440"/>
          </w:tcPr>
          <w:p>
            <w:pPr>
              <w:spacing w:after="20" w:before="20"/>
              <w:jc w:val="center"/>
            </w:pPr>
            <w:r>
              <w:rPr>
                <w:rFonts w:ascii="Times New Roman" w:hAnsi="Times New Roman"/>
                <w:sz w:val="20"/>
              </w:rPr>
              <w:t>18.27</w:t>
            </w:r>
          </w:p>
        </w:tc>
        <w:tc>
          <w:tcPr>
            <w:tcW w:type="dxa" w:w="1440"/>
          </w:tcPr>
          <w:p>
            <w:pPr>
              <w:spacing w:after="20" w:before="20"/>
            </w:pPr>
            <w:r>
              <w:rPr>
                <w:rFonts w:ascii="Times New Roman" w:hAnsi="Times New Roman"/>
                <w:sz w:val="20"/>
              </w:rPr>
              <w:t>Yes</w:t>
            </w:r>
          </w:p>
        </w:tc>
        <w:tc>
          <w:tcPr>
            <w:tcW w:type="dxa" w:w="1440"/>
          </w:tcPr>
          <w:p>
            <w:pPr>
              <w:spacing w:after="20" w:before="20"/>
              <w:jc w:val="center"/>
            </w:pPr>
            <w:r>
              <w:rPr>
                <w:rFonts w:ascii="Times New Roman" w:hAnsi="Times New Roman"/>
                <w:sz w:val="20"/>
              </w:rPr>
              <w:t>141</w:t>
            </w:r>
          </w:p>
        </w:tc>
        <w:tc>
          <w:tcPr>
            <w:tcW w:type="dxa" w:w="1440"/>
          </w:tcPr>
          <w:p>
            <w:pPr>
              <w:spacing w:after="20" w:before="20"/>
              <w:jc w:val="center"/>
            </w:pPr>
            <w:r>
              <w:rPr>
                <w:rFonts w:ascii="Times New Roman" w:hAnsi="Times New Roman"/>
                <w:sz w:val="20"/>
              </w:rPr>
              <w:t>45.19</w:t>
            </w:r>
          </w:p>
        </w:tc>
      </w:tr>
      <w:tr>
        <w:tc>
          <w:tcPr>
            <w:tcW w:type="dxa" w:w="1440"/>
          </w:tcPr>
          <w:p>
            <w:pPr>
              <w:spacing w:after="20" w:before="20"/>
            </w:pPr>
            <w:r>
              <w:rPr>
                <w:rFonts w:ascii="Times New Roman" w:hAnsi="Times New Roman"/>
                <w:sz w:val="20"/>
              </w:rPr>
              <w:t>42–45</w:t>
            </w:r>
          </w:p>
        </w:tc>
        <w:tc>
          <w:tcPr>
            <w:tcW w:type="dxa" w:w="1440"/>
          </w:tcPr>
          <w:p>
            <w:pPr>
              <w:spacing w:after="20" w:before="20"/>
              <w:jc w:val="center"/>
            </w:pPr>
            <w:r>
              <w:rPr>
                <w:rFonts w:ascii="Times New Roman" w:hAnsi="Times New Roman"/>
                <w:sz w:val="20"/>
              </w:rPr>
              <w:t>56</w:t>
            </w:r>
          </w:p>
        </w:tc>
        <w:tc>
          <w:tcPr>
            <w:tcW w:type="dxa" w:w="1440"/>
          </w:tcPr>
          <w:p>
            <w:pPr>
              <w:spacing w:after="20" w:before="20"/>
              <w:jc w:val="center"/>
            </w:pPr>
            <w:r>
              <w:rPr>
                <w:rFonts w:ascii="Times New Roman" w:hAnsi="Times New Roman"/>
                <w:sz w:val="20"/>
              </w:rPr>
              <w:t>17.95</w:t>
            </w:r>
          </w:p>
        </w:tc>
        <w:tc>
          <w:tcPr>
            <w:tcW w:type="dxa" w:w="1440"/>
          </w:tcPr>
          <w:p>
            <w:pPr>
              <w:spacing w:after="20" w:before="20"/>
            </w:pPr>
            <w:r>
              <w:rPr>
                <w:rFonts w:ascii="Times New Roman" w:hAnsi="Times New Roman"/>
                <w:sz w:val="20"/>
              </w:rPr>
              <w:t>No</w:t>
            </w:r>
          </w:p>
        </w:tc>
        <w:tc>
          <w:tcPr>
            <w:tcW w:type="dxa" w:w="1440"/>
          </w:tcPr>
          <w:p>
            <w:pPr>
              <w:spacing w:after="20" w:before="20"/>
              <w:jc w:val="center"/>
            </w:pPr>
            <w:r>
              <w:rPr>
                <w:rFonts w:ascii="Times New Roman" w:hAnsi="Times New Roman"/>
                <w:sz w:val="20"/>
              </w:rPr>
              <w:t>171</w:t>
            </w:r>
          </w:p>
        </w:tc>
        <w:tc>
          <w:tcPr>
            <w:tcW w:type="dxa" w:w="1440"/>
          </w:tcPr>
          <w:p>
            <w:pPr>
              <w:spacing w:after="20" w:before="20"/>
              <w:jc w:val="center"/>
            </w:pPr>
            <w:r>
              <w:rPr>
                <w:rFonts w:ascii="Times New Roman" w:hAnsi="Times New Roman"/>
                <w:sz w:val="20"/>
              </w:rPr>
              <w:t>54.81</w:t>
            </w:r>
          </w:p>
        </w:tc>
      </w:tr>
      <w:tr>
        <w:tc>
          <w:tcPr>
            <w:tcW w:type="dxa" w:w="1440"/>
          </w:tcPr>
          <w:p>
            <w:pPr>
              <w:spacing w:after="20" w:before="20"/>
            </w:pPr>
            <w:r>
              <w:rPr>
                <w:rFonts w:ascii="Times New Roman" w:hAnsi="Times New Roman"/>
                <w:b/>
                <w:sz w:val="20"/>
              </w:rPr>
              <w:t>Marital status</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b/>
                <w:sz w:val="20"/>
              </w:rPr>
              <w:t>Virtual event participation</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sz w:val="20"/>
              </w:rPr>
              <w:t>Single</w:t>
            </w:r>
          </w:p>
        </w:tc>
        <w:tc>
          <w:tcPr>
            <w:tcW w:type="dxa" w:w="1440"/>
          </w:tcPr>
          <w:p>
            <w:pPr>
              <w:spacing w:after="20" w:before="20"/>
              <w:jc w:val="center"/>
            </w:pPr>
            <w:r>
              <w:rPr>
                <w:rFonts w:ascii="Times New Roman" w:hAnsi="Times New Roman"/>
                <w:sz w:val="20"/>
              </w:rPr>
              <w:t>107</w:t>
            </w:r>
          </w:p>
        </w:tc>
        <w:tc>
          <w:tcPr>
            <w:tcW w:type="dxa" w:w="1440"/>
          </w:tcPr>
          <w:p>
            <w:pPr>
              <w:spacing w:after="20" w:before="20"/>
              <w:jc w:val="center"/>
            </w:pPr>
            <w:r>
              <w:rPr>
                <w:rFonts w:ascii="Times New Roman" w:hAnsi="Times New Roman"/>
                <w:sz w:val="20"/>
              </w:rPr>
              <w:t>34.29</w:t>
            </w:r>
          </w:p>
        </w:tc>
        <w:tc>
          <w:tcPr>
            <w:tcW w:type="dxa" w:w="1440"/>
          </w:tcPr>
          <w:p>
            <w:pPr>
              <w:spacing w:after="20" w:before="20"/>
            </w:pPr>
            <w:r>
              <w:rPr>
                <w:rFonts w:ascii="Times New Roman" w:hAnsi="Times New Roman"/>
                <w:sz w:val="20"/>
              </w:rPr>
              <w:t>Yes</w:t>
            </w:r>
          </w:p>
        </w:tc>
        <w:tc>
          <w:tcPr>
            <w:tcW w:type="dxa" w:w="1440"/>
          </w:tcPr>
          <w:p>
            <w:pPr>
              <w:spacing w:after="20" w:before="20"/>
              <w:jc w:val="center"/>
            </w:pPr>
            <w:r>
              <w:rPr>
                <w:rFonts w:ascii="Times New Roman" w:hAnsi="Times New Roman"/>
                <w:sz w:val="20"/>
              </w:rPr>
              <w:t>129</w:t>
            </w:r>
          </w:p>
        </w:tc>
        <w:tc>
          <w:tcPr>
            <w:tcW w:type="dxa" w:w="1440"/>
          </w:tcPr>
          <w:p>
            <w:pPr>
              <w:spacing w:after="20" w:before="20"/>
              <w:jc w:val="center"/>
            </w:pPr>
            <w:r>
              <w:rPr>
                <w:rFonts w:ascii="Times New Roman" w:hAnsi="Times New Roman"/>
                <w:sz w:val="20"/>
              </w:rPr>
              <w:t>41.35</w:t>
            </w:r>
          </w:p>
        </w:tc>
      </w:tr>
      <w:tr>
        <w:tc>
          <w:tcPr>
            <w:tcW w:type="dxa" w:w="1440"/>
          </w:tcPr>
          <w:p>
            <w:pPr>
              <w:spacing w:after="20" w:before="20"/>
            </w:pPr>
            <w:r>
              <w:rPr>
                <w:rFonts w:ascii="Times New Roman" w:hAnsi="Times New Roman"/>
                <w:sz w:val="20"/>
              </w:rPr>
              <w:t>Married with children</w:t>
            </w:r>
          </w:p>
        </w:tc>
        <w:tc>
          <w:tcPr>
            <w:tcW w:type="dxa" w:w="1440"/>
          </w:tcPr>
          <w:p>
            <w:pPr>
              <w:spacing w:after="20" w:before="20"/>
              <w:jc w:val="center"/>
            </w:pPr>
            <w:r>
              <w:rPr>
                <w:rFonts w:ascii="Times New Roman" w:hAnsi="Times New Roman"/>
                <w:sz w:val="20"/>
              </w:rPr>
              <w:t>84</w:t>
            </w:r>
          </w:p>
        </w:tc>
        <w:tc>
          <w:tcPr>
            <w:tcW w:type="dxa" w:w="1440"/>
          </w:tcPr>
          <w:p>
            <w:pPr>
              <w:spacing w:after="20" w:before="20"/>
              <w:jc w:val="center"/>
            </w:pPr>
            <w:r>
              <w:rPr>
                <w:rFonts w:ascii="Times New Roman" w:hAnsi="Times New Roman"/>
                <w:sz w:val="20"/>
              </w:rPr>
              <w:t>26.93</w:t>
            </w:r>
          </w:p>
        </w:tc>
        <w:tc>
          <w:tcPr>
            <w:tcW w:type="dxa" w:w="1440"/>
          </w:tcPr>
          <w:p>
            <w:pPr>
              <w:spacing w:after="20" w:before="20"/>
            </w:pPr>
            <w:r>
              <w:rPr>
                <w:rFonts w:ascii="Times New Roman" w:hAnsi="Times New Roman"/>
                <w:sz w:val="20"/>
              </w:rPr>
              <w:t>No</w:t>
            </w:r>
          </w:p>
        </w:tc>
        <w:tc>
          <w:tcPr>
            <w:tcW w:type="dxa" w:w="1440"/>
          </w:tcPr>
          <w:p>
            <w:pPr>
              <w:spacing w:after="20" w:before="20"/>
              <w:jc w:val="center"/>
            </w:pPr>
            <w:r>
              <w:rPr>
                <w:rFonts w:ascii="Times New Roman" w:hAnsi="Times New Roman"/>
                <w:sz w:val="20"/>
              </w:rPr>
              <w:t>183</w:t>
            </w:r>
          </w:p>
        </w:tc>
        <w:tc>
          <w:tcPr>
            <w:tcW w:type="dxa" w:w="1440"/>
          </w:tcPr>
          <w:p>
            <w:pPr>
              <w:spacing w:after="20" w:before="20"/>
              <w:jc w:val="center"/>
            </w:pPr>
            <w:r>
              <w:rPr>
                <w:rFonts w:ascii="Times New Roman" w:hAnsi="Times New Roman"/>
                <w:sz w:val="20"/>
              </w:rPr>
              <w:t>58.65</w:t>
            </w:r>
          </w:p>
        </w:tc>
      </w:tr>
      <w:tr>
        <w:tc>
          <w:tcPr>
            <w:tcW w:type="dxa" w:w="1440"/>
          </w:tcPr>
          <w:p>
            <w:pPr>
              <w:spacing w:after="20" w:before="20"/>
            </w:pPr>
            <w:r>
              <w:rPr>
                <w:rFonts w:ascii="Times New Roman" w:hAnsi="Times New Roman"/>
                <w:b/>
                <w:sz w:val="20"/>
              </w:rPr>
              <w:t>Married without children</w:t>
            </w:r>
          </w:p>
        </w:tc>
        <w:tc>
          <w:tcPr>
            <w:tcW w:type="dxa" w:w="1440"/>
          </w:tcPr>
          <w:p>
            <w:pPr>
              <w:spacing w:after="20" w:before="20"/>
              <w:jc w:val="center"/>
            </w:pPr>
            <w:r>
              <w:rPr>
                <w:rFonts w:ascii="Times New Roman" w:hAnsi="Times New Roman"/>
                <w:sz w:val="20"/>
              </w:rPr>
              <w:t>121</w:t>
            </w:r>
          </w:p>
        </w:tc>
        <w:tc>
          <w:tcPr>
            <w:tcW w:type="dxa" w:w="1440"/>
          </w:tcPr>
          <w:p>
            <w:pPr>
              <w:spacing w:after="20" w:before="20"/>
              <w:jc w:val="center"/>
            </w:pPr>
            <w:r>
              <w:rPr>
                <w:rFonts w:ascii="Times New Roman" w:hAnsi="Times New Roman"/>
                <w:sz w:val="20"/>
              </w:rPr>
              <w:t>38.78</w:t>
            </w:r>
          </w:p>
        </w:tc>
        <w:tc>
          <w:tcPr>
            <w:tcW w:type="dxa" w:w="1440"/>
          </w:tcPr>
          <w:p>
            <w:pPr>
              <w:spacing w:after="20" w:before="20"/>
            </w:pPr>
            <w:r>
              <w:rPr>
                <w:rFonts w:ascii="Times New Roman" w:hAnsi="Times New Roman"/>
                <w:b/>
                <w:sz w:val="20"/>
              </w:rPr>
              <w:t>Social interaction / content creation</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sz w:val="20"/>
              </w:rPr>
              <w:t>Yes</w:t>
            </w:r>
          </w:p>
        </w:tc>
        <w:tc>
          <w:tcPr>
            <w:tcW w:type="dxa" w:w="1440"/>
          </w:tcPr>
          <w:p>
            <w:pPr>
              <w:spacing w:after="20" w:before="20"/>
              <w:jc w:val="center"/>
            </w:pPr>
            <w:r>
              <w:rPr>
                <w:rFonts w:ascii="Times New Roman" w:hAnsi="Times New Roman"/>
                <w:sz w:val="20"/>
              </w:rPr>
              <w:t>164</w:t>
            </w:r>
          </w:p>
        </w:tc>
        <w:tc>
          <w:tcPr>
            <w:tcW w:type="dxa" w:w="1440"/>
          </w:tcPr>
          <w:p>
            <w:pPr>
              <w:spacing w:after="20" w:before="20"/>
              <w:jc w:val="center"/>
            </w:pPr>
            <w:r>
              <w:rPr>
                <w:rFonts w:ascii="Times New Roman" w:hAnsi="Times New Roman"/>
                <w:sz w:val="20"/>
              </w:rPr>
              <w:t>52.56</w:t>
            </w:r>
          </w:p>
        </w:tc>
      </w:tr>
      <w:tr>
        <w:tc>
          <w:tcPr>
            <w:tcW w:type="dxa" w:w="1440"/>
          </w:tcPr>
          <w:p>
            <w:pPr>
              <w:spacing w:after="20" w:before="20"/>
            </w:pPr>
            <w:r>
              <w:rPr>
                <w:rFonts w:ascii="Times New Roman" w:hAnsi="Times New Roman"/>
                <w:b/>
                <w:sz w:val="20"/>
              </w:rPr>
              <w:t>Occupation</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b/>
                <w:sz w:val="20"/>
              </w:rPr>
              <w:t>No</w:t>
            </w:r>
          </w:p>
        </w:tc>
        <w:tc>
          <w:tcPr>
            <w:tcW w:type="dxa" w:w="1440"/>
          </w:tcPr>
          <w:p>
            <w:pPr>
              <w:spacing w:after="20" w:before="20"/>
              <w:jc w:val="center"/>
            </w:pPr>
            <w:r>
              <w:rPr>
                <w:rFonts w:ascii="Times New Roman" w:hAnsi="Times New Roman"/>
                <w:sz w:val="20"/>
              </w:rPr>
              <w:t>148</w:t>
            </w:r>
          </w:p>
        </w:tc>
        <w:tc>
          <w:tcPr>
            <w:tcW w:type="dxa" w:w="1440"/>
          </w:tcPr>
          <w:p>
            <w:pPr>
              <w:spacing w:after="20" w:before="20"/>
              <w:jc w:val="center"/>
            </w:pPr>
            <w:r>
              <w:rPr>
                <w:rFonts w:ascii="Times New Roman" w:hAnsi="Times New Roman"/>
                <w:sz w:val="20"/>
              </w:rPr>
              <w:t>47.44</w:t>
            </w:r>
          </w:p>
        </w:tc>
      </w:tr>
      <w:tr>
        <w:tc>
          <w:tcPr>
            <w:tcW w:type="dxa" w:w="1440"/>
          </w:tcPr>
          <w:p>
            <w:pPr>
              <w:spacing w:after="20" w:before="20"/>
            </w:pPr>
            <w:r>
              <w:rPr>
                <w:rFonts w:ascii="Times New Roman" w:hAnsi="Times New Roman"/>
                <w:b/>
                <w:sz w:val="20"/>
              </w:rPr>
              <w:t>Students</w:t>
            </w:r>
          </w:p>
        </w:tc>
        <w:tc>
          <w:tcPr>
            <w:tcW w:type="dxa" w:w="1440"/>
          </w:tcPr>
          <w:p>
            <w:pPr>
              <w:spacing w:after="20" w:before="20"/>
              <w:jc w:val="center"/>
            </w:pPr>
            <w:r>
              <w:rPr>
                <w:rFonts w:ascii="Times New Roman" w:hAnsi="Times New Roman"/>
                <w:sz w:val="20"/>
              </w:rPr>
              <w:t>88</w:t>
            </w:r>
          </w:p>
        </w:tc>
        <w:tc>
          <w:tcPr>
            <w:tcW w:type="dxa" w:w="1440"/>
          </w:tcPr>
          <w:p>
            <w:pPr>
              <w:spacing w:after="20" w:before="20"/>
              <w:jc w:val="center"/>
            </w:pPr>
            <w:r>
              <w:rPr>
                <w:rFonts w:ascii="Times New Roman" w:hAnsi="Times New Roman"/>
                <w:sz w:val="20"/>
              </w:rPr>
              <w:t>28.21</w:t>
            </w:r>
          </w:p>
        </w:tc>
        <w:tc>
          <w:tcPr>
            <w:tcW w:type="dxa" w:w="1440"/>
          </w:tcPr>
          <w:p>
            <w:pPr>
              <w:spacing w:after="20" w:before="20"/>
            </w:pPr>
            <w:r>
              <w:rPr>
                <w:rFonts w:ascii="Times New Roman" w:hAnsi="Times New Roman"/>
                <w:b/>
                <w:sz w:val="20"/>
              </w:rPr>
              <w:t>Monthly family income</w:t>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r>
      <w:tr>
        <w:tc>
          <w:tcPr>
            <w:tcW w:type="dxa" w:w="1440"/>
          </w:tcPr>
          <w:p>
            <w:pPr>
              <w:spacing w:after="20" w:before="20"/>
            </w:pPr>
            <w:r>
              <w:rPr>
                <w:rFonts w:ascii="Times New Roman" w:hAnsi="Times New Roman"/>
                <w:sz w:val="20"/>
              </w:rPr>
              <w:t>Job</w:t>
            </w:r>
          </w:p>
        </w:tc>
        <w:tc>
          <w:tcPr>
            <w:tcW w:type="dxa" w:w="1440"/>
          </w:tcPr>
          <w:p>
            <w:pPr>
              <w:spacing w:after="20" w:before="20"/>
              <w:jc w:val="center"/>
            </w:pPr>
            <w:r>
              <w:rPr>
                <w:rFonts w:ascii="Times New Roman" w:hAnsi="Times New Roman"/>
                <w:sz w:val="20"/>
              </w:rPr>
              <w:t>102</w:t>
            </w:r>
          </w:p>
        </w:tc>
        <w:tc>
          <w:tcPr>
            <w:tcW w:type="dxa" w:w="1440"/>
          </w:tcPr>
          <w:p>
            <w:pPr>
              <w:spacing w:after="20" w:before="20"/>
              <w:jc w:val="center"/>
            </w:pPr>
            <w:r>
              <w:rPr>
                <w:rFonts w:ascii="Times New Roman" w:hAnsi="Times New Roman"/>
                <w:sz w:val="20"/>
              </w:rPr>
              <w:t>32.69</w:t>
            </w:r>
          </w:p>
        </w:tc>
        <w:tc>
          <w:tcPr>
            <w:tcW w:type="dxa" w:w="1440"/>
          </w:tcPr>
          <w:p>
            <w:pPr>
              <w:spacing w:after="20" w:before="20"/>
            </w:pPr>
            <w:r>
              <w:rPr>
                <w:rFonts w:ascii="Times New Roman" w:hAnsi="Times New Roman"/>
                <w:sz w:val="20"/>
              </w:rPr>
              <w:t>INR 30,000 or less</w:t>
            </w:r>
          </w:p>
        </w:tc>
        <w:tc>
          <w:tcPr>
            <w:tcW w:type="dxa" w:w="1440"/>
          </w:tcPr>
          <w:p>
            <w:pPr>
              <w:spacing w:after="20" w:before="20"/>
              <w:jc w:val="center"/>
            </w:pPr>
            <w:r>
              <w:rPr>
                <w:rFonts w:ascii="Times New Roman" w:hAnsi="Times New Roman"/>
                <w:sz w:val="20"/>
              </w:rPr>
              <w:t>57</w:t>
            </w:r>
          </w:p>
        </w:tc>
        <w:tc>
          <w:tcPr>
            <w:tcW w:type="dxa" w:w="1440"/>
          </w:tcPr>
          <w:p>
            <w:pPr>
              <w:spacing w:after="20" w:before="20"/>
              <w:jc w:val="center"/>
            </w:pPr>
            <w:r>
              <w:rPr>
                <w:rFonts w:ascii="Times New Roman" w:hAnsi="Times New Roman"/>
                <w:sz w:val="20"/>
              </w:rPr>
              <w:t>18.40</w:t>
            </w:r>
          </w:p>
        </w:tc>
      </w:tr>
      <w:tr>
        <w:tc>
          <w:tcPr>
            <w:tcW w:type="dxa" w:w="1440"/>
          </w:tcPr>
          <w:p>
            <w:pPr>
              <w:spacing w:after="20" w:before="20"/>
            </w:pPr>
            <w:r>
              <w:rPr>
                <w:rFonts w:ascii="Times New Roman" w:hAnsi="Times New Roman"/>
                <w:sz w:val="20"/>
              </w:rPr>
              <w:t>Business</w:t>
            </w:r>
          </w:p>
        </w:tc>
        <w:tc>
          <w:tcPr>
            <w:tcW w:type="dxa" w:w="1440"/>
          </w:tcPr>
          <w:p>
            <w:pPr>
              <w:spacing w:after="20" w:before="20"/>
              <w:jc w:val="center"/>
            </w:pPr>
            <w:r>
              <w:rPr>
                <w:rFonts w:ascii="Times New Roman" w:hAnsi="Times New Roman"/>
                <w:sz w:val="20"/>
              </w:rPr>
              <w:t>122</w:t>
            </w:r>
          </w:p>
        </w:tc>
        <w:tc>
          <w:tcPr>
            <w:tcW w:type="dxa" w:w="1440"/>
          </w:tcPr>
          <w:p>
            <w:pPr>
              <w:spacing w:after="20" w:before="20"/>
              <w:jc w:val="center"/>
            </w:pPr>
            <w:r>
              <w:rPr>
                <w:rFonts w:ascii="Times New Roman" w:hAnsi="Times New Roman"/>
                <w:sz w:val="20"/>
              </w:rPr>
              <w:t>39.10</w:t>
            </w:r>
          </w:p>
        </w:tc>
        <w:tc>
          <w:tcPr>
            <w:tcW w:type="dxa" w:w="1440"/>
          </w:tcPr>
          <w:p>
            <w:pPr>
              <w:spacing w:after="20" w:before="20"/>
            </w:pPr>
            <w:r>
              <w:rPr>
                <w:rFonts w:ascii="Times New Roman" w:hAnsi="Times New Roman"/>
                <w:sz w:val="20"/>
              </w:rPr>
              <w:t>INR 30,001–50,000</w:t>
            </w:r>
          </w:p>
        </w:tc>
        <w:tc>
          <w:tcPr>
            <w:tcW w:type="dxa" w:w="1440"/>
          </w:tcPr>
          <w:p>
            <w:pPr>
              <w:spacing w:after="20" w:before="20"/>
              <w:jc w:val="center"/>
            </w:pPr>
            <w:r>
              <w:rPr>
                <w:rFonts w:ascii="Times New Roman" w:hAnsi="Times New Roman"/>
                <w:sz w:val="20"/>
              </w:rPr>
              <w:t>80</w:t>
            </w:r>
          </w:p>
        </w:tc>
        <w:tc>
          <w:tcPr>
            <w:tcW w:type="dxa" w:w="1440"/>
          </w:tcPr>
          <w:p>
            <w:pPr>
              <w:spacing w:after="20" w:before="20"/>
              <w:jc w:val="center"/>
            </w:pPr>
            <w:r>
              <w:rPr>
                <w:rFonts w:ascii="Times New Roman" w:hAnsi="Times New Roman"/>
                <w:sz w:val="20"/>
              </w:rPr>
              <w:t>25.64</w:t>
            </w:r>
          </w:p>
        </w:tc>
      </w:tr>
      <w:tr>
        <w:tc>
          <w:tcPr>
            <w:tcW w:type="dxa" w:w="1440"/>
          </w:tcPr>
          <w:p>
            <w:pPr>
              <w:spacing w:after="20" w:before="20"/>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sz w:val="20"/>
              </w:rPr>
              <w:t>INR 50,001–80,000</w:t>
            </w:r>
          </w:p>
        </w:tc>
        <w:tc>
          <w:tcPr>
            <w:tcW w:type="dxa" w:w="1440"/>
          </w:tcPr>
          <w:p>
            <w:pPr>
              <w:spacing w:after="20" w:before="20"/>
              <w:jc w:val="center"/>
            </w:pPr>
            <w:r>
              <w:rPr>
                <w:rFonts w:ascii="Times New Roman" w:hAnsi="Times New Roman"/>
                <w:sz w:val="20"/>
              </w:rPr>
              <w:t>100</w:t>
            </w:r>
          </w:p>
        </w:tc>
        <w:tc>
          <w:tcPr>
            <w:tcW w:type="dxa" w:w="1440"/>
          </w:tcPr>
          <w:p>
            <w:pPr>
              <w:spacing w:after="20" w:before="20"/>
              <w:jc w:val="center"/>
            </w:pPr>
            <w:r>
              <w:rPr>
                <w:rFonts w:ascii="Times New Roman" w:hAnsi="Times New Roman"/>
                <w:sz w:val="20"/>
              </w:rPr>
              <w:t>32.05</w:t>
            </w:r>
          </w:p>
        </w:tc>
      </w:tr>
      <w:tr>
        <w:tc>
          <w:tcPr>
            <w:tcW w:type="dxa" w:w="1440"/>
          </w:tcPr>
          <w:p>
            <w:pPr>
              <w:spacing w:after="20" w:before="20"/>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jc w:val="center"/>
            </w:pPr>
            <w:r>
              <w:rPr>
                <w:rFonts w:ascii="Times New Roman" w:hAnsi="Times New Roman"/>
                <w:sz w:val="20"/>
              </w:rPr>
            </w:r>
          </w:p>
        </w:tc>
        <w:tc>
          <w:tcPr>
            <w:tcW w:type="dxa" w:w="1440"/>
          </w:tcPr>
          <w:p>
            <w:pPr>
              <w:spacing w:after="20" w:before="20"/>
            </w:pPr>
            <w:r>
              <w:rPr>
                <w:rFonts w:ascii="Times New Roman" w:hAnsi="Times New Roman"/>
                <w:sz w:val="20"/>
              </w:rPr>
              <w:t>INR 80,001 and above</w:t>
            </w:r>
          </w:p>
        </w:tc>
        <w:tc>
          <w:tcPr>
            <w:tcW w:type="dxa" w:w="1440"/>
          </w:tcPr>
          <w:p>
            <w:pPr>
              <w:spacing w:after="20" w:before="20"/>
              <w:jc w:val="center"/>
            </w:pPr>
            <w:r>
              <w:rPr>
                <w:rFonts w:ascii="Times New Roman" w:hAnsi="Times New Roman"/>
                <w:sz w:val="20"/>
              </w:rPr>
              <w:t>75</w:t>
            </w:r>
          </w:p>
        </w:tc>
        <w:tc>
          <w:tcPr>
            <w:tcW w:type="dxa" w:w="1440"/>
          </w:tcPr>
          <w:p>
            <w:pPr>
              <w:spacing w:after="20" w:before="20"/>
              <w:jc w:val="center"/>
            </w:pPr>
            <w:r>
              <w:rPr>
                <w:rFonts w:ascii="Times New Roman" w:hAnsi="Times New Roman"/>
                <w:sz w:val="20"/>
              </w:rPr>
              <w:t>23.91</w:t>
            </w:r>
          </w:p>
        </w:tc>
      </w:tr>
    </w:tbl>
    <w:p>
      <w:pPr>
        <w:spacing w:after="120"/>
      </w:pPr>
    </w:p>
    <w:p>
      <w:pPr>
        <w:pStyle w:val="Heading1"/>
      </w:pPr>
      <w:r>
        <w:rPr>
          <w:rFonts w:ascii="Times New Roman" w:hAnsi="Times New Roman"/>
          <w:color w:val="000000"/>
        </w:rPr>
        <w:t>Measurement model</w:t>
      </w:r>
    </w:p>
    <w:p>
      <w:pPr>
        <w:spacing w:after="160"/>
        <w:jc w:val="both"/>
      </w:pPr>
      <w:r>
        <w:rPr>
          <w:rFonts w:ascii="Times New Roman" w:hAnsi="Times New Roman"/>
          <w:i w:val="0"/>
          <w:sz w:val="24"/>
        </w:rPr>
        <w:t>We first assessed the reliability and validity of the reflective measurement model using PLS-SEM (Mode A; path-weighting scheme). Standardized factor loadings for all indicators were positive and statistically significant, ranging from 0.812 to 0.879—comfortably above the 0.708 benchmark and well clear of the more lenient 0.66 floor—indicating strong indicator reliability (Table 2; Figure 7). Internal consistency was satisfactory and non-redundant: Cronbach's alpha ranged from 0.885 to 0.892, the Dijkstra–Henseler ρ_A from 0.887 to 0.895, and composite reliability (ρ_c) from 0.918 to 0.922, all comfortably exceeding the 0.70 threshold while remaining below 0.95. Average variance extracted (AVE) values ranged from 0.692 to 0.747, exceeding the 0.50 guideline and indicating that each construct captures a substantial majority of the variance in its indicators relative to measurement error.</w:t>
      </w:r>
    </w:p>
    <w:p>
      <w:pPr>
        <w:spacing w:after="160"/>
        <w:jc w:val="both"/>
      </w:pPr>
      <w:r>
        <w:rPr>
          <w:rFonts w:ascii="Times New Roman" w:hAnsi="Times New Roman"/>
          <w:i w:val="0"/>
          <w:sz w:val="24"/>
        </w:rPr>
        <w:t>Discriminant validity was evaluated using the heterotrait–monotrait (HTMT) ratio of correlations. All HTMT values among UE, UX, BSAT, and BSUC were below the conservative 0.85 cut-off (range 0.30–0.62), with the highest value observed for the BSAT–BSUC pair (0.615) and the lowest for the UE–BSUC pair (0.298), indicating that each construct is empirically distinguishable from the others (Table 4; Figure 5). The Fornell–Larcker criterion corroborated this: for every construct, the square root of the AVE exceeded its correlations with all other constructs, and the inter-construct correlations were moderate (0.27–0.55) and below the respective reliability estimates (Table 3; Figure 6). The cross-loading matrix showed each indicator loading highest on its intended construct by a margin of at least 0.40.</w:t>
      </w:r>
    </w:p>
    <w:p>
      <w:pPr>
        <w:spacing w:after="160"/>
        <w:jc w:val="both"/>
      </w:pPr>
      <w:r>
        <w:rPr>
          <w:rFonts w:ascii="Times New Roman" w:hAnsi="Times New Roman"/>
          <w:i w:val="0"/>
          <w:sz w:val="24"/>
        </w:rPr>
        <w:t>To assess common method bias, we complemented procedural remedies with statistical diagnostics. Harman's single-factor test attributed only 34.4% of the variance to the first unrotated factor, below the 50% threshold. A full collinearity assessment confirmed this: variance inflation factor (VIF) values for all latent variables were well below the recommended 3.3 cut-off (maximum inner VIF = 1.35; maximum outer VIF = 2.46), suggesting that common method variance is unlikely to pose a serious threat (Kock, 2015). Taken together, these results support the adequacy of the measurement model.</w:t>
      </w:r>
    </w:p>
    <w:p>
      <w:pPr>
        <w:pStyle w:val="Heading1"/>
      </w:pPr>
      <w:r>
        <w:rPr>
          <w:rFonts w:ascii="Times New Roman" w:hAnsi="Times New Roman"/>
          <w:color w:val="000000"/>
        </w:rPr>
        <w:t>Structural model</w:t>
      </w:r>
    </w:p>
    <w:p>
      <w:pPr>
        <w:spacing w:after="160"/>
        <w:jc w:val="both"/>
      </w:pPr>
      <w:r>
        <w:rPr>
          <w:rFonts w:ascii="Times New Roman" w:hAnsi="Times New Roman"/>
          <w:i w:val="0"/>
          <w:sz w:val="24"/>
        </w:rPr>
        <w:t>We next examined the structural model to test H1–H3, assessing path significance via bootstrapping with 5,000 resamples. Because H1–H3 are directional hypotheses, one-tailed tests were used for the hypothesised paths, consistent with standard PLS-SEM practice (Hair et al., 2022). The model explained meaningful variance in the endogenous constructs (R² = 0.224 for BSAT and R² = 0.315 for BSUC) and demonstrated predictive relevance (Q² = 0.160 and 0.228, respectively; SRMR = 0.047), with out-of-sample validity confirmed by PLSpredict.</w:t>
      </w:r>
    </w:p>
    <w:p>
      <w:pPr>
        <w:spacing w:after="160"/>
        <w:jc w:val="both"/>
      </w:pPr>
      <w:r>
        <w:rPr>
          <w:rFonts w:ascii="Times New Roman" w:hAnsi="Times New Roman"/>
          <w:i w:val="0"/>
          <w:sz w:val="24"/>
        </w:rPr>
        <w:t>User engagement (UE) and user experience (UX) both showed positive, statistically significant direct relationships with brand success (BSUC) (UE → BSUC: β = 0.088, t = 1.82, one-tailed p = .035; UX → BSUC: β = 0.095, t = 1.78, one-tailed p = .038), supporting H1 and H2 (Table 8; Figure 1). Users who reported higher cognitive, emotional, and behavioural involvement with brands in avatar-mediated environments, and who rated their interaction experiences as more immersive, enjoyable, and usable, also reported stronger continuance, purchase, and advocacy intentions toward those brands.</w:t>
      </w:r>
    </w:p>
    <w:p>
      <w:pPr>
        <w:spacing w:after="160"/>
        <w:jc w:val="both"/>
      </w:pPr>
      <w:r>
        <w:rPr>
          <w:rFonts w:ascii="Times New Roman" w:hAnsi="Times New Roman"/>
          <w:i w:val="0"/>
          <w:sz w:val="24"/>
        </w:rPr>
        <w:t>Brand satisfaction (BSAT) was strongly and positively associated with BSUC (β = 0.476, t = 10.15, p &lt; .001), and both UE and UX were positively associated with BSAT (UE → BSAT: β = 0.157, t = 2.89, p = .004; UX → BSAT: β = 0.393, t = 7.59, p &lt; .001), indicating that more engaging and higher-quality avatar-mediated experiences translate into more favourable overall evaluations of the brand. Bootstrapped indirect effects from UE and UX to BSUC via BSAT were both positive and significant (UE → BSAT → BSUC: 0.075, 95% CI [0.024, 0.132]; UX → BSAT → BSUC: 0.187, 95% CI [0.131, 0.251]), supporting H3 and indicating that brand satisfaction mediates the influence of engagement and experience on brand success (Table 9). Because the direct effects of UE and UX on BSUC remained significant when BSAT was included, and because each direct effect and its corresponding indirect effect carry the same (positive) sign, the data point to complementary partial mediation (Zhao et al., 2010; Nitzl et al., 2016) rather than full mediation. The total effects on brand success ranked the antecedents as BSAT (0.476) &gt; UX (0.282) &gt; UE (0.162).</w:t>
      </w:r>
    </w:p>
    <w:p>
      <w:pPr>
        <w:spacing w:after="160"/>
        <w:jc w:val="both"/>
      </w:pPr>
      <w:r>
        <w:rPr>
          <w:rFonts w:ascii="Times New Roman" w:hAnsi="Times New Roman"/>
          <w:i w:val="0"/>
          <w:sz w:val="24"/>
        </w:rPr>
        <w:t>Overall, the structural model provides evidence that SDT-consistent manifestations of need satisfaction at the interaction level—captured through UE and UX—shape brand-level outcomes both directly and through users' satisfaction with the brand's immersive presence.</w:t>
      </w:r>
    </w:p>
    <w:p>
      <w:pPr>
        <w:pStyle w:val="Heading1"/>
      </w:pPr>
      <w:r>
        <w:rPr>
          <w:rFonts w:ascii="Times New Roman" w:hAnsi="Times New Roman"/>
          <w:color w:val="000000"/>
        </w:rPr>
        <w:t>Configurational analysis (fsQCA)</w:t>
      </w:r>
    </w:p>
    <w:p>
      <w:pPr>
        <w:spacing w:after="160"/>
        <w:jc w:val="both"/>
      </w:pPr>
      <w:r>
        <w:rPr>
          <w:rFonts w:ascii="Times New Roman" w:hAnsi="Times New Roman"/>
          <w:i w:val="0"/>
          <w:sz w:val="24"/>
        </w:rPr>
        <w:t>To explore whether different combinations of UE, UX, and BSAT can lead to high brand success, we applied fuzzy-set qualitative comparative analysis. Composite scores for the three conditions (UE, UX, BSAT) and the outcome (BSUC) were calibrated into fuzzy sets using the direct method with theoretically informed, percentile-based anchors—full membership at the 95th percentile, the cross-over at the 50th percentile, and full non-membership at the 5th percentile (Table 10; Figure 9). The resulting truth table was analysed using standard thresholds (frequency ≥ 4 cases; raw consistency ≥ 0.80; PRI ≥ 0.70) to identify configurations sufficient for high BSUC (Table 12).</w:t>
      </w:r>
    </w:p>
    <w:p>
      <w:pPr>
        <w:spacing w:after="160"/>
        <w:jc w:val="both"/>
      </w:pPr>
      <w:r>
        <w:rPr>
          <w:rFonts w:ascii="Times New Roman" w:hAnsi="Times New Roman"/>
          <w:i w:val="0"/>
          <w:sz w:val="24"/>
        </w:rPr>
        <w:t>Analysis of necessary conditions. The fsQCA results show that no single condition is necessary for high brand success: high UE, high UX, and high BSAT each fell below the 0.90 necessity-consistency threshold (maximum = 0.751 for BSAT), consistent with the SDT-based view that different patterns of need satisfaction can sustain favourable outcomes (Table 11; Figure 11).</w:t>
      </w:r>
    </w:p>
    <w:p>
      <w:pPr>
        <w:spacing w:after="160"/>
        <w:jc w:val="both"/>
      </w:pPr>
      <w:r>
        <w:rPr>
          <w:rFonts w:ascii="Times New Roman" w:hAnsi="Times New Roman"/>
          <w:i w:val="0"/>
          <w:sz w:val="24"/>
        </w:rPr>
        <w:t>Analysis of sufficient configurations. The minimisation identified a single, highly consistent sufficient configuration for high brand success—the simultaneous presence of high UE, high UX, and high BSAT (raw consistency = 0.857, PRI = 0.737, raw coverage = 0.497; Table 13b; Figure 10). All three conditions are core because they appear in both the parsimonious and the intermediate solution (Fiss, 2011). This “full recipe” captures scenarios in which avatar-mediated environments strongly satisfy autonomy, competence, and relatedness needs, producing high engagement, rich experiences, and strong satisfaction and, consequently, the strongest brand-relevant outcomes.</w:t>
      </w:r>
    </w:p>
    <w:p>
      <w:pPr>
        <w:spacing w:after="160"/>
        <w:jc w:val="both"/>
      </w:pPr>
      <w:r>
        <w:rPr>
          <w:rFonts w:ascii="Times New Roman" w:hAnsi="Times New Roman"/>
          <w:i w:val="0"/>
          <w:sz w:val="24"/>
        </w:rPr>
        <w:t>An extended subset–superset analysis (Table 13a) clarifies this result by ordering all candidate sufficient terms. It reveals the canonical consistency–coverage trade-off: the triadic term UE · UX · BSAT attains the highest solution consistency (0.857), while less restrictive supersets achieve broader coverage at the cost of consistency—satisfaction alone (BSAT) reaches the highest coverage (0.751) but a sub-threshold PRI (0.661), and the two-condition terms UE · BSAT (consistency 0.839) and UX · BSAT (consistency 0.829) sit in between. Thus, although satisfaction is the empirically dominant ingredient, it is the conjunction of engagement, experience, and satisfaction that constitutes the most trustworthy recipe for high brand success.</w:t>
      </w:r>
    </w:p>
    <w:p>
      <w:pPr>
        <w:spacing w:after="160"/>
        <w:jc w:val="both"/>
      </w:pPr>
      <w:r>
        <w:rPr>
          <w:rFonts w:ascii="Times New Roman" w:hAnsi="Times New Roman"/>
          <w:i w:val="0"/>
          <w:sz w:val="24"/>
        </w:rPr>
        <w:t>Causal asymmetry. A separate analysis of the negated outcome returned the mirror-absence configuration ~UE · ~UX · ~BSAT (consistency = 0.861, coverage = 0.492; Figure 13), demonstrating that the recipe for low brand success is not the simple inverse of the recipe for high success.</w:t>
      </w:r>
    </w:p>
    <w:p>
      <w:pPr>
        <w:spacing w:after="160"/>
        <w:jc w:val="both"/>
      </w:pPr>
      <w:r>
        <w:rPr>
          <w:rFonts w:ascii="Times New Roman" w:hAnsi="Times New Roman"/>
          <w:i w:val="0"/>
          <w:sz w:val="24"/>
        </w:rPr>
        <w:t>Taken together, the configurational analysis complements the PLS-SEM results by showing that, while brand success in avatar-mediated environments is driven proximally by satisfaction, the highest and most consistent levels of success arise from the joint, SDT-consistent combination of engagement, experience, and satisfaction operating together, with abandonment following its own asymmetric logic.</w:t>
      </w:r>
    </w:p>
    <w:p>
      <w:pPr>
        <w:spacing w:after="160"/>
        <w:jc w:val="both"/>
        <w:shd w:val="clear" w:color="auto" w:fill="FFF2CC"/>
      </w:pPr>
      <w:r>
        <w:rPr>
          <w:rFonts w:ascii="Times New Roman" w:hAnsi="Times New Roman"/>
          <w:i/>
          <w:sz w:val="24"/>
        </w:rPr>
        <w:t>Divergence from the supplied draft narrative (fsQCA). The draft provided described three sufficient configurations (BSAT·UX with moderate UE; BSAT·UE; and UE·UX in the absence of high BSAT). The truth table derived from Responses.xlsx does not reproduce these under standard thresholds: the UE·UX·~BSAT corner has raw consistency 0.764 (&lt; 0.80) and PRI 0.443 (&lt; 0.70), so it is not sufficient; and minimising the BSAT-present corners collapses them to a single term. Under any defensible threshold set, the data yield one core “full-recipe” configuration (UE·UX·BSAT). If a multi-configuration solution is required, it would need to come from a different dataset/run or from deliberately relaxed thresholds (which would lower solution validity and should be justified explicitly). The result reported here is the one the current data actually support.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cs="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