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Cover Letter and Response to Reviewers</w:t>
      </w:r>
    </w:p>
    <w:p>
      <w:r>
        <w:t>Target journal: Psychology &amp; Marketing.</w:t>
      </w:r>
    </w:p>
    <w:p>
      <w:r>
        <w:t>Manuscript: “Configuring Brand Success in the Metaverse: How User Engagement, User Experience and Brand Satisfaction Combine in Immersive, Avatar-Mediated Brand Environments.”</w:t>
      </w:r>
    </w:p>
    <w:p>
      <w:r>
        <w:rPr>
          <w:b/>
          <w:sz w:val="24"/>
        </w:rPr>
        <w:t>Dear Editor,</w:t>
      </w:r>
    </w:p>
    <w:p>
      <w:r>
        <w:t>Please find enclosed our manuscript for consideration at Psychology &amp; Marketing. The study examines how immersive, avatar-mediated metaverse interactions shape the psychological pathways — user engagement, user experience and brand satisfaction — that lead to brand success. Grounded in Flow Theory and Self-Determination Theory and analysed with fuzzy-set qualitative comparative analysis (fsQCA), the study identifies the configurations of engagement, experience and satisfaction that are sufficient for high brand success, providing evidence of equifinality in immersive brand environments. Its focus on the psychological mechanisms underlying consumer–brand relationships in emerging digital contexts, and its configurational methodology, fit the journal’s scope and readership.</w:t>
      </w:r>
    </w:p>
    <w:p>
      <w:r>
        <w:t>We have substantially revised the manuscript in response to detailed developmental feedback; all changes are now fully integrated into the manuscript text. The summary and point-by-point table below describe the revisions.</w:t>
      </w:r>
    </w:p>
    <w:p>
      <w:r>
        <w:rPr>
          <w:b/>
          <w:sz w:val="24"/>
        </w:rPr>
        <w:t>Summary of major changes</w:t>
      </w:r>
    </w:p>
    <w:p>
      <w:pPr>
        <w:pStyle w:val="ListBullet"/>
      </w:pPr>
      <w:r>
        <w:t>Reframed the contribution and sharpened the research question around metaverse-specific features (persistent 3D spaces, avatar embodiment, synchronous social presence, user co-creation) and configurational equifinality.</w:t>
      </w:r>
    </w:p>
    <w:p>
      <w:pPr>
        <w:pStyle w:val="ListBullet"/>
      </w:pPr>
      <w:r>
        <w:t>Added a Constructs and Hypotheses section with formal definitions of UE, UX, BSAT and BSUC, explicit hypotheses (H1–H3) and a configurational proposition (P1); SDT needs and flow are framed as explanatory mechanisms, not separately measured constructs.</w:t>
      </w:r>
    </w:p>
    <w:p>
      <w:pPr>
        <w:pStyle w:val="ListBullet"/>
      </w:pPr>
      <w:r>
        <w:t>Reconciled all reliability statistics with the genuine item-level loadings: AVE, composite reliability and Cronbach’s α were recomputed from the standardized loadings and are now internally consistent (α/CR 0.77–0.90; AVE 0.45–0.51), with convergent validity defended via composite reliability (Fornell &amp; Larcker, 1981) and discriminant validity via HTMT (≤ 0.814).</w:t>
      </w:r>
    </w:p>
    <w:p>
      <w:pPr>
        <w:pStyle w:val="ListBullet"/>
      </w:pPr>
      <w:r>
        <w:t>Added Appendix A with the full set of administered measurement items (seven-point Likert).</w:t>
      </w:r>
    </w:p>
    <w:p>
      <w:pPr>
        <w:pStyle w:val="ListBullet"/>
      </w:pPr>
      <w:r>
        <w:t>Detailed the sampling protocol (eligibility, frame, randomisation, 52% response rate) and reported common-method-bias diagnostics transparently with procedural remedies.</w:t>
      </w:r>
    </w:p>
    <w:p>
      <w:pPr>
        <w:pStyle w:val="ListBullet"/>
      </w:pPr>
      <w:r>
        <w:t>Added Section 5.4 evaluating H1–H3 with the study’s fsQCA sufficiency results; disciplined all claims so that NFT/blockchain/SDT-need statements are framed as future opportunities rather than findings.</w:t>
      </w:r>
    </w:p>
    <w:p>
      <w:pPr>
        <w:pStyle w:val="ListBullet"/>
      </w:pPr>
      <w:r>
        <w:t>Standardised construct abbreviations (UE/UX/BSAT/BSUC), corrected table/figure labels and cross-references, replaced the grandiose title, and added a candid acknowledgement of the current metaverse context.</w:t>
      </w:r>
    </w:p>
    <w:p>
      <w:r>
        <w:rPr>
          <w:b/>
          <w:sz w:val="24"/>
        </w:rPr>
        <w:t>Point-by-point responses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Action taken (now in the manuscript)</w:t>
            </w:r>
          </w:p>
        </w:tc>
        <w:tc>
          <w:tcPr>
            <w:tcW w:type="dxa" w:w="2880"/>
          </w:tcPr>
          <w:p>
            <w:r>
              <w:rPr>
                <w:b/>
              </w:rPr>
              <w:t>Location</w:t>
            </w:r>
          </w:p>
        </w:tc>
      </w:tr>
      <w:tr>
        <w:tc>
          <w:tcPr>
            <w:tcW w:type="dxa" w:w="2880"/>
          </w:tcPr>
          <w:p>
            <w:r>
              <w:t>Contribution reads as re-confirming known effects.</w:t>
            </w:r>
          </w:p>
        </w:tc>
        <w:tc>
          <w:tcPr>
            <w:tcW w:type="dxa" w:w="2880"/>
          </w:tcPr>
          <w:p>
            <w:r>
              <w:t>Reframed contribution and sharpened the research question around metaverse-specific features and equifinality.</w:t>
            </w:r>
          </w:p>
        </w:tc>
        <w:tc>
          <w:tcPr>
            <w:tcW w:type="dxa" w:w="2880"/>
          </w:tcPr>
          <w:p>
            <w:r>
              <w:t>Abstract; Introduction</w:t>
            </w:r>
          </w:p>
        </w:tc>
      </w:tr>
      <w:tr>
        <w:tc>
          <w:tcPr>
            <w:tcW w:type="dxa" w:w="2880"/>
          </w:tcPr>
          <w:p>
            <w:r>
              <w:t>Constructs undefined; no hypotheses.</w:t>
            </w:r>
          </w:p>
        </w:tc>
        <w:tc>
          <w:tcPr>
            <w:tcW w:type="dxa" w:w="2880"/>
          </w:tcPr>
          <w:p>
            <w:r>
              <w:t>Added definitions of UE/UX/BSAT/BSUC, mapped SDT and Flow to the context, and stated H1–H3 and proposition P1.</w:t>
            </w:r>
          </w:p>
        </w:tc>
        <w:tc>
          <w:tcPr>
            <w:tcW w:type="dxa" w:w="2880"/>
          </w:tcPr>
          <w:p>
            <w:r>
              <w:t>Section 3.3</w:t>
            </w:r>
          </w:p>
        </w:tc>
      </w:tr>
      <w:tr>
        <w:tc>
          <w:tcPr>
            <w:tcW w:type="dxa" w:w="2880"/>
          </w:tcPr>
          <w:p>
            <w:r>
              <w:t>Items missing; validity not evaluable.</w:t>
            </w:r>
          </w:p>
        </w:tc>
        <w:tc>
          <w:tcPr>
            <w:tcW w:type="dxa" w:w="2880"/>
          </w:tcPr>
          <w:p>
            <w:r>
              <w:t>Reported per-item loadings/α/CR/AVE (Table 2) and added the full administered item set.</w:t>
            </w:r>
          </w:p>
        </w:tc>
        <w:tc>
          <w:tcPr>
            <w:tcW w:type="dxa" w:w="2880"/>
          </w:tcPr>
          <w:p>
            <w:r>
              <w:t>Section 4.3; Table 2; Appendix A</w:t>
            </w:r>
          </w:p>
        </w:tc>
      </w:tr>
      <w:tr>
        <w:tc>
          <w:tcPr>
            <w:tcW w:type="dxa" w:w="2880"/>
          </w:tcPr>
          <w:p>
            <w:r>
              <w:t>Reliability statistics internally inconsistent (loadings vs AVE/α/CR).</w:t>
            </w:r>
          </w:p>
        </w:tc>
        <w:tc>
          <w:tcPr>
            <w:tcW w:type="dxa" w:w="2880"/>
          </w:tcPr>
          <w:p>
            <w:r>
              <w:t>Recomputed α, CR and AVE from the genuine loadings; convergent validity defended via CR (Fornell &amp; Larcker, 1981).</w:t>
            </w:r>
          </w:p>
        </w:tc>
        <w:tc>
          <w:tcPr>
            <w:tcW w:type="dxa" w:w="2880"/>
          </w:tcPr>
          <w:p>
            <w:r>
              <w:t>Section 5.2; Table 2</w:t>
            </w:r>
          </w:p>
        </w:tc>
      </w:tr>
      <w:tr>
        <w:tc>
          <w:tcPr>
            <w:tcW w:type="dxa" w:w="2880"/>
          </w:tcPr>
          <w:p>
            <w:r>
              <w:t>AVE misused; discriminant validity weak.</w:t>
            </w:r>
          </w:p>
        </w:tc>
        <w:tc>
          <w:tcPr>
            <w:tcW w:type="dxa" w:w="2880"/>
          </w:tcPr>
          <w:p>
            <w:r>
              <w:t>Reframed AVE as a reliability-related metric; discriminant validity established via HTMT (all ≤ 0.814 &lt; 0.85).</w:t>
            </w:r>
          </w:p>
        </w:tc>
        <w:tc>
          <w:tcPr>
            <w:tcW w:type="dxa" w:w="2880"/>
          </w:tcPr>
          <w:p>
            <w:r>
              <w:t>Section 5.2; Table 2a</w:t>
            </w:r>
          </w:p>
        </w:tc>
      </w:tr>
      <w:tr>
        <w:tc>
          <w:tcPr>
            <w:tcW w:type="dxa" w:w="2880"/>
          </w:tcPr>
          <w:p>
            <w:r>
              <w:t>Harman’s test insufficient for CMB.</w:t>
            </w:r>
          </w:p>
        </w:tc>
        <w:tc>
          <w:tcPr>
            <w:tcW w:type="dxa" w:w="2880"/>
          </w:tcPr>
          <w:p>
            <w:r>
              <w:t>Reported the single-factor result transparently and added procedural remedies; acknowledged residual risk.</w:t>
            </w:r>
          </w:p>
        </w:tc>
        <w:tc>
          <w:tcPr>
            <w:tcW w:type="dxa" w:w="2880"/>
          </w:tcPr>
          <w:p>
            <w:r>
              <w:t>Section 5.2; Limitations</w:t>
            </w:r>
          </w:p>
        </w:tc>
      </w:tr>
      <w:tr>
        <w:tc>
          <w:tcPr>
            <w:tcW w:type="dxa" w:w="2880"/>
          </w:tcPr>
          <w:p>
            <w:r>
              <w:t>Sampling protocol unclear.</w:t>
            </w:r>
          </w:p>
        </w:tc>
        <w:tc>
          <w:tcPr>
            <w:tcW w:type="dxa" w:w="2880"/>
          </w:tcPr>
          <w:p>
            <w:r>
              <w:t>Specified eligibility/exclusion criteria, frame construction, randomisation and the 52% response rate.</w:t>
            </w:r>
          </w:p>
        </w:tc>
        <w:tc>
          <w:tcPr>
            <w:tcW w:type="dxa" w:w="2880"/>
          </w:tcPr>
          <w:p>
            <w:r>
              <w:t>Section 4.5</w:t>
            </w:r>
          </w:p>
        </w:tc>
      </w:tr>
      <w:tr>
        <w:tc>
          <w:tcPr>
            <w:tcW w:type="dxa" w:w="2880"/>
          </w:tcPr>
          <w:p>
            <w:r>
              <w:t>fsQCA value unclear; tables mislabelled; model logic.</w:t>
            </w:r>
          </w:p>
        </w:tc>
        <w:tc>
          <w:tcPr>
            <w:tcW w:type="dxa" w:w="2880"/>
          </w:tcPr>
          <w:p>
            <w:r>
              <w:t>Justified the configurational approach; corrected captions and calibration; evaluated H1–H3 configurationally.</w:t>
            </w:r>
          </w:p>
        </w:tc>
        <w:tc>
          <w:tcPr>
            <w:tcW w:type="dxa" w:w="2880"/>
          </w:tcPr>
          <w:p>
            <w:r>
              <w:t>Sections 4.1, 5.3, 5.4; Tables 5–6</w:t>
            </w:r>
          </w:p>
        </w:tc>
      </w:tr>
      <w:tr>
        <w:tc>
          <w:tcPr>
            <w:tcW w:type="dxa" w:w="2880"/>
          </w:tcPr>
          <w:p>
            <w:r>
              <w:t>Unsupported NFT/blockchain/SDT claims; grandiose writing.</w:t>
            </w:r>
          </w:p>
        </w:tc>
        <w:tc>
          <w:tcPr>
            <w:tcW w:type="dxa" w:w="2880"/>
          </w:tcPr>
          <w:p>
            <w:r>
              <w:t>Moved these to future opportunities; hedged theoretical claims; replaced the title; standardised terminology.</w:t>
            </w:r>
          </w:p>
        </w:tc>
        <w:tc>
          <w:tcPr>
            <w:tcW w:type="dxa" w:w="2880"/>
          </w:tcPr>
          <w:p>
            <w:r>
              <w:t>Discussion; Implications; throughout</w:t>
            </w:r>
          </w:p>
        </w:tc>
      </w:tr>
      <w:tr>
        <w:tc>
          <w:tcPr>
            <w:tcW w:type="dxa" w:w="2880"/>
          </w:tcPr>
          <w:p>
            <w:r>
              <w:t>Metaverse hype / industry pullback ignored.</w:t>
            </w:r>
          </w:p>
        </w:tc>
        <w:tc>
          <w:tcPr>
            <w:tcW w:type="dxa" w:w="2880"/>
          </w:tcPr>
          <w:p>
            <w:r>
              <w:t>Added a candid context paragraph repositioning relevance toward active virtual worlds and future immersive ecosystems.</w:t>
            </w:r>
          </w:p>
        </w:tc>
        <w:tc>
          <w:tcPr>
            <w:tcW w:type="dxa" w:w="2880"/>
          </w:tcPr>
          <w:p>
            <w:r>
              <w:t>Limitations</w:t>
            </w:r>
          </w:p>
        </w:tc>
      </w:tr>
    </w:tbl>
    <w:p/>
    <w:p>
      <w:r>
        <w:t>We confirm that this manuscript is original, is not under review elsewhere, and that all authors approve its submission. We thank the editor and reviewers for feedback that materially strengthened the paper, and we hope it is now suitable for Psychology &amp; Marketing.</w:t>
      </w:r>
    </w:p>
    <w:p>
      <w:r>
        <w:t>Sincerely,</w:t>
      </w:r>
    </w:p>
    <w:p>
      <w:r>
        <w:t>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