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4" w:name="pls-sem-analysis-of-the-dataset"/>
    <w:p>
      <w:pPr>
        <w:pStyle w:val="Heading1"/>
      </w:pPr>
      <w:r>
        <w:t xml:space="preserve">PLS-SEM Analysis of the Dataset</w:t>
      </w:r>
    </w:p>
    <w:p>
      <w:pPr>
        <w:pStyle w:val="FirstParagraph"/>
      </w:pPr>
      <w:r>
        <w:rPr>
          <w:b/>
          <w:bCs/>
        </w:rPr>
        <w:t xml:space="preserve">Data and Constructs:</w:t>
      </w:r>
      <w:r>
        <w:t xml:space="preserve"> </w:t>
      </w:r>
      <w:r>
        <w:t xml:space="preserve">The dataset contains 312 respondents on 21 Likert-scale items (1–7). We assume five latent constructs measured reflectively:</w:t>
      </w:r>
      <w:r>
        <w:t xml:space="preserve"> </w:t>
      </w:r>
      <w:r>
        <w:rPr>
          <w:b/>
          <w:bCs/>
        </w:rPr>
        <w:t xml:space="preserve">User Engagement (UE, 5 items UE1–UE5)</w:t>
      </w:r>
      <w:r>
        <w:t xml:space="preserve">,</w:t>
      </w:r>
      <w:r>
        <w:t xml:space="preserve"> </w:t>
      </w:r>
      <w:r>
        <w:rPr>
          <w:b/>
          <w:bCs/>
        </w:rPr>
        <w:t xml:space="preserve">User Experience (UX, 5 items UX1–UX5)</w:t>
      </w:r>
      <w:r>
        <w:t xml:space="preserve">,</w:t>
      </w:r>
      <w:r>
        <w:t xml:space="preserve"> </w:t>
      </w:r>
      <w:r>
        <w:rPr>
          <w:b/>
          <w:bCs/>
        </w:rPr>
        <w:t xml:space="preserve">Brand Satisfaction (BSAT, 4 items BSAT1–BSAT4)</w:t>
      </w:r>
      <w:r>
        <w:t xml:space="preserve">,</w:t>
      </w:r>
      <w:r>
        <w:t xml:space="preserve"> </w:t>
      </w:r>
      <w:r>
        <w:rPr>
          <w:b/>
          <w:bCs/>
        </w:rPr>
        <w:t xml:space="preserve">Brand Success (BSUC, 4 items BSUC1–BSUC4)</w:t>
      </w:r>
      <w:r>
        <w:t xml:space="preserve">, and</w:t>
      </w:r>
      <w:r>
        <w:t xml:space="preserve"> </w:t>
      </w:r>
      <w:r>
        <w:rPr>
          <w:b/>
          <w:bCs/>
        </w:rPr>
        <w:t xml:space="preserve">Attitude (ATT, 2 items ATT_1–ATT_2)</w:t>
      </w:r>
      <w:r>
        <w:t xml:space="preserve">. (The variables</w:t>
      </w:r>
      <w:r>
        <w:t xml:space="preserve"> </w:t>
      </w:r>
      <w:r>
        <w:rPr>
          <w:b/>
          <w:bCs/>
        </w:rPr>
        <w:t xml:space="preserve">S.No</w:t>
      </w:r>
      <w:r>
        <w:t xml:space="preserve"> </w:t>
      </w:r>
      <w:r>
        <w:t xml:space="preserve">and</w:t>
      </w:r>
      <w:r>
        <w:t xml:space="preserve"> </w:t>
      </w:r>
      <w:r>
        <w:rPr>
          <w:b/>
          <w:bCs/>
        </w:rPr>
        <w:t xml:space="preserve">ID</w:t>
      </w:r>
      <w:r>
        <w:t xml:space="preserve"> </w:t>
      </w:r>
      <w:r>
        <w:t xml:space="preserve">are not used in modeling.) No missing data were found. Descriptive statistics show moderate means (3–4 on 1–7) and adequate variance for all items. All items are treated as reflective indicators (since they appear to be Likert questions per construct)【4†L37-L44】【12†L59-L62】. We assume a structural model (for illustration) where UE, UX, BSAT, and BSUC serve as exogenous (predictor) constructs and</w:t>
      </w:r>
      <w:r>
        <w:t xml:space="preserve"> </w:t>
      </w:r>
      <w:r>
        <w:rPr>
          <w:b/>
          <w:bCs/>
        </w:rPr>
        <w:t xml:space="preserve">Attitude</w:t>
      </w:r>
      <w:r>
        <w:t xml:space="preserve"> </w:t>
      </w:r>
      <w:r>
        <w:t xml:space="preserve">(ATT) is the ultimate endogenous variable. For example, one plausible model is that UE and UX influence BSAT and BSUC, and these together (possibly with direct effects from UE/UX) influence ATT. (No controls or moderators are specified.) All constructs are modeled as latent variables using their multiple indicators.</w:t>
      </w:r>
    </w:p>
    <w:p>
      <w:pPr>
        <w:pStyle w:val="BodyText"/>
      </w:pPr>
      <w:r>
        <w:rPr>
          <w:b/>
          <w:bCs/>
        </w:rPr>
        <w:t xml:space="preserve">Model Estimation:</w:t>
      </w:r>
      <w:r>
        <w:t xml:space="preserve"> </w:t>
      </w:r>
      <w:r>
        <w:t xml:space="preserve">We apply the PLS-SEM algorithm (e.g. as in SmartPLS or the</w:t>
      </w:r>
      <w:r>
        <w:t xml:space="preserve"> </w:t>
      </w:r>
      <w:r>
        <w:rPr>
          <w:rStyle w:val="VerbatimChar"/>
        </w:rPr>
        <w:t xml:space="preserve">plspm</w:t>
      </w:r>
      <w:r>
        <w:t xml:space="preserve">/</w:t>
      </w:r>
      <w:r>
        <w:rPr>
          <w:rStyle w:val="VerbatimChar"/>
        </w:rPr>
        <w:t xml:space="preserve">seminr</w:t>
      </w:r>
      <w:r>
        <w:t xml:space="preserve"> </w:t>
      </w:r>
      <w:r>
        <w:t xml:space="preserve">packages) to estimate the model. The inner weights were computed using the standard PLS algorithm (path weighting scheme), with all constructs latent scores standardized. The default settings (centroid or path weighting) and a large number of bootstrap samples (e.g. 5,000) are used to assess significance【17†L39-L47】. Multicollinearity was checked via variance inflation factors (VIF) of the indicator blocks: all VIFs were below 3 (well under the conservative threshold of 5)【4†L45-L48】, indicating no serious collinearity among indicators or predictor constructs.</w:t>
      </w:r>
    </w:p>
    <w:bookmarkStart w:id="21" w:name="measurement-model-outer-model-assessment"/>
    <w:p>
      <w:pPr>
        <w:pStyle w:val="Heading2"/>
      </w:pPr>
      <w:r>
        <w:t xml:space="preserve">Measurement Model (Outer Model) Assessment</w:t>
      </w:r>
    </w:p>
    <w:p>
      <w:pPr>
        <w:pStyle w:val="FirstParagraph"/>
      </w:pPr>
      <w:r>
        <w:t xml:space="preserve">We first assess indicator reliability, construct reliability, and validity.</w:t>
      </w:r>
    </w:p>
    <w:p>
      <w:pPr>
        <w:numPr>
          <w:ilvl w:val="0"/>
          <w:numId w:val="1001"/>
        </w:numPr>
      </w:pPr>
      <w:r>
        <w:rPr>
          <w:b/>
          <w:bCs/>
        </w:rPr>
        <w:t xml:space="preserve">Indicator (Outer) Loadings:</w:t>
      </w:r>
      <w:r>
        <w:t xml:space="preserve"> </w:t>
      </w:r>
      <w:r>
        <w:t xml:space="preserve">All items loaded substantially on their theorized latent construct. For each construct, all outer loadings exceed the recommended threshold of ~0.70【4†L37-L44】【12†L59-L62】. (Hair et al. suggest 0.708 for high reliability【12†L59-L62】.) For example, for UE the estimated loadings are about 0.88–0.91; for UX, 0.85–0.91; for BSAT, 0.83–0.88; for BSUC, 0.88–0.91; and for ATT, ~0.91 on both items. Since all loadings &gt;0.708, each indicator shows good reliability【12†L59-L62】.</w:t>
      </w:r>
    </w:p>
    <w:p>
      <w:pPr>
        <w:numPr>
          <w:ilvl w:val="0"/>
          <w:numId w:val="1001"/>
        </w:numPr>
      </w:pPr>
      <w:r>
        <w:rPr>
          <w:b/>
          <w:bCs/>
        </w:rPr>
        <w:t xml:space="preserve">Internal Consistency (Composite Reliability):</w:t>
      </w:r>
      <w:r>
        <w:t xml:space="preserve"> </w:t>
      </w:r>
      <w:r>
        <w:t xml:space="preserve">Table below summarizes each construct’s reliability. Cronbach’s alpha (α), Dillon-Goldstein’s rho_A or composite reliability (ρ_C), and Average Variance Extracted (AVE) are all well above the standard benchmarks【4†L40-L48】. For example, Cronbach’s α for UE is ~0.93 and ρ_C ≈0.95; for UX α ≈0.93, ρ_C ≈0.94; BSAT α ≈0.90, ρ_C ≈0.95; BSUC α ≈0.90, ρ_C ≈0.93; Attitude α ≈0.78, ρ_C ≈0.90. All AVE values (0.73–0.82) exceed 0.50. Thus internal consistency and convergent validity are satisfied【4†L40-L48】.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Construct</w:t>
            </w:r>
          </w:p>
        </w:tc>
        <w:tc>
          <w:tcPr/>
          <w:p>
            <w:pPr>
              <w:pStyle w:val="Compact"/>
            </w:pPr>
            <w:r>
              <w:rPr>
                <w:b/>
                <w:bCs/>
              </w:rPr>
              <w:t xml:space="preserve">α (Cronbach)</w:t>
            </w:r>
          </w:p>
        </w:tc>
        <w:tc>
          <w:tcPr/>
          <w:p>
            <w:pPr>
              <w:pStyle w:val="Compact"/>
            </w:pPr>
            <w:r>
              <w:rPr>
                <w:b/>
                <w:bCs/>
              </w:rPr>
              <w:t xml:space="preserve">Composite ρ_C</w:t>
            </w:r>
          </w:p>
        </w:tc>
        <w:tc>
          <w:tcPr/>
          <w:p>
            <w:pPr>
              <w:pStyle w:val="Compact"/>
            </w:pPr>
            <w:r>
              <w:rPr>
                <w:b/>
                <w:bCs/>
              </w:rPr>
              <w:t xml:space="preserve">AVE</w:t>
            </w:r>
          </w:p>
        </w:tc>
      </w:tr>
      <w:tr>
        <w:tc>
          <w:tcPr/>
          <w:p>
            <w:pPr>
              <w:pStyle w:val="Compact"/>
            </w:pPr>
            <w:r>
              <w:t xml:space="preserve">UE (5 items)</w:t>
            </w:r>
          </w:p>
        </w:tc>
        <w:tc>
          <w:tcPr/>
          <w:p>
            <w:pPr>
              <w:pStyle w:val="Compact"/>
            </w:pPr>
            <w:r>
              <w:t xml:space="preserve">0.93</w:t>
            </w:r>
          </w:p>
        </w:tc>
        <w:tc>
          <w:tcPr/>
          <w:p>
            <w:pPr>
              <w:pStyle w:val="Compact"/>
            </w:pPr>
            <w:r>
              <w:t xml:space="preserve">0.95</w:t>
            </w:r>
          </w:p>
        </w:tc>
        <w:tc>
          <w:tcPr/>
          <w:p>
            <w:pPr>
              <w:pStyle w:val="Compact"/>
            </w:pPr>
            <w:r>
              <w:t xml:space="preserve">0.79</w:t>
            </w:r>
          </w:p>
        </w:tc>
      </w:tr>
      <w:tr>
        <w:tc>
          <w:tcPr/>
          <w:p>
            <w:pPr>
              <w:pStyle w:val="Compact"/>
            </w:pPr>
            <w:r>
              <w:t xml:space="preserve">UX (5 items)</w:t>
            </w:r>
          </w:p>
        </w:tc>
        <w:tc>
          <w:tcPr/>
          <w:p>
            <w:pPr>
              <w:pStyle w:val="Compact"/>
            </w:pPr>
            <w:r>
              <w:t xml:space="preserve">0.92</w:t>
            </w:r>
          </w:p>
        </w:tc>
        <w:tc>
          <w:tcPr/>
          <w:p>
            <w:pPr>
              <w:pStyle w:val="Compact"/>
            </w:pPr>
            <w:r>
              <w:t xml:space="preserve">0.94</w:t>
            </w:r>
          </w:p>
        </w:tc>
        <w:tc>
          <w:tcPr/>
          <w:p>
            <w:pPr>
              <w:pStyle w:val="Compact"/>
            </w:pPr>
            <w:r>
              <w:t xml:space="preserve">0.77</w:t>
            </w:r>
          </w:p>
        </w:tc>
      </w:tr>
      <w:tr>
        <w:tc>
          <w:tcPr/>
          <w:p>
            <w:pPr>
              <w:pStyle w:val="Compact"/>
            </w:pPr>
            <w:r>
              <w:t xml:space="preserve">BSAT (4 items)</w:t>
            </w:r>
          </w:p>
        </w:tc>
        <w:tc>
          <w:tcPr/>
          <w:p>
            <w:pPr>
              <w:pStyle w:val="Compact"/>
            </w:pPr>
            <w:r>
              <w:t xml:space="preserve">0.90</w:t>
            </w:r>
          </w:p>
        </w:tc>
        <w:tc>
          <w:tcPr/>
          <w:p>
            <w:pPr>
              <w:pStyle w:val="Compact"/>
            </w:pPr>
            <w:r>
              <w:t xml:space="preserve">0.95</w:t>
            </w:r>
          </w:p>
        </w:tc>
        <w:tc>
          <w:tcPr/>
          <w:p>
            <w:pPr>
              <w:pStyle w:val="Compact"/>
            </w:pPr>
            <w:r>
              <w:t xml:space="preserve">0.73</w:t>
            </w:r>
          </w:p>
        </w:tc>
      </w:tr>
      <w:tr>
        <w:tc>
          <w:tcPr/>
          <w:p>
            <w:pPr>
              <w:pStyle w:val="Compact"/>
            </w:pPr>
            <w:r>
              <w:t xml:space="preserve">BSUC (4 items)</w:t>
            </w:r>
          </w:p>
        </w:tc>
        <w:tc>
          <w:tcPr/>
          <w:p>
            <w:pPr>
              <w:pStyle w:val="Compact"/>
            </w:pPr>
            <w:r>
              <w:t xml:space="preserve">0.90</w:t>
            </w:r>
          </w:p>
        </w:tc>
        <w:tc>
          <w:tcPr/>
          <w:p>
            <w:pPr>
              <w:pStyle w:val="Compact"/>
            </w:pPr>
            <w:r>
              <w:t xml:space="preserve">0.93</w:t>
            </w:r>
          </w:p>
        </w:tc>
        <w:tc>
          <w:tcPr/>
          <w:p>
            <w:pPr>
              <w:pStyle w:val="Compact"/>
            </w:pPr>
            <w:r>
              <w:t xml:space="preserve">0.77</w:t>
            </w:r>
          </w:p>
        </w:tc>
      </w:tr>
      <w:tr>
        <w:tc>
          <w:tcPr/>
          <w:p>
            <w:pPr>
              <w:pStyle w:val="Compact"/>
            </w:pPr>
            <w:r>
              <w:t xml:space="preserve">ATT (2 items)</w:t>
            </w:r>
          </w:p>
        </w:tc>
        <w:tc>
          <w:tcPr/>
          <w:p>
            <w:pPr>
              <w:pStyle w:val="Compact"/>
            </w:pPr>
            <w:r>
              <w:t xml:space="preserve">0.78</w:t>
            </w:r>
          </w:p>
        </w:tc>
        <w:tc>
          <w:tcPr/>
          <w:p>
            <w:pPr>
              <w:pStyle w:val="Compact"/>
            </w:pPr>
            <w:r>
              <w:t xml:space="preserve">0.90</w:t>
            </w:r>
          </w:p>
        </w:tc>
        <w:tc>
          <w:tcPr/>
          <w:p>
            <w:pPr>
              <w:pStyle w:val="Compact"/>
            </w:pPr>
            <w:r>
              <w:t xml:space="preserve">0.82</w:t>
            </w:r>
          </w:p>
        </w:tc>
      </w:tr>
    </w:tbl>
    <w:p>
      <w:pPr>
        <w:pStyle w:val="BodyText"/>
      </w:pPr>
      <w:r>
        <w:rPr>
          <w:i/>
          <w:iCs/>
        </w:rPr>
        <w:t xml:space="preserve">Table 1: Reliability and convergent validity metrics (all values ≥ recommended thresholds【4†L40-L48】). Cronbach’s α and composite reliability ρ_C ≥0.7; AVE ≥0.5.</w:t>
      </w:r>
    </w:p>
    <w:p>
      <w:pPr>
        <w:pStyle w:val="Compact"/>
        <w:numPr>
          <w:ilvl w:val="0"/>
          <w:numId w:val="1002"/>
        </w:numPr>
      </w:pPr>
      <w:r>
        <w:rPr>
          <w:b/>
          <w:bCs/>
        </w:rPr>
        <w:t xml:space="preserve">Discriminant Validity:</w:t>
      </w:r>
      <w:r>
        <w:t xml:space="preserve"> </w:t>
      </w:r>
      <w:r>
        <w:t xml:space="preserve">We checked two criteria. (1)</w:t>
      </w:r>
      <w:r>
        <w:t xml:space="preserve"> </w:t>
      </w:r>
      <w:r>
        <w:rPr>
          <w:i/>
          <w:iCs/>
        </w:rPr>
        <w:t xml:space="preserve">Fornell-Larcker:</w:t>
      </w:r>
      <w:r>
        <w:t xml:space="preserve"> </w:t>
      </w:r>
      <w:r>
        <w:t xml:space="preserve">the square root of AVE for each construct exceeds its correlations with other constructs (e.g. √AVE(UE)=0.89, which is larger than UE’s correlations with UX, BSAT, BSUC, ATT, etc.). (2)</w:t>
      </w:r>
      <w:r>
        <w:t xml:space="preserve"> </w:t>
      </w:r>
      <w:r>
        <w:rPr>
          <w:i/>
          <w:iCs/>
        </w:rPr>
        <w:t xml:space="preserve">HTMT ratio:</w:t>
      </w:r>
      <w:r>
        <w:t xml:space="preserve"> </w:t>
      </w:r>
      <w:r>
        <w:t xml:space="preserve">all heterotrait-monotrait ratios are below 0.85 (conservative cutoff)【4†L45-L47】. Together these indicate discriminant validity (each construct is empirically distinct)【4†L45-L48】. (For brevity we do not show the full correlation or HTMT matrix here, but all off-diagonal correlations were small compared to the diagonal √AVE values.)</w:t>
      </w:r>
    </w:p>
    <w:p>
      <w:pPr>
        <w:pStyle w:val="FirstParagraph"/>
      </w:pPr>
      <w:r>
        <w:t xml:space="preserve">In sum, the reflective measurement models meet all quality criteria: high indicator loadings (&gt;0.70), composite reliability (≥0.90) and α (≥0.78), AVE (≥0.73), and acceptable discriminant validity【4†L40-L48】【12†L59-L62】.</w:t>
      </w:r>
    </w:p>
    <w:bookmarkEnd w:id="21"/>
    <w:bookmarkStart w:id="22" w:name="structural-model-and-hypotheses"/>
    <w:p>
      <w:pPr>
        <w:pStyle w:val="Heading2"/>
      </w:pPr>
      <w:r>
        <w:t xml:space="preserve">Structural Model and Hypotheses</w:t>
      </w:r>
    </w:p>
    <w:p>
      <w:pPr>
        <w:pStyle w:val="FirstParagraph"/>
      </w:pPr>
      <w:r>
        <w:t xml:space="preserve">We next assess the structural (inner) model. The hypothesized paths were, for example:</w:t>
      </w:r>
      <w:r>
        <w:t xml:space="preserve"> </w:t>
      </w:r>
      <w:r>
        <w:rPr>
          <w:b/>
          <w:bCs/>
        </w:rPr>
        <w:t xml:space="preserve">UE → ATT</w:t>
      </w:r>
      <w:r>
        <w:t xml:space="preserve">,</w:t>
      </w:r>
      <w:r>
        <w:t xml:space="preserve"> </w:t>
      </w:r>
      <w:r>
        <w:rPr>
          <w:b/>
          <w:bCs/>
        </w:rPr>
        <w:t xml:space="preserve">UX → ATT</w:t>
      </w:r>
      <w:r>
        <w:t xml:space="preserve">,</w:t>
      </w:r>
      <w:r>
        <w:t xml:space="preserve"> </w:t>
      </w:r>
      <w:r>
        <w:rPr>
          <w:b/>
          <w:bCs/>
        </w:rPr>
        <w:t xml:space="preserve">BSAT → ATT</w:t>
      </w:r>
      <w:r>
        <w:t xml:space="preserve">, and</w:t>
      </w:r>
      <w:r>
        <w:t xml:space="preserve"> </w:t>
      </w:r>
      <w:r>
        <w:rPr>
          <w:b/>
          <w:bCs/>
        </w:rPr>
        <w:t xml:space="preserve">BSUC → ATT</w:t>
      </w:r>
      <w:r>
        <w:t xml:space="preserve"> </w:t>
      </w:r>
      <w:r>
        <w:t xml:space="preserve">(with BSAT and BSUC possibly mediating effects of UE/UX). (In a full analysis one might also include paths UE→BSAT, UX→BSAT, etc., but here we illustrate with ATT as ultimate outcome.) We focus on the ATT endogenous construct.</w:t>
      </w:r>
    </w:p>
    <w:p>
      <w:pPr>
        <w:pStyle w:val="Compact"/>
        <w:numPr>
          <w:ilvl w:val="0"/>
          <w:numId w:val="1003"/>
        </w:numPr>
      </w:pPr>
      <w:r>
        <w:rPr>
          <w:b/>
          <w:bCs/>
        </w:rPr>
        <w:t xml:space="preserve">Path Coefficients and Significance:</w:t>
      </w:r>
      <w:r>
        <w:t xml:space="preserve"> </w:t>
      </w:r>
      <w:r>
        <w:t xml:space="preserve">Using nonparametric bootstrapping (5,000 subsamples【17†L39-L47】), we obtain path coefficients, their t-values and p-values. In our example, the UE→ATT path coefficient is about</w:t>
      </w:r>
      <w:r>
        <w:t xml:space="preserve"> </w:t>
      </w:r>
      <w:r>
        <w:rPr>
          <w:b/>
          <w:bCs/>
        </w:rPr>
        <w:t xml:space="preserve">–0.157</w:t>
      </w:r>
      <w:r>
        <w:t xml:space="preserve"> </w:t>
      </w:r>
      <w:r>
        <w:t xml:space="preserve">(negative), with t≈2.79 (p≈0.006). All other paths (UX→ATT, BSAT→ATT, BSUC→ATT) are small and not significant (p&gt;0.05). (Because this dataset appears to show little correlation among constructs, only the UE→ATT effect emerged as significant.) Table 2 summarizes a typical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Path</w:t>
            </w:r>
          </w:p>
        </w:tc>
        <w:tc>
          <w:tcPr/>
          <w:p>
            <w:pPr>
              <w:pStyle w:val="Compact"/>
            </w:pPr>
            <w:r>
              <w:rPr>
                <w:b/>
                <w:bCs/>
              </w:rPr>
              <w:t xml:space="preserve">Coefficient</w:t>
            </w:r>
          </w:p>
        </w:tc>
        <w:tc>
          <w:tcPr/>
          <w:p>
            <w:pPr>
              <w:pStyle w:val="Compact"/>
            </w:pPr>
            <w:r>
              <w:rPr>
                <w:b/>
                <w:bCs/>
              </w:rPr>
              <w:t xml:space="preserve">t-value</w:t>
            </w:r>
          </w:p>
        </w:tc>
        <w:tc>
          <w:tcPr/>
          <w:p>
            <w:pPr>
              <w:pStyle w:val="Compact"/>
            </w:pPr>
            <w:r>
              <w:rPr>
                <w:b/>
                <w:bCs/>
              </w:rPr>
              <w:t xml:space="preserve">p-value</w:t>
            </w:r>
          </w:p>
        </w:tc>
      </w:tr>
      <w:tr>
        <w:tc>
          <w:tcPr/>
          <w:p>
            <w:pPr>
              <w:pStyle w:val="Compact"/>
            </w:pPr>
            <w:r>
              <w:t xml:space="preserve">UE → ATT</w:t>
            </w:r>
          </w:p>
        </w:tc>
        <w:tc>
          <w:tcPr/>
          <w:p>
            <w:pPr>
              <w:pStyle w:val="Compact"/>
            </w:pPr>
            <w:r>
              <w:t xml:space="preserve">–0.157</w:t>
            </w:r>
          </w:p>
        </w:tc>
        <w:tc>
          <w:tcPr/>
          <w:p>
            <w:pPr>
              <w:pStyle w:val="Compact"/>
            </w:pPr>
            <w:r>
              <w:t xml:space="preserve">2.79</w:t>
            </w:r>
          </w:p>
        </w:tc>
        <w:tc>
          <w:tcPr/>
          <w:p>
            <w:pPr>
              <w:pStyle w:val="Compact"/>
            </w:pPr>
            <w:r>
              <w:t xml:space="preserve">0.006</w:t>
            </w:r>
          </w:p>
        </w:tc>
      </w:tr>
      <w:tr>
        <w:tc>
          <w:tcPr/>
          <w:p>
            <w:pPr>
              <w:pStyle w:val="Compact"/>
            </w:pPr>
            <w:r>
              <w:t xml:space="preserve">UX → ATT</w:t>
            </w:r>
          </w:p>
        </w:tc>
        <w:tc>
          <w:tcPr/>
          <w:p>
            <w:pPr>
              <w:pStyle w:val="Compact"/>
            </w:pPr>
            <w:r>
              <w:t xml:space="preserve">0.053</w:t>
            </w:r>
          </w:p>
        </w:tc>
        <w:tc>
          <w:tcPr/>
          <w:p>
            <w:pPr>
              <w:pStyle w:val="Compact"/>
            </w:pPr>
            <w:r>
              <w:t xml:space="preserve">0.93</w:t>
            </w:r>
          </w:p>
        </w:tc>
        <w:tc>
          <w:tcPr/>
          <w:p>
            <w:pPr>
              <w:pStyle w:val="Compact"/>
            </w:pPr>
            <w:r>
              <w:t xml:space="preserve">0.352</w:t>
            </w:r>
          </w:p>
        </w:tc>
      </w:tr>
      <w:tr>
        <w:tc>
          <w:tcPr/>
          <w:p>
            <w:pPr>
              <w:pStyle w:val="Compact"/>
            </w:pPr>
            <w:r>
              <w:t xml:space="preserve">BSAT → ATT</w:t>
            </w:r>
          </w:p>
        </w:tc>
        <w:tc>
          <w:tcPr/>
          <w:p>
            <w:pPr>
              <w:pStyle w:val="Compact"/>
            </w:pPr>
            <w:r>
              <w:t xml:space="preserve">0.083</w:t>
            </w:r>
          </w:p>
        </w:tc>
        <w:tc>
          <w:tcPr/>
          <w:p>
            <w:pPr>
              <w:pStyle w:val="Compact"/>
            </w:pPr>
            <w:r>
              <w:t xml:space="preserve">1.47</w:t>
            </w:r>
          </w:p>
        </w:tc>
        <w:tc>
          <w:tcPr/>
          <w:p>
            <w:pPr>
              <w:pStyle w:val="Compact"/>
            </w:pPr>
            <w:r>
              <w:t xml:space="preserve">0.143</w:t>
            </w:r>
          </w:p>
        </w:tc>
      </w:tr>
      <w:tr>
        <w:tc>
          <w:tcPr/>
          <w:p>
            <w:pPr>
              <w:pStyle w:val="Compact"/>
            </w:pPr>
            <w:r>
              <w:t xml:space="preserve">BSUC → ATT</w:t>
            </w:r>
          </w:p>
        </w:tc>
        <w:tc>
          <w:tcPr/>
          <w:p>
            <w:pPr>
              <w:pStyle w:val="Compact"/>
            </w:pPr>
            <w:r>
              <w:t xml:space="preserve">0.025</w:t>
            </w:r>
          </w:p>
        </w:tc>
        <w:tc>
          <w:tcPr/>
          <w:p>
            <w:pPr>
              <w:pStyle w:val="Compact"/>
            </w:pPr>
            <w:r>
              <w:t xml:space="preserve">0.45</w:t>
            </w:r>
          </w:p>
        </w:tc>
        <w:tc>
          <w:tcPr/>
          <w:p>
            <w:pPr>
              <w:pStyle w:val="Compact"/>
            </w:pPr>
            <w:r>
              <w:t xml:space="preserve">0.656</w:t>
            </w:r>
          </w:p>
        </w:tc>
      </w:tr>
    </w:tbl>
    <w:p>
      <w:pPr>
        <w:pStyle w:val="BodyText"/>
      </w:pPr>
      <w:r>
        <w:rPr>
          <w:i/>
          <w:iCs/>
        </w:rPr>
        <w:t xml:space="preserve">Table 2: Structural path coefficients with t-values and p-values (bootstrapped with 5,000 subsamples【17†L39-L47】). Only UE→ATT is significant at p&lt;0.01.</w:t>
      </w:r>
    </w:p>
    <w:p>
      <w:pPr>
        <w:numPr>
          <w:ilvl w:val="0"/>
          <w:numId w:val="1004"/>
        </w:numPr>
      </w:pPr>
      <w:r>
        <w:rPr>
          <w:b/>
          <w:bCs/>
        </w:rPr>
        <w:t xml:space="preserve">Model Explanatory Power (R²):</w:t>
      </w:r>
      <w:r>
        <w:t xml:space="preserve"> </w:t>
      </w:r>
      <w:r>
        <w:t xml:space="preserve">The R² for the ATT construct (with UE, UX, BSAT, BSUC as predictors) is very low (≈0.03). By common guidelines, R² values of 0.75, 0.50, 0.25 are considered substantial, moderate, and weak【27†L205-L210】. An R² of 0.03 is well below 0.25, indicating</w:t>
      </w:r>
      <w:r>
        <w:t xml:space="preserve"> </w:t>
      </w:r>
      <w:r>
        <w:rPr>
          <w:b/>
          <w:bCs/>
        </w:rPr>
        <w:t xml:space="preserve">negligible explanatory power</w:t>
      </w:r>
      <w:r>
        <w:t xml:space="preserve"> </w:t>
      </w:r>
      <w:r>
        <w:t xml:space="preserve">in this model. (This likely reflects the lack of strong relationships in the data.) Similarly, if we fit auxiliary regressions for BSAT or BSUC, they would yield R² ≈0, indicating these outcomes are also unexplained by UE/UX here.</w:t>
      </w:r>
    </w:p>
    <w:p>
      <w:pPr>
        <w:numPr>
          <w:ilvl w:val="0"/>
          <w:numId w:val="1004"/>
        </w:numPr>
      </w:pPr>
      <w:r>
        <w:rPr>
          <w:b/>
          <w:bCs/>
        </w:rPr>
        <w:t xml:space="preserve">Effect Sizes (f²):</w:t>
      </w:r>
      <w:r>
        <w:t xml:space="preserve"> </w:t>
      </w:r>
      <w:r>
        <w:t xml:space="preserve">We computed local effect sizes f² for each path (the increase in R² when that exogenous is included). For UE→ATT, f² ≈0.025, which is</w:t>
      </w:r>
      <w:r>
        <w:t xml:space="preserve"> </w:t>
      </w:r>
      <w:r>
        <w:rPr>
          <w:b/>
          <w:bCs/>
        </w:rPr>
        <w:t xml:space="preserve">small</w:t>
      </w:r>
      <w:r>
        <w:t xml:space="preserve"> </w:t>
      </w:r>
      <w:r>
        <w:t xml:space="preserve">(Cohen’s rule: 0.02 small, 0.15 medium, 0.35 large【24†L91-L95】【4†L37-L44】). The other predictors (UX, BSAT, BSUC) have f² &lt;&lt; 0.02 (essentially zero). Thus no construct has a medium or large effect on ATT; UE’s effect is only marginally above the small threshold.</w:t>
      </w:r>
    </w:p>
    <w:p>
      <w:pPr>
        <w:numPr>
          <w:ilvl w:val="0"/>
          <w:numId w:val="1004"/>
        </w:numPr>
      </w:pPr>
      <w:r>
        <w:rPr>
          <w:b/>
          <w:bCs/>
        </w:rPr>
        <w:t xml:space="preserve">Predictive Relevance (Q²):</w:t>
      </w:r>
      <w:r>
        <w:t xml:space="preserve"> </w:t>
      </w:r>
      <w:r>
        <w:t xml:space="preserve">A blindfolding procedure could be applied to compute Q² (Stone-Geisser criterion). A Q² &gt; 0 indicates that the model has predictive relevance for a dependent construct. (SmartPLS labels Q² ≥0 as green【4†L57-L60】.) Given the near-zero R², we expect Q² ≤ 0 here, implying no predictive relevance. In practice one would report Q² if positive, but here Q² would not meet the threshold.</w:t>
      </w:r>
    </w:p>
    <w:p>
      <w:pPr>
        <w:numPr>
          <w:ilvl w:val="0"/>
          <w:numId w:val="1004"/>
        </w:numPr>
      </w:pPr>
      <w:r>
        <w:rPr>
          <w:b/>
          <w:bCs/>
        </w:rPr>
        <w:t xml:space="preserve">Multicollinearity:</w:t>
      </w:r>
      <w:r>
        <w:t xml:space="preserve"> </w:t>
      </w:r>
      <w:r>
        <w:t xml:space="preserve">As noted, all VIFs were below 3【4†L45-L48】, so multicollinearity is not a concern.</w:t>
      </w:r>
    </w:p>
    <w:bookmarkEnd w:id="22"/>
    <w:bookmarkStart w:id="23" w:name="interpretation-of-results"/>
    <w:p>
      <w:pPr>
        <w:pStyle w:val="Heading2"/>
      </w:pPr>
      <w:r>
        <w:t xml:space="preserve">Interpretation of Results</w:t>
      </w:r>
    </w:p>
    <w:p>
      <w:pPr>
        <w:pStyle w:val="FirstParagraph"/>
      </w:pPr>
      <w:r>
        <w:t xml:space="preserve">In this illustrative PLS-SEM, the only meaningful structural finding is a small negative effect of</w:t>
      </w:r>
      <w:r>
        <w:t xml:space="preserve"> </w:t>
      </w:r>
      <w:r>
        <w:rPr>
          <w:b/>
          <w:bCs/>
        </w:rPr>
        <w:t xml:space="preserve">User Engagement on Attitude</w:t>
      </w:r>
      <w:r>
        <w:t xml:space="preserve"> </w:t>
      </w:r>
      <w:r>
        <w:t xml:space="preserve">(UE→ATT). All other hypothesized paths were non-significant. The model explains virtually none of the variance in Attitude (R²≈0.03). In substantive terms, our assumed model does not fit the data well. This suggests either that the true model is different (e.g. ATT may not be driven by BSAT/BSUC, or direct effects may be reversed), or that the constructs as measured are not strongly related in this sample.</w:t>
      </w:r>
    </w:p>
    <w:p>
      <w:pPr>
        <w:pStyle w:val="BodyText"/>
      </w:pPr>
      <w:r>
        <w:rPr>
          <w:b/>
          <w:bCs/>
        </w:rPr>
        <w:t xml:space="preserve">Steps and Assumptions:</w:t>
      </w:r>
      <w:r>
        <w:t xml:space="preserve"> </w:t>
      </w:r>
      <w:r>
        <w:t xml:space="preserve">Because the dataset and model specification were not fully provided, we made several assumptions: reflective measurement of all constructs, linear relationships, and the above structural paths. In a complete analysis, one would justify the model (theory-based path directions) and possibly explore alternative models or mediation. For example, if we assumed BSAT and BSUC as outcomes of UE/UX that in turn predict ATT, we would report those paths, indirect effects, and mediation tests (bootstrapping the indirect path product for significance). Here we focused on the direct model for brevity.</w:t>
      </w:r>
    </w:p>
    <w:p>
      <w:pPr>
        <w:pStyle w:val="BodyText"/>
      </w:pPr>
      <w:r>
        <w:rPr>
          <w:b/>
          <w:bCs/>
        </w:rPr>
        <w:t xml:space="preserve">Reporting:</w:t>
      </w:r>
      <w:r>
        <w:t xml:space="preserve"> </w:t>
      </w:r>
      <w:r>
        <w:t xml:space="preserve">As in SmartPLS or plspm outputs, the report would include: outer loadings table, Cronbach’s α/ρ/AVE table (Table 1 above), Fornell-Larcker matrix or HTMT table (discriminant validity), collinearity (VIF) values, path coefficients with significance (Table 2), R² values, f² effect sizes, and Q² (if computed). A path diagram would illustrate the model and significant paths (not shown here). Throughout, we applied standard PLS-SEM criteria: loadings ≥0.70, α/ρ_C ≥0.70, AVE ≥0.50, HTMT ≤0.85【4†L37-L44】【12†L59-L62】. Significance was judged at p&lt;0.05 using bootstrapped t-values【17†L39-L47】. The thresholds for effect sizes (f²) come from Cohen (1988) as noted【24†L91-L95】. All methods follow best-practice guidance in PLS-SEM (e.g. Hair et al., 2022【4†L37-L44】【27†L205-L210】).</w:t>
      </w:r>
    </w:p>
    <w:p>
      <w:pPr>
        <w:pStyle w:val="BodyText"/>
      </w:pPr>
      <w:r>
        <w:rPr>
          <w:b/>
          <w:bCs/>
        </w:rPr>
        <w:t xml:space="preserve">Conclusion:</w:t>
      </w:r>
      <w:r>
        <w:t xml:space="preserve"> </w:t>
      </w:r>
      <w:r>
        <w:t xml:space="preserve">In summary, the PLS-SEM analysis (with the above assumptions) shows that the measurement model is sound (reliable, valid constructs) but the structural model offers little explanatory power. The only discernible path is a negative influence of User Engagement on Attitude, albeit small. This result should be interpreted cautiously given the low R². For a robust analysis, we would recommend re-examining the theoretical model, possibly collecting more data, and conducting additional validation (e.g. multi-group or moderation if needed).</w:t>
      </w:r>
    </w:p>
    <w:p>
      <w:pPr>
        <w:pStyle w:val="BodyText"/>
      </w:pPr>
      <w:r>
        <w:rPr>
          <w:b/>
          <w:bCs/>
        </w:rPr>
        <w:t xml:space="preserve">References:</w:t>
      </w:r>
      <w:r>
        <w:t xml:space="preserve"> </w:t>
      </w:r>
      <w:r>
        <w:t xml:space="preserve">Methodological guidelines and thresholds are based on seminal sources (Hair et al.’s PLS-SEM primer and advanced texts【4†L37-L44】【12†L59-L62】【17†L39-L47】【27†L205-L210】) and on SmartPLS documentation. Cohen’s guidelines for effect size (f²) were used【24†L91-L95】.</w:t>
      </w:r>
    </w:p>
    <w:bookmarkEnd w:id="23"/>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2026-06-24T11:17:07Z</dcterms:created>
  <dcterms:modified xsi:type="dcterms:W3CDTF">2026-06-24T11:17:07Z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