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Results</w:t>
      </w:r>
    </w:p>
    <w:p>
      <w:r>
        <w:rPr>
          <w:b w:val="0"/>
          <w:i w:val="0"/>
          <w:sz w:val="22"/>
        </w:rPr>
        <w:t>We report the results in three stages. First, we evaluate the reflective measurement model (indicator reliability, internal consistency, convergent validity, and discriminant validity). Second, we assess the structural model and test the net-effect and mediation hypotheses H1-H3 using PLS-SEM. Third, we use fuzzy-set qualitative comparative analysis (fsQCA) to test proposition P1, which holds that multiple SDT-consistent configurations of User Engagement (UE), User Experience (UX), and Brand Satisfaction (BSAT) are jointly sufficient for high Brand Success (BSUC). The two methods are complementary: PLS-SEM estimates the average net effects and the mediating role of brand satisfaction, whereas fsQCA examines configurational equifinality - whether several distinct recipes of the same antecedents can each produce brand success.</w:t>
      </w:r>
    </w:p>
    <w:p>
      <w:r>
        <w:rPr>
          <w:b w:val="0"/>
          <w:i w:val="0"/>
          <w:sz w:val="22"/>
        </w:rPr>
        <w:t>The analysis focuses on four constructs measured with reflective seven-point Likert items: User Engagement (UE), User Experience (UX), Brand Satisfaction (BSAT), and Brand Success (BSUC). A two-item Attitude (ATT) measure was also collected; because it is peripheral to the avatar-mediated brand-success model tested here, ATT is treated as exploratory and its results are reported separately in the online appendix (Appendix A) rather than in the main model. The data comprise responses from 312 participants across 21 reflective items, with no missing values. The PLS-SEM algorithm was estimated using the path-weighting scheme, and significance was obtained from nonparametric bootstrapping with 5,000 subsamples. All indicator-block VIFs were below 3 (threshold = 5), indicating that collinearity and common-method concerns are not material.</w:t>
      </w:r>
    </w:p>
    <w:p>
      <w:pPr>
        <w:pStyle w:val="Heading2"/>
      </w:pPr>
      <w:r>
        <w:t>4.1 Measurement model</w:t>
      </w:r>
    </w:p>
    <w:p>
      <w:r>
        <w:rPr>
          <w:b w:val="0"/>
          <w:i w:val="0"/>
          <w:sz w:val="22"/>
        </w:rPr>
        <w:t>Indicator reliability (outer loadings). All indicators loaded substantially on their theorized construct, with every standardized loading exceeding the 0.708 benchmark recommended for reflective indicators (Hair et al., 2022). Loadings ranged from 0.88-0.91 for UE, 0.85-0.91 for UX, 0.83-0.88 for BSAT, and 0.88-0.91 for BSUC (Table 1). Because every loading clears 0.708, each item shares the majority of its variance with its construct and is retained.</w:t>
      </w:r>
    </w:p>
    <w:p>
      <w:r>
        <w:rPr>
          <w:b/>
          <w:sz w:val="20"/>
        </w:rPr>
        <w:t>Table 1. Indicator outer loadings by construct.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Construct</w:t>
            </w:r>
          </w:p>
        </w:tc>
        <w:tc>
          <w:tcPr>
            <w:tcW w:type="dxa" w:w="2160"/>
          </w:tcPr>
          <w:p>
            <w:r/>
            <w:r>
              <w:rPr>
                <w:b/>
                <w:sz w:val="19"/>
              </w:rPr>
              <w:t>Items</w:t>
            </w:r>
          </w:p>
        </w:tc>
        <w:tc>
          <w:tcPr>
            <w:tcW w:type="dxa" w:w="2160"/>
          </w:tcPr>
          <w:p>
            <w:r/>
            <w:r>
              <w:rPr>
                <w:b/>
                <w:sz w:val="19"/>
              </w:rPr>
              <w:t>Outer loading range</w:t>
            </w:r>
          </w:p>
        </w:tc>
        <w:tc>
          <w:tcPr>
            <w:tcW w:type="dxa" w:w="2160"/>
          </w:tcPr>
          <w:p>
            <w:r/>
            <w:r>
              <w:rPr>
                <w:b/>
                <w:sz w:val="19"/>
              </w:rPr>
              <w:t>All &gt;= 0.708?</w:t>
            </w:r>
          </w:p>
        </w:tc>
      </w:tr>
      <w:tr>
        <w:tc>
          <w:tcPr>
            <w:tcW w:type="dxa" w:w="2160"/>
          </w:tcPr>
          <w:p>
            <w:r/>
            <w:r>
              <w:rPr>
                <w:sz w:val="19"/>
              </w:rPr>
              <w:t>User Engagement (UE)</w:t>
            </w:r>
          </w:p>
        </w:tc>
        <w:tc>
          <w:tcPr>
            <w:tcW w:type="dxa" w:w="2160"/>
          </w:tcPr>
          <w:p>
            <w:r/>
            <w:r>
              <w:rPr>
                <w:sz w:val="19"/>
              </w:rPr>
              <w:t>UE1-UE5</w:t>
            </w:r>
          </w:p>
        </w:tc>
        <w:tc>
          <w:tcPr>
            <w:tcW w:type="dxa" w:w="2160"/>
          </w:tcPr>
          <w:p>
            <w:r/>
            <w:r>
              <w:rPr>
                <w:sz w:val="19"/>
              </w:rPr>
              <w:t>0.88 - 0.91</w:t>
            </w:r>
          </w:p>
        </w:tc>
        <w:tc>
          <w:tcPr>
            <w:tcW w:type="dxa" w:w="2160"/>
          </w:tcPr>
          <w:p>
            <w:r/>
            <w:r>
              <w:rPr>
                <w:sz w:val="19"/>
              </w:rPr>
              <w:t>Yes</w:t>
            </w:r>
          </w:p>
        </w:tc>
      </w:tr>
      <w:tr>
        <w:tc>
          <w:tcPr>
            <w:tcW w:type="dxa" w:w="2160"/>
          </w:tcPr>
          <w:p>
            <w:r/>
            <w:r>
              <w:rPr>
                <w:sz w:val="19"/>
              </w:rPr>
              <w:t>User Experience (UX)</w:t>
            </w:r>
          </w:p>
        </w:tc>
        <w:tc>
          <w:tcPr>
            <w:tcW w:type="dxa" w:w="2160"/>
          </w:tcPr>
          <w:p>
            <w:r/>
            <w:r>
              <w:rPr>
                <w:sz w:val="19"/>
              </w:rPr>
              <w:t>UX1-UX5</w:t>
            </w:r>
          </w:p>
        </w:tc>
        <w:tc>
          <w:tcPr>
            <w:tcW w:type="dxa" w:w="2160"/>
          </w:tcPr>
          <w:p>
            <w:r/>
            <w:r>
              <w:rPr>
                <w:sz w:val="19"/>
              </w:rPr>
              <w:t>0.85 - 0.91</w:t>
            </w:r>
          </w:p>
        </w:tc>
        <w:tc>
          <w:tcPr>
            <w:tcW w:type="dxa" w:w="2160"/>
          </w:tcPr>
          <w:p>
            <w:r/>
            <w:r>
              <w:rPr>
                <w:sz w:val="19"/>
              </w:rPr>
              <w:t>Yes</w:t>
            </w:r>
          </w:p>
        </w:tc>
      </w:tr>
      <w:tr>
        <w:tc>
          <w:tcPr>
            <w:tcW w:type="dxa" w:w="2160"/>
          </w:tcPr>
          <w:p>
            <w:r/>
            <w:r>
              <w:rPr>
                <w:sz w:val="19"/>
              </w:rPr>
              <w:t>Brand Satisfaction (BSAT)</w:t>
            </w:r>
          </w:p>
        </w:tc>
        <w:tc>
          <w:tcPr>
            <w:tcW w:type="dxa" w:w="2160"/>
          </w:tcPr>
          <w:p>
            <w:r/>
            <w:r>
              <w:rPr>
                <w:sz w:val="19"/>
              </w:rPr>
              <w:t>BSAT1-BSAT4</w:t>
            </w:r>
          </w:p>
        </w:tc>
        <w:tc>
          <w:tcPr>
            <w:tcW w:type="dxa" w:w="2160"/>
          </w:tcPr>
          <w:p>
            <w:r/>
            <w:r>
              <w:rPr>
                <w:sz w:val="19"/>
              </w:rPr>
              <w:t>0.83 - 0.88</w:t>
            </w:r>
          </w:p>
        </w:tc>
        <w:tc>
          <w:tcPr>
            <w:tcW w:type="dxa" w:w="2160"/>
          </w:tcPr>
          <w:p>
            <w:r/>
            <w:r>
              <w:rPr>
                <w:sz w:val="19"/>
              </w:rPr>
              <w:t>Yes</w:t>
            </w:r>
          </w:p>
        </w:tc>
      </w:tr>
      <w:tr>
        <w:tc>
          <w:tcPr>
            <w:tcW w:type="dxa" w:w="2160"/>
          </w:tcPr>
          <w:p>
            <w:r/>
            <w:r>
              <w:rPr>
                <w:sz w:val="19"/>
              </w:rPr>
              <w:t>Brand Success (BSUC)</w:t>
            </w:r>
          </w:p>
        </w:tc>
        <w:tc>
          <w:tcPr>
            <w:tcW w:type="dxa" w:w="2160"/>
          </w:tcPr>
          <w:p>
            <w:r/>
            <w:r>
              <w:rPr>
                <w:sz w:val="19"/>
              </w:rPr>
              <w:t>BSUC1-BSUC4</w:t>
            </w:r>
          </w:p>
        </w:tc>
        <w:tc>
          <w:tcPr>
            <w:tcW w:type="dxa" w:w="2160"/>
          </w:tcPr>
          <w:p>
            <w:r/>
            <w:r>
              <w:rPr>
                <w:sz w:val="19"/>
              </w:rPr>
              <w:t>0.88 - 0.91</w:t>
            </w:r>
          </w:p>
        </w:tc>
        <w:tc>
          <w:tcPr>
            <w:tcW w:type="dxa" w:w="2160"/>
          </w:tcPr>
          <w:p>
            <w:r/>
            <w:r>
              <w:rPr>
                <w:sz w:val="19"/>
              </w:rPr>
              <w:t>Yes</w:t>
            </w:r>
          </w:p>
        </w:tc>
      </w:tr>
    </w:tbl>
    <w:p>
      <w:r>
        <w:rPr>
          <w:i/>
          <w:color w:val="555555"/>
          <w:sz w:val="18"/>
        </w:rPr>
        <w:t>Note. Loadings reported as the empirical range observed within each construct block. Item-level loadings can be substituted from the SmartPLS output if required by the editor.</w:t>
      </w:r>
    </w:p>
    <w:p>
      <w:r>
        <w:rPr>
          <w:b w:val="0"/>
          <w:i w:val="0"/>
          <w:sz w:val="22"/>
        </w:rPr>
        <w:t>Internal consistency and convergent validity. Cronbach's alpha ranges from 0.90 to 0.93 and composite reliability from 0.93 to 0.95 (both &gt; 0.70); AVE ranges from 0.73 to 0.79 (&gt; 0.50). Internal consistency reliability and convergent validity are therefore established (Table 2; visualized in Figure 3).</w:t>
      </w:r>
    </w:p>
    <w:p>
      <w:r>
        <w:rPr>
          <w:b/>
          <w:sz w:val="20"/>
        </w:rPr>
        <w:t>Table 2. Construct reliability and convergent validity.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9"/>
              </w:rPr>
              <w:t>Construct</w:t>
            </w:r>
          </w:p>
        </w:tc>
        <w:tc>
          <w:tcPr>
            <w:tcW w:type="dxa" w:w="1728"/>
          </w:tcPr>
          <w:p>
            <w:r/>
            <w:r>
              <w:rPr>
                <w:b/>
                <w:sz w:val="19"/>
              </w:rPr>
              <w:t>Items</w:t>
            </w:r>
          </w:p>
        </w:tc>
        <w:tc>
          <w:tcPr>
            <w:tcW w:type="dxa" w:w="1728"/>
          </w:tcPr>
          <w:p>
            <w:r/>
            <w:r>
              <w:rPr>
                <w:b/>
                <w:sz w:val="19"/>
              </w:rPr>
              <w:t>Cronbach's a</w:t>
            </w:r>
          </w:p>
        </w:tc>
        <w:tc>
          <w:tcPr>
            <w:tcW w:type="dxa" w:w="1728"/>
          </w:tcPr>
          <w:p>
            <w:r/>
            <w:r>
              <w:rPr>
                <w:b/>
                <w:sz w:val="19"/>
              </w:rPr>
              <w:t>Composite rho_C</w:t>
            </w:r>
          </w:p>
        </w:tc>
        <w:tc>
          <w:tcPr>
            <w:tcW w:type="dxa" w:w="1728"/>
          </w:tcPr>
          <w:p>
            <w:r/>
            <w:r>
              <w:rPr>
                <w:b/>
                <w:sz w:val="19"/>
              </w:rPr>
              <w:t>AVE</w:t>
            </w:r>
          </w:p>
        </w:tc>
      </w:tr>
      <w:tr>
        <w:tc>
          <w:tcPr>
            <w:tcW w:type="dxa" w:w="1728"/>
          </w:tcPr>
          <w:p>
            <w:r/>
            <w:r>
              <w:rPr>
                <w:sz w:val="19"/>
              </w:rPr>
              <w:t>User Engagement (UE)</w:t>
            </w:r>
          </w:p>
        </w:tc>
        <w:tc>
          <w:tcPr>
            <w:tcW w:type="dxa" w:w="1728"/>
          </w:tcPr>
          <w:p>
            <w:r/>
            <w:r>
              <w:rPr>
                <w:sz w:val="19"/>
              </w:rPr>
              <w:t>5</w:t>
            </w:r>
          </w:p>
        </w:tc>
        <w:tc>
          <w:tcPr>
            <w:tcW w:type="dxa" w:w="1728"/>
          </w:tcPr>
          <w:p>
            <w:r/>
            <w:r>
              <w:rPr>
                <w:sz w:val="19"/>
              </w:rPr>
              <w:t>0.93</w:t>
            </w:r>
          </w:p>
        </w:tc>
        <w:tc>
          <w:tcPr>
            <w:tcW w:type="dxa" w:w="1728"/>
          </w:tcPr>
          <w:p>
            <w:r/>
            <w:r>
              <w:rPr>
                <w:sz w:val="19"/>
              </w:rPr>
              <w:t>0.95</w:t>
            </w:r>
          </w:p>
        </w:tc>
        <w:tc>
          <w:tcPr>
            <w:tcW w:type="dxa" w:w="1728"/>
          </w:tcPr>
          <w:p>
            <w:r/>
            <w:r>
              <w:rPr>
                <w:sz w:val="19"/>
              </w:rPr>
              <w:t>0.79</w:t>
            </w:r>
          </w:p>
        </w:tc>
      </w:tr>
      <w:tr>
        <w:tc>
          <w:tcPr>
            <w:tcW w:type="dxa" w:w="1728"/>
          </w:tcPr>
          <w:p>
            <w:r/>
            <w:r>
              <w:rPr>
                <w:sz w:val="19"/>
              </w:rPr>
              <w:t>User Experience (UX)</w:t>
            </w:r>
          </w:p>
        </w:tc>
        <w:tc>
          <w:tcPr>
            <w:tcW w:type="dxa" w:w="1728"/>
          </w:tcPr>
          <w:p>
            <w:r/>
            <w:r>
              <w:rPr>
                <w:sz w:val="19"/>
              </w:rPr>
              <w:t>5</w:t>
            </w:r>
          </w:p>
        </w:tc>
        <w:tc>
          <w:tcPr>
            <w:tcW w:type="dxa" w:w="1728"/>
          </w:tcPr>
          <w:p>
            <w:r/>
            <w:r>
              <w:rPr>
                <w:sz w:val="19"/>
              </w:rPr>
              <w:t>0.92</w:t>
            </w:r>
          </w:p>
        </w:tc>
        <w:tc>
          <w:tcPr>
            <w:tcW w:type="dxa" w:w="1728"/>
          </w:tcPr>
          <w:p>
            <w:r/>
            <w:r>
              <w:rPr>
                <w:sz w:val="19"/>
              </w:rPr>
              <w:t>0.94</w:t>
            </w:r>
          </w:p>
        </w:tc>
        <w:tc>
          <w:tcPr>
            <w:tcW w:type="dxa" w:w="1728"/>
          </w:tcPr>
          <w:p>
            <w:r/>
            <w:r>
              <w:rPr>
                <w:sz w:val="19"/>
              </w:rPr>
              <w:t>0.77</w:t>
            </w:r>
          </w:p>
        </w:tc>
      </w:tr>
      <w:tr>
        <w:tc>
          <w:tcPr>
            <w:tcW w:type="dxa" w:w="1728"/>
          </w:tcPr>
          <w:p>
            <w:r/>
            <w:r>
              <w:rPr>
                <w:sz w:val="19"/>
              </w:rPr>
              <w:t>Brand Satisfaction (BSAT)</w:t>
            </w:r>
          </w:p>
        </w:tc>
        <w:tc>
          <w:tcPr>
            <w:tcW w:type="dxa" w:w="1728"/>
          </w:tcPr>
          <w:p>
            <w:r/>
            <w:r>
              <w:rPr>
                <w:sz w:val="19"/>
              </w:rPr>
              <w:t>4</w:t>
            </w:r>
          </w:p>
        </w:tc>
        <w:tc>
          <w:tcPr>
            <w:tcW w:type="dxa" w:w="1728"/>
          </w:tcPr>
          <w:p>
            <w:r/>
            <w:r>
              <w:rPr>
                <w:sz w:val="19"/>
              </w:rPr>
              <w:t>0.90</w:t>
            </w:r>
          </w:p>
        </w:tc>
        <w:tc>
          <w:tcPr>
            <w:tcW w:type="dxa" w:w="1728"/>
          </w:tcPr>
          <w:p>
            <w:r/>
            <w:r>
              <w:rPr>
                <w:sz w:val="19"/>
              </w:rPr>
              <w:t>0.95</w:t>
            </w:r>
          </w:p>
        </w:tc>
        <w:tc>
          <w:tcPr>
            <w:tcW w:type="dxa" w:w="1728"/>
          </w:tcPr>
          <w:p>
            <w:r/>
            <w:r>
              <w:rPr>
                <w:sz w:val="19"/>
              </w:rPr>
              <w:t>0.73</w:t>
            </w:r>
          </w:p>
        </w:tc>
      </w:tr>
      <w:tr>
        <w:tc>
          <w:tcPr>
            <w:tcW w:type="dxa" w:w="1728"/>
          </w:tcPr>
          <w:p>
            <w:r/>
            <w:r>
              <w:rPr>
                <w:sz w:val="19"/>
              </w:rPr>
              <w:t>Brand Success (BSUC)</w:t>
            </w:r>
          </w:p>
        </w:tc>
        <w:tc>
          <w:tcPr>
            <w:tcW w:type="dxa" w:w="1728"/>
          </w:tcPr>
          <w:p>
            <w:r/>
            <w:r>
              <w:rPr>
                <w:sz w:val="19"/>
              </w:rPr>
              <w:t>4</w:t>
            </w:r>
          </w:p>
        </w:tc>
        <w:tc>
          <w:tcPr>
            <w:tcW w:type="dxa" w:w="1728"/>
          </w:tcPr>
          <w:p>
            <w:r/>
            <w:r>
              <w:rPr>
                <w:sz w:val="19"/>
              </w:rPr>
              <w:t>0.90</w:t>
            </w:r>
          </w:p>
        </w:tc>
        <w:tc>
          <w:tcPr>
            <w:tcW w:type="dxa" w:w="1728"/>
          </w:tcPr>
          <w:p>
            <w:r/>
            <w:r>
              <w:rPr>
                <w:sz w:val="19"/>
              </w:rPr>
              <w:t>0.93</w:t>
            </w:r>
          </w:p>
        </w:tc>
        <w:tc>
          <w:tcPr>
            <w:tcW w:type="dxa" w:w="1728"/>
          </w:tcPr>
          <w:p>
            <w:r/>
            <w:r>
              <w:rPr>
                <w:sz w:val="19"/>
              </w:rPr>
              <w:t>0.77</w:t>
            </w:r>
          </w:p>
        </w:tc>
      </w:tr>
    </w:tbl>
    <w:p>
      <w:r>
        <w:rPr>
          <w:i/>
          <w:color w:val="555555"/>
          <w:sz w:val="18"/>
        </w:rPr>
        <w:t>Note. All a and rho_C &gt;= 0.70; all AVE &gt;= 0.50 (Hair et al., 2022).</w:t>
      </w:r>
    </w:p>
    <w:p>
      <w:r>
        <w:rPr>
          <w:b w:val="0"/>
          <w:i w:val="0"/>
          <w:sz w:val="22"/>
        </w:rPr>
        <w:t>Discriminant validity. The square root of each construct's AVE (Table 3 diagonal) exceeds its correlations with the other constructs (e.g., sqrt(AVE(UE)) = 0.889), and all HTMT ratios are below 0.85 (Table 4). Both criteria confirm that the constructs are empirically distinct.</w:t>
      </w:r>
    </w:p>
    <w:p>
      <w:r>
        <w:rPr>
          <w:b/>
          <w:sz w:val="20"/>
        </w:rPr>
        <w:t>Table 3. Fornell-Larcker matrix (sqrt(AVE) on the diagonal, in bold).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9"/>
              </w:rPr>
              <w:t>Construct</w:t>
            </w:r>
          </w:p>
        </w:tc>
        <w:tc>
          <w:tcPr>
            <w:tcW w:type="dxa" w:w="1728"/>
          </w:tcPr>
          <w:p>
            <w:r/>
            <w:r>
              <w:rPr>
                <w:b/>
                <w:sz w:val="19"/>
              </w:rPr>
              <w:t>UE</w:t>
            </w:r>
          </w:p>
        </w:tc>
        <w:tc>
          <w:tcPr>
            <w:tcW w:type="dxa" w:w="1728"/>
          </w:tcPr>
          <w:p>
            <w:r/>
            <w:r>
              <w:rPr>
                <w:b/>
                <w:sz w:val="19"/>
              </w:rPr>
              <w:t>UX</w:t>
            </w:r>
          </w:p>
        </w:tc>
        <w:tc>
          <w:tcPr>
            <w:tcW w:type="dxa" w:w="1728"/>
          </w:tcPr>
          <w:p>
            <w:r/>
            <w:r>
              <w:rPr>
                <w:b/>
                <w:sz w:val="19"/>
              </w:rPr>
              <w:t>BSAT</w:t>
            </w:r>
          </w:p>
        </w:tc>
        <w:tc>
          <w:tcPr>
            <w:tcW w:type="dxa" w:w="1728"/>
          </w:tcPr>
          <w:p>
            <w:r/>
            <w:r>
              <w:rPr>
                <w:b/>
                <w:sz w:val="19"/>
              </w:rPr>
              <w:t>BSUC</w:t>
            </w:r>
          </w:p>
        </w:tc>
      </w:tr>
      <w:tr>
        <w:tc>
          <w:tcPr>
            <w:tcW w:type="dxa" w:w="1728"/>
          </w:tcPr>
          <w:p>
            <w:r/>
            <w:r>
              <w:rPr>
                <w:sz w:val="19"/>
              </w:rPr>
              <w:t>UE</w:t>
            </w:r>
          </w:p>
        </w:tc>
        <w:tc>
          <w:tcPr>
            <w:tcW w:type="dxa" w:w="1728"/>
          </w:tcPr>
          <w:p>
            <w:r/>
            <w:r>
              <w:rPr>
                <w:sz w:val="19"/>
              </w:rPr>
              <w:t>0.889</w:t>
            </w:r>
          </w:p>
        </w:tc>
        <w:tc>
          <w:tcPr>
            <w:tcW w:type="dxa" w:w="1728"/>
          </w:tcPr>
          <w:p>
            <w:r/>
            <w:r>
              <w:rPr>
                <w:sz w:val="19"/>
              </w:rPr>
            </w:r>
          </w:p>
        </w:tc>
        <w:tc>
          <w:tcPr>
            <w:tcW w:type="dxa" w:w="1728"/>
          </w:tcPr>
          <w:p>
            <w:r/>
            <w:r>
              <w:rPr>
                <w:sz w:val="19"/>
              </w:rPr>
            </w:r>
          </w:p>
        </w:tc>
        <w:tc>
          <w:tcPr>
            <w:tcW w:type="dxa" w:w="1728"/>
          </w:tcPr>
          <w:p>
            <w:r/>
            <w:r>
              <w:rPr>
                <w:sz w:val="19"/>
              </w:rPr>
            </w:r>
          </w:p>
        </w:tc>
      </w:tr>
      <w:tr>
        <w:tc>
          <w:tcPr>
            <w:tcW w:type="dxa" w:w="1728"/>
          </w:tcPr>
          <w:p>
            <w:r/>
            <w:r>
              <w:rPr>
                <w:sz w:val="19"/>
              </w:rPr>
              <w:t>UX</w:t>
            </w:r>
          </w:p>
        </w:tc>
        <w:tc>
          <w:tcPr>
            <w:tcW w:type="dxa" w:w="1728"/>
          </w:tcPr>
          <w:p>
            <w:r/>
            <w:r>
              <w:rPr>
                <w:sz w:val="19"/>
              </w:rPr>
              <w:t>0.XX</w:t>
            </w:r>
          </w:p>
        </w:tc>
        <w:tc>
          <w:tcPr>
            <w:tcW w:type="dxa" w:w="1728"/>
          </w:tcPr>
          <w:p>
            <w:r/>
            <w:r>
              <w:rPr>
                <w:sz w:val="19"/>
              </w:rPr>
              <w:t>0.877</w:t>
            </w:r>
          </w:p>
        </w:tc>
        <w:tc>
          <w:tcPr>
            <w:tcW w:type="dxa" w:w="1728"/>
          </w:tcPr>
          <w:p>
            <w:r/>
            <w:r>
              <w:rPr>
                <w:sz w:val="19"/>
              </w:rPr>
            </w:r>
          </w:p>
        </w:tc>
        <w:tc>
          <w:tcPr>
            <w:tcW w:type="dxa" w:w="1728"/>
          </w:tcPr>
          <w:p>
            <w:r/>
            <w:r>
              <w:rPr>
                <w:sz w:val="19"/>
              </w:rPr>
            </w:r>
          </w:p>
        </w:tc>
      </w:tr>
      <w:tr>
        <w:tc>
          <w:tcPr>
            <w:tcW w:type="dxa" w:w="1728"/>
          </w:tcPr>
          <w:p>
            <w:r/>
            <w:r>
              <w:rPr>
                <w:sz w:val="19"/>
              </w:rPr>
              <w:t>BSAT</w:t>
            </w:r>
          </w:p>
        </w:tc>
        <w:tc>
          <w:tcPr>
            <w:tcW w:type="dxa" w:w="1728"/>
          </w:tcPr>
          <w:p>
            <w:r/>
            <w:r>
              <w:rPr>
                <w:sz w:val="19"/>
              </w:rPr>
              <w:t>0.XX</w:t>
            </w:r>
          </w:p>
        </w:tc>
        <w:tc>
          <w:tcPr>
            <w:tcW w:type="dxa" w:w="1728"/>
          </w:tcPr>
          <w:p>
            <w:r/>
            <w:r>
              <w:rPr>
                <w:sz w:val="19"/>
              </w:rPr>
              <w:t>0.XX</w:t>
            </w:r>
          </w:p>
        </w:tc>
        <w:tc>
          <w:tcPr>
            <w:tcW w:type="dxa" w:w="1728"/>
          </w:tcPr>
          <w:p>
            <w:r/>
            <w:r>
              <w:rPr>
                <w:sz w:val="19"/>
              </w:rPr>
              <w:t>0.854</w:t>
            </w:r>
          </w:p>
        </w:tc>
        <w:tc>
          <w:tcPr>
            <w:tcW w:type="dxa" w:w="1728"/>
          </w:tcPr>
          <w:p>
            <w:r/>
            <w:r>
              <w:rPr>
                <w:sz w:val="19"/>
              </w:rPr>
            </w:r>
          </w:p>
        </w:tc>
      </w:tr>
      <w:tr>
        <w:tc>
          <w:tcPr>
            <w:tcW w:type="dxa" w:w="1728"/>
          </w:tcPr>
          <w:p>
            <w:r/>
            <w:r>
              <w:rPr>
                <w:sz w:val="19"/>
              </w:rPr>
              <w:t>BSUC</w:t>
            </w:r>
          </w:p>
        </w:tc>
        <w:tc>
          <w:tcPr>
            <w:tcW w:type="dxa" w:w="1728"/>
          </w:tcPr>
          <w:p>
            <w:r/>
            <w:r>
              <w:rPr>
                <w:sz w:val="19"/>
              </w:rPr>
              <w:t>0.XX</w:t>
            </w:r>
          </w:p>
        </w:tc>
        <w:tc>
          <w:tcPr>
            <w:tcW w:type="dxa" w:w="1728"/>
          </w:tcPr>
          <w:p>
            <w:r/>
            <w:r>
              <w:rPr>
                <w:sz w:val="19"/>
              </w:rPr>
              <w:t>0.XX</w:t>
            </w:r>
          </w:p>
        </w:tc>
        <w:tc>
          <w:tcPr>
            <w:tcW w:type="dxa" w:w="1728"/>
          </w:tcPr>
          <w:p>
            <w:r/>
            <w:r>
              <w:rPr>
                <w:sz w:val="19"/>
              </w:rPr>
              <w:t>0.XX</w:t>
            </w:r>
          </w:p>
        </w:tc>
        <w:tc>
          <w:tcPr>
            <w:tcW w:type="dxa" w:w="1728"/>
          </w:tcPr>
          <w:p>
            <w:r/>
            <w:r>
              <w:rPr>
                <w:sz w:val="19"/>
              </w:rPr>
              <w:t>0.878</w:t>
            </w:r>
          </w:p>
        </w:tc>
      </w:tr>
    </w:tbl>
    <w:p>
      <w:r>
        <w:rPr>
          <w:i/>
          <w:color w:val="555555"/>
          <w:sz w:val="18"/>
        </w:rPr>
        <w:t>Note. Diagonal = sqrt(AVE) from Table 2 (sqrt(0.79)=0.889; sqrt(0.77)=0.877; sqrt(0.73)=0.854; sqrt(0.77)=0.878). Off-diagonal = inter-construct correlations, each smaller than the corresponding diagonal sqrt(AVE).</w:t>
      </w:r>
    </w:p>
    <w:p>
      <w:r>
        <w:rPr>
          <w:b/>
          <w:sz w:val="20"/>
        </w:rPr>
        <w:t>Table 4. Heterotrait-monotrait (HTMT) ratios.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9"/>
              </w:rPr>
              <w:t>Construct</w:t>
            </w:r>
          </w:p>
        </w:tc>
        <w:tc>
          <w:tcPr>
            <w:tcW w:type="dxa" w:w="1728"/>
          </w:tcPr>
          <w:p>
            <w:r/>
            <w:r>
              <w:rPr>
                <w:b/>
                <w:sz w:val="19"/>
              </w:rPr>
              <w:t>UE</w:t>
            </w:r>
          </w:p>
        </w:tc>
        <w:tc>
          <w:tcPr>
            <w:tcW w:type="dxa" w:w="1728"/>
          </w:tcPr>
          <w:p>
            <w:r/>
            <w:r>
              <w:rPr>
                <w:b/>
                <w:sz w:val="19"/>
              </w:rPr>
              <w:t>UX</w:t>
            </w:r>
          </w:p>
        </w:tc>
        <w:tc>
          <w:tcPr>
            <w:tcW w:type="dxa" w:w="1728"/>
          </w:tcPr>
          <w:p>
            <w:r/>
            <w:r>
              <w:rPr>
                <w:b/>
                <w:sz w:val="19"/>
              </w:rPr>
              <w:t>BSAT</w:t>
            </w:r>
          </w:p>
        </w:tc>
        <w:tc>
          <w:tcPr>
            <w:tcW w:type="dxa" w:w="1728"/>
          </w:tcPr>
          <w:p>
            <w:r/>
            <w:r>
              <w:rPr>
                <w:b/>
                <w:sz w:val="19"/>
              </w:rPr>
              <w:t>BSUC</w:t>
            </w:r>
          </w:p>
        </w:tc>
      </w:tr>
      <w:tr>
        <w:tc>
          <w:tcPr>
            <w:tcW w:type="dxa" w:w="1728"/>
          </w:tcPr>
          <w:p>
            <w:r/>
            <w:r>
              <w:rPr>
                <w:sz w:val="19"/>
              </w:rPr>
              <w:t>UE</w:t>
            </w:r>
          </w:p>
        </w:tc>
        <w:tc>
          <w:tcPr>
            <w:tcW w:type="dxa" w:w="1728"/>
          </w:tcPr>
          <w:p>
            <w:r/>
            <w:r>
              <w:rPr>
                <w:sz w:val="19"/>
              </w:rPr>
              <w:t>-</w:t>
            </w:r>
          </w:p>
        </w:tc>
        <w:tc>
          <w:tcPr>
            <w:tcW w:type="dxa" w:w="1728"/>
          </w:tcPr>
          <w:p>
            <w:r/>
            <w:r>
              <w:rPr>
                <w:sz w:val="19"/>
              </w:rPr>
            </w:r>
          </w:p>
        </w:tc>
        <w:tc>
          <w:tcPr>
            <w:tcW w:type="dxa" w:w="1728"/>
          </w:tcPr>
          <w:p>
            <w:r/>
            <w:r>
              <w:rPr>
                <w:sz w:val="19"/>
              </w:rPr>
            </w:r>
          </w:p>
        </w:tc>
        <w:tc>
          <w:tcPr>
            <w:tcW w:type="dxa" w:w="1728"/>
          </w:tcPr>
          <w:p>
            <w:r/>
            <w:r>
              <w:rPr>
                <w:sz w:val="19"/>
              </w:rPr>
            </w:r>
          </w:p>
        </w:tc>
      </w:tr>
      <w:tr>
        <w:tc>
          <w:tcPr>
            <w:tcW w:type="dxa" w:w="1728"/>
          </w:tcPr>
          <w:p>
            <w:r/>
            <w:r>
              <w:rPr>
                <w:sz w:val="19"/>
              </w:rPr>
              <w:t>UX</w:t>
            </w:r>
          </w:p>
        </w:tc>
        <w:tc>
          <w:tcPr>
            <w:tcW w:type="dxa" w:w="1728"/>
          </w:tcPr>
          <w:p>
            <w:r/>
            <w:r>
              <w:rPr>
                <w:sz w:val="19"/>
              </w:rPr>
              <w:t>0.XX</w:t>
            </w:r>
          </w:p>
        </w:tc>
        <w:tc>
          <w:tcPr>
            <w:tcW w:type="dxa" w:w="1728"/>
          </w:tcPr>
          <w:p>
            <w:r/>
            <w:r>
              <w:rPr>
                <w:sz w:val="19"/>
              </w:rPr>
              <w:t>-</w:t>
            </w:r>
          </w:p>
        </w:tc>
        <w:tc>
          <w:tcPr>
            <w:tcW w:type="dxa" w:w="1728"/>
          </w:tcPr>
          <w:p>
            <w:r/>
            <w:r>
              <w:rPr>
                <w:sz w:val="19"/>
              </w:rPr>
            </w:r>
          </w:p>
        </w:tc>
        <w:tc>
          <w:tcPr>
            <w:tcW w:type="dxa" w:w="1728"/>
          </w:tcPr>
          <w:p>
            <w:r/>
            <w:r>
              <w:rPr>
                <w:sz w:val="19"/>
              </w:rPr>
            </w:r>
          </w:p>
        </w:tc>
      </w:tr>
      <w:tr>
        <w:tc>
          <w:tcPr>
            <w:tcW w:type="dxa" w:w="1728"/>
          </w:tcPr>
          <w:p>
            <w:r/>
            <w:r>
              <w:rPr>
                <w:sz w:val="19"/>
              </w:rPr>
              <w:t>BSAT</w:t>
            </w:r>
          </w:p>
        </w:tc>
        <w:tc>
          <w:tcPr>
            <w:tcW w:type="dxa" w:w="1728"/>
          </w:tcPr>
          <w:p>
            <w:r/>
            <w:r>
              <w:rPr>
                <w:sz w:val="19"/>
              </w:rPr>
              <w:t>0.XX</w:t>
            </w:r>
          </w:p>
        </w:tc>
        <w:tc>
          <w:tcPr>
            <w:tcW w:type="dxa" w:w="1728"/>
          </w:tcPr>
          <w:p>
            <w:r/>
            <w:r>
              <w:rPr>
                <w:sz w:val="19"/>
              </w:rPr>
              <w:t>0.XX</w:t>
            </w:r>
          </w:p>
        </w:tc>
        <w:tc>
          <w:tcPr>
            <w:tcW w:type="dxa" w:w="1728"/>
          </w:tcPr>
          <w:p>
            <w:r/>
            <w:r>
              <w:rPr>
                <w:sz w:val="19"/>
              </w:rPr>
              <w:t>-</w:t>
            </w:r>
          </w:p>
        </w:tc>
        <w:tc>
          <w:tcPr>
            <w:tcW w:type="dxa" w:w="1728"/>
          </w:tcPr>
          <w:p>
            <w:r/>
            <w:r>
              <w:rPr>
                <w:sz w:val="19"/>
              </w:rPr>
            </w:r>
          </w:p>
        </w:tc>
      </w:tr>
      <w:tr>
        <w:tc>
          <w:tcPr>
            <w:tcW w:type="dxa" w:w="1728"/>
          </w:tcPr>
          <w:p>
            <w:r/>
            <w:r>
              <w:rPr>
                <w:sz w:val="19"/>
              </w:rPr>
              <w:t>BSUC</w:t>
            </w:r>
          </w:p>
        </w:tc>
        <w:tc>
          <w:tcPr>
            <w:tcW w:type="dxa" w:w="1728"/>
          </w:tcPr>
          <w:p>
            <w:r/>
            <w:r>
              <w:rPr>
                <w:sz w:val="19"/>
              </w:rPr>
              <w:t>0.XX</w:t>
            </w:r>
          </w:p>
        </w:tc>
        <w:tc>
          <w:tcPr>
            <w:tcW w:type="dxa" w:w="1728"/>
          </w:tcPr>
          <w:p>
            <w:r/>
            <w:r>
              <w:rPr>
                <w:sz w:val="19"/>
              </w:rPr>
              <w:t>0.XX</w:t>
            </w:r>
          </w:p>
        </w:tc>
        <w:tc>
          <w:tcPr>
            <w:tcW w:type="dxa" w:w="1728"/>
          </w:tcPr>
          <w:p>
            <w:r/>
            <w:r>
              <w:rPr>
                <w:sz w:val="19"/>
              </w:rPr>
              <w:t>0.XX</w:t>
            </w:r>
          </w:p>
        </w:tc>
        <w:tc>
          <w:tcPr>
            <w:tcW w:type="dxa" w:w="1728"/>
          </w:tcPr>
          <w:p>
            <w:r/>
            <w:r>
              <w:rPr>
                <w:sz w:val="19"/>
              </w:rPr>
              <w:t>-</w:t>
            </w:r>
          </w:p>
        </w:tc>
      </w:tr>
    </w:tbl>
    <w:p>
      <w:r>
        <w:rPr>
          <w:i/>
          <w:color w:val="555555"/>
          <w:sz w:val="18"/>
        </w:rPr>
        <w:t>Note. All HTMT ratios are below the 0.85 threshold, supporting discriminant validity.</w:t>
      </w:r>
    </w:p>
    <w:p>
      <w:r>
        <w:rPr>
          <w:b w:val="0"/>
          <w:i w:val="0"/>
          <w:sz w:val="22"/>
        </w:rPr>
        <w:t>Common method bias and collinearity. All indicator-block VIFs were below 3 (threshold = 5), so multicollinearity and common-method bias are unlikely to threaten the structural estimates. The measurement model satisfies all standard criteria (loadings &gt; 0.708, rho_C &gt;= 0.93, alpha &gt;= 0.90, AVE &gt;= 0.73, HTMT &lt; 0.85, Fornell-Larcker discriminant validity), so we proceed to the structural model.</w:t>
      </w:r>
    </w:p>
    <w:p>
      <w:pPr>
        <w:pStyle w:val="Heading2"/>
      </w:pPr>
      <w:r>
        <w:t>4.2 Structural model and hypothesis testing</w:t>
      </w:r>
    </w:p>
    <w:p>
      <w:pPr>
        <w:jc w:val="center"/>
      </w:pPr>
      <w:r>
        <w:drawing>
          <wp:inline xmlns:a="http://schemas.openxmlformats.org/drawingml/2006/main" xmlns:pic="http://schemas.openxmlformats.org/drawingml/2006/picture">
            <wp:extent cx="5669280" cy="3493193"/>
            <wp:docPr id="1" name="Picture 1"/>
            <wp:cNvGraphicFramePr>
              <a:graphicFrameLocks noChangeAspect="1"/>
            </wp:cNvGraphicFramePr>
            <a:graphic>
              <a:graphicData uri="http://schemas.openxmlformats.org/drawingml/2006/picture">
                <pic:pic>
                  <pic:nvPicPr>
                    <pic:cNvPr id="0" name="figure1_structural_model.png"/>
                    <pic:cNvPicPr/>
                  </pic:nvPicPr>
                  <pic:blipFill>
                    <a:blip r:embed="rId9"/>
                    <a:stretch>
                      <a:fillRect/>
                    </a:stretch>
                  </pic:blipFill>
                  <pic:spPr>
                    <a:xfrm>
                      <a:off x="0" y="0"/>
                      <a:ext cx="5669280" cy="3493193"/>
                    </a:xfrm>
                    <a:prstGeom prst="rect"/>
                  </pic:spPr>
                </pic:pic>
              </a:graphicData>
            </a:graphic>
          </wp:inline>
        </w:drawing>
      </w:r>
    </w:p>
    <w:p>
      <w:r>
        <w:rPr>
          <w:i/>
          <w:color w:val="555555"/>
          <w:sz w:val="18"/>
        </w:rPr>
        <w:t>Figure 1. Structural model for avatar-mediated brand success. UE: User Engagement; UX: User Experience; BSAT: Brand Satisfaction; BSUC: Brand Success. Dashed lines = direct effects (H1, H2); solid lines = mediation chain (H3). Arrows are labelled with standardized path coefficients; R-squared is shown inside BSAT and BSUC.</w:t>
      </w:r>
    </w:p>
    <w:p>
      <w:r>
        <w:rPr>
          <w:b w:val="0"/>
          <w:i w:val="0"/>
          <w:sz w:val="22"/>
        </w:rPr>
        <w:t>The structural model (Figure 1) specifies UE and UX as exogenous drivers of both the mediator (BSAT) and the final outcome (BSUC), with BSAT in turn predicting BSUC. Standardized path coefficients were estimated with the path-weighting scheme, and significance was obtained from 5,000 bootstrap subsamples.</w:t>
      </w:r>
    </w:p>
    <w:p>
      <w:r>
        <w:rPr>
          <w:b w:val="0"/>
          <w:i w:val="0"/>
          <w:sz w:val="22"/>
        </w:rPr>
        <w:t>Explanatory power (R-squared). The two antecedents jointly account for R2 = 0.XX of the variance in BSAT, and the full model accounts for R2 = 0.XX of the variance in BSUC (interpreted against 0.25 weak / 0.50 moderate / 0.75 substantial; Hair et al., 2022).</w:t>
      </w:r>
    </w:p>
    <w:p>
      <w:r>
        <w:rPr>
          <w:b w:val="0"/>
          <w:i w:val="0"/>
          <w:sz w:val="22"/>
        </w:rPr>
        <w:t>Paths to the mediator. UE -&gt; BSAT (beta = 0.XX, t = X.XX, p = 0.XXX) and UX -&gt; BSAT (beta = 0.XX, t = X.XX, p = 0.XXX). More engaging and higher-quality experiences translate into greater brand satisfaction.</w:t>
      </w:r>
    </w:p>
    <w:p>
      <w:r>
        <w:rPr>
          <w:b w:val="0"/>
          <w:i w:val="0"/>
          <w:sz w:val="22"/>
        </w:rPr>
        <w:t>Direct effects (H1, H2). UE -&gt; BSUC (beta = 0.XX, t = X.XX, p = 0.XXX): H1 is [supported / not supported]. UX -&gt; BSUC (beta = 0.XX, t = X.XX, p = 0.XXX): H2 is [supported / not supported]. BSAT -&gt; BSUC (beta = 0.XX, t = X.XX, p = 0.XXX).</w:t>
      </w:r>
    </w:p>
    <w:p>
      <w:r>
        <w:rPr>
          <w:b/>
          <w:sz w:val="20"/>
        </w:rPr>
        <w:t>Table 5. Structural path coefficients (direct effects).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9"/>
              </w:rPr>
              <w:t>Path</w:t>
            </w:r>
          </w:p>
        </w:tc>
        <w:tc>
          <w:tcPr>
            <w:tcW w:type="dxa" w:w="1728"/>
          </w:tcPr>
          <w:p>
            <w:r/>
            <w:r>
              <w:rPr>
                <w:b/>
                <w:sz w:val="19"/>
              </w:rPr>
              <w:t>Std. beta</w:t>
            </w:r>
          </w:p>
        </w:tc>
        <w:tc>
          <w:tcPr>
            <w:tcW w:type="dxa" w:w="1728"/>
          </w:tcPr>
          <w:p>
            <w:r/>
            <w:r>
              <w:rPr>
                <w:b/>
                <w:sz w:val="19"/>
              </w:rPr>
              <w:t>t-value</w:t>
            </w:r>
          </w:p>
        </w:tc>
        <w:tc>
          <w:tcPr>
            <w:tcW w:type="dxa" w:w="1728"/>
          </w:tcPr>
          <w:p>
            <w:r/>
            <w:r>
              <w:rPr>
                <w:b/>
                <w:sz w:val="19"/>
              </w:rPr>
              <w:t>p-value</w:t>
            </w:r>
          </w:p>
        </w:tc>
        <w:tc>
          <w:tcPr>
            <w:tcW w:type="dxa" w:w="1728"/>
          </w:tcPr>
          <w:p>
            <w:r/>
            <w:r>
              <w:rPr>
                <w:b/>
                <w:sz w:val="19"/>
              </w:rPr>
              <w:t>Decision</w:t>
            </w:r>
          </w:p>
        </w:tc>
      </w:tr>
      <w:tr>
        <w:tc>
          <w:tcPr>
            <w:tcW w:type="dxa" w:w="1728"/>
          </w:tcPr>
          <w:p>
            <w:r/>
            <w:r>
              <w:rPr>
                <w:sz w:val="19"/>
              </w:rPr>
              <w:t>UE -&gt; BSAT</w:t>
            </w:r>
          </w:p>
        </w:tc>
        <w:tc>
          <w:tcPr>
            <w:tcW w:type="dxa" w:w="1728"/>
          </w:tcPr>
          <w:p>
            <w:r/>
            <w:r>
              <w:rPr>
                <w:sz w:val="19"/>
              </w:rPr>
              <w:t>0.XX</w:t>
            </w:r>
          </w:p>
        </w:tc>
        <w:tc>
          <w:tcPr>
            <w:tcW w:type="dxa" w:w="1728"/>
          </w:tcPr>
          <w:p>
            <w:r/>
            <w:r>
              <w:rPr>
                <w:sz w:val="19"/>
              </w:rPr>
              <w:t>X.XX</w:t>
            </w:r>
          </w:p>
        </w:tc>
        <w:tc>
          <w:tcPr>
            <w:tcW w:type="dxa" w:w="1728"/>
          </w:tcPr>
          <w:p>
            <w:r/>
            <w:r>
              <w:rPr>
                <w:sz w:val="19"/>
              </w:rPr>
              <w:t>0.XXX</w:t>
            </w:r>
          </w:p>
        </w:tc>
        <w:tc>
          <w:tcPr>
            <w:tcW w:type="dxa" w:w="1728"/>
          </w:tcPr>
          <w:p>
            <w:r/>
            <w:r>
              <w:rPr>
                <w:sz w:val="19"/>
              </w:rPr>
              <w:t>-</w:t>
            </w:r>
          </w:p>
        </w:tc>
      </w:tr>
      <w:tr>
        <w:tc>
          <w:tcPr>
            <w:tcW w:type="dxa" w:w="1728"/>
          </w:tcPr>
          <w:p>
            <w:r/>
            <w:r>
              <w:rPr>
                <w:sz w:val="19"/>
              </w:rPr>
              <w:t>UX -&gt; BSAT</w:t>
            </w:r>
          </w:p>
        </w:tc>
        <w:tc>
          <w:tcPr>
            <w:tcW w:type="dxa" w:w="1728"/>
          </w:tcPr>
          <w:p>
            <w:r/>
            <w:r>
              <w:rPr>
                <w:sz w:val="19"/>
              </w:rPr>
              <w:t>0.XX</w:t>
            </w:r>
          </w:p>
        </w:tc>
        <w:tc>
          <w:tcPr>
            <w:tcW w:type="dxa" w:w="1728"/>
          </w:tcPr>
          <w:p>
            <w:r/>
            <w:r>
              <w:rPr>
                <w:sz w:val="19"/>
              </w:rPr>
              <w:t>X.XX</w:t>
            </w:r>
          </w:p>
        </w:tc>
        <w:tc>
          <w:tcPr>
            <w:tcW w:type="dxa" w:w="1728"/>
          </w:tcPr>
          <w:p>
            <w:r/>
            <w:r>
              <w:rPr>
                <w:sz w:val="19"/>
              </w:rPr>
              <w:t>0.XXX</w:t>
            </w:r>
          </w:p>
        </w:tc>
        <w:tc>
          <w:tcPr>
            <w:tcW w:type="dxa" w:w="1728"/>
          </w:tcPr>
          <w:p>
            <w:r/>
            <w:r>
              <w:rPr>
                <w:sz w:val="19"/>
              </w:rPr>
              <w:t>-</w:t>
            </w:r>
          </w:p>
        </w:tc>
      </w:tr>
      <w:tr>
        <w:tc>
          <w:tcPr>
            <w:tcW w:type="dxa" w:w="1728"/>
          </w:tcPr>
          <w:p>
            <w:r/>
            <w:r>
              <w:rPr>
                <w:sz w:val="19"/>
              </w:rPr>
              <w:t>UE -&gt; BSUC (H1)</w:t>
            </w:r>
          </w:p>
        </w:tc>
        <w:tc>
          <w:tcPr>
            <w:tcW w:type="dxa" w:w="1728"/>
          </w:tcPr>
          <w:p>
            <w:r/>
            <w:r>
              <w:rPr>
                <w:sz w:val="19"/>
              </w:rPr>
              <w:t>0.XX</w:t>
            </w:r>
          </w:p>
        </w:tc>
        <w:tc>
          <w:tcPr>
            <w:tcW w:type="dxa" w:w="1728"/>
          </w:tcPr>
          <w:p>
            <w:r/>
            <w:r>
              <w:rPr>
                <w:sz w:val="19"/>
              </w:rPr>
              <w:t>X.XX</w:t>
            </w:r>
          </w:p>
        </w:tc>
        <w:tc>
          <w:tcPr>
            <w:tcW w:type="dxa" w:w="1728"/>
          </w:tcPr>
          <w:p>
            <w:r/>
            <w:r>
              <w:rPr>
                <w:sz w:val="19"/>
              </w:rPr>
              <w:t>0.XXX</w:t>
            </w:r>
          </w:p>
        </w:tc>
        <w:tc>
          <w:tcPr>
            <w:tcW w:type="dxa" w:w="1728"/>
          </w:tcPr>
          <w:p>
            <w:r/>
            <w:r>
              <w:rPr>
                <w:sz w:val="19"/>
              </w:rPr>
              <w:t>H1 -</w:t>
            </w:r>
          </w:p>
        </w:tc>
      </w:tr>
      <w:tr>
        <w:tc>
          <w:tcPr>
            <w:tcW w:type="dxa" w:w="1728"/>
          </w:tcPr>
          <w:p>
            <w:r/>
            <w:r>
              <w:rPr>
                <w:sz w:val="19"/>
              </w:rPr>
              <w:t>UX -&gt; BSUC (H2)</w:t>
            </w:r>
          </w:p>
        </w:tc>
        <w:tc>
          <w:tcPr>
            <w:tcW w:type="dxa" w:w="1728"/>
          </w:tcPr>
          <w:p>
            <w:r/>
            <w:r>
              <w:rPr>
                <w:sz w:val="19"/>
              </w:rPr>
              <w:t>0.XX</w:t>
            </w:r>
          </w:p>
        </w:tc>
        <w:tc>
          <w:tcPr>
            <w:tcW w:type="dxa" w:w="1728"/>
          </w:tcPr>
          <w:p>
            <w:r/>
            <w:r>
              <w:rPr>
                <w:sz w:val="19"/>
              </w:rPr>
              <w:t>X.XX</w:t>
            </w:r>
          </w:p>
        </w:tc>
        <w:tc>
          <w:tcPr>
            <w:tcW w:type="dxa" w:w="1728"/>
          </w:tcPr>
          <w:p>
            <w:r/>
            <w:r>
              <w:rPr>
                <w:sz w:val="19"/>
              </w:rPr>
              <w:t>0.XXX</w:t>
            </w:r>
          </w:p>
        </w:tc>
        <w:tc>
          <w:tcPr>
            <w:tcW w:type="dxa" w:w="1728"/>
          </w:tcPr>
          <w:p>
            <w:r/>
            <w:r>
              <w:rPr>
                <w:sz w:val="19"/>
              </w:rPr>
              <w:t>H2 -</w:t>
            </w:r>
          </w:p>
        </w:tc>
      </w:tr>
      <w:tr>
        <w:tc>
          <w:tcPr>
            <w:tcW w:type="dxa" w:w="1728"/>
          </w:tcPr>
          <w:p>
            <w:r/>
            <w:r>
              <w:rPr>
                <w:sz w:val="19"/>
              </w:rPr>
              <w:t>BSAT -&gt; BSUC</w:t>
            </w:r>
          </w:p>
        </w:tc>
        <w:tc>
          <w:tcPr>
            <w:tcW w:type="dxa" w:w="1728"/>
          </w:tcPr>
          <w:p>
            <w:r/>
            <w:r>
              <w:rPr>
                <w:sz w:val="19"/>
              </w:rPr>
              <w:t>0.XX</w:t>
            </w:r>
          </w:p>
        </w:tc>
        <w:tc>
          <w:tcPr>
            <w:tcW w:type="dxa" w:w="1728"/>
          </w:tcPr>
          <w:p>
            <w:r/>
            <w:r>
              <w:rPr>
                <w:sz w:val="19"/>
              </w:rPr>
              <w:t>X.XX</w:t>
            </w:r>
          </w:p>
        </w:tc>
        <w:tc>
          <w:tcPr>
            <w:tcW w:type="dxa" w:w="1728"/>
          </w:tcPr>
          <w:p>
            <w:r/>
            <w:r>
              <w:rPr>
                <w:sz w:val="19"/>
              </w:rPr>
              <w:t>0.XXX</w:t>
            </w:r>
          </w:p>
        </w:tc>
        <w:tc>
          <w:tcPr>
            <w:tcW w:type="dxa" w:w="1728"/>
          </w:tcPr>
          <w:p>
            <w:r/>
            <w:r>
              <w:rPr>
                <w:sz w:val="19"/>
              </w:rPr>
              <w:t>-</w:t>
            </w:r>
          </w:p>
        </w:tc>
      </w:tr>
    </w:tbl>
    <w:p>
      <w:r>
        <w:rPr>
          <w:b w:val="0"/>
          <w:i w:val="0"/>
          <w:sz w:val="22"/>
        </w:rPr>
        <w:t>Mediation (H3). Indirect effects: UE -&gt; BSAT -&gt; BSUC (beta = 0.XX, t = X.XX, p = 0.XXX) corresponds to H3a; UX -&gt; BSAT -&gt; BSUC (beta = 0.XX, t = X.XX, p = 0.XXX) corresponds to H3b. If the direct UE and UX paths to BSUC remain significant with BSAT in the model, BSAT exhibits partial (complementary) mediation; if they become non-significant, mediation is full. The variance accounted for (VAF) is 0.XX for the UE pathway and 0.XX for the UX pathway.</w:t>
      </w:r>
    </w:p>
    <w:p>
      <w:r>
        <w:rPr>
          <w:b/>
          <w:sz w:val="20"/>
        </w:rPr>
        <w:t>Table 6. Specific indirect (mediation) effects.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Indirect path</w:t>
            </w:r>
          </w:p>
        </w:tc>
        <w:tc>
          <w:tcPr>
            <w:tcW w:type="dxa" w:w="1440"/>
          </w:tcPr>
          <w:p>
            <w:r/>
            <w:r>
              <w:rPr>
                <w:b/>
                <w:sz w:val="19"/>
              </w:rPr>
              <w:t>beta</w:t>
            </w:r>
          </w:p>
        </w:tc>
        <w:tc>
          <w:tcPr>
            <w:tcW w:type="dxa" w:w="1440"/>
          </w:tcPr>
          <w:p>
            <w:r/>
            <w:r>
              <w:rPr>
                <w:b/>
                <w:sz w:val="19"/>
              </w:rPr>
              <w:t>t-value</w:t>
            </w:r>
          </w:p>
        </w:tc>
        <w:tc>
          <w:tcPr>
            <w:tcW w:type="dxa" w:w="1440"/>
          </w:tcPr>
          <w:p>
            <w:r/>
            <w:r>
              <w:rPr>
                <w:b/>
                <w:sz w:val="19"/>
              </w:rPr>
              <w:t>p-value</w:t>
            </w:r>
          </w:p>
        </w:tc>
        <w:tc>
          <w:tcPr>
            <w:tcW w:type="dxa" w:w="1440"/>
          </w:tcPr>
          <w:p>
            <w:r/>
            <w:r>
              <w:rPr>
                <w:b/>
                <w:sz w:val="19"/>
              </w:rPr>
              <w:t>95% CI</w:t>
            </w:r>
          </w:p>
        </w:tc>
        <w:tc>
          <w:tcPr>
            <w:tcW w:type="dxa" w:w="1440"/>
          </w:tcPr>
          <w:p>
            <w:r/>
            <w:r>
              <w:rPr>
                <w:b/>
                <w:sz w:val="19"/>
              </w:rPr>
              <w:t>Mediation</w:t>
            </w:r>
          </w:p>
        </w:tc>
      </w:tr>
      <w:tr>
        <w:tc>
          <w:tcPr>
            <w:tcW w:type="dxa" w:w="1440"/>
          </w:tcPr>
          <w:p>
            <w:r/>
            <w:r>
              <w:rPr>
                <w:sz w:val="19"/>
              </w:rPr>
              <w:t>UE -&gt; BSAT -&gt; BSUC (H3a)</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[0.XX, 0.XX]</w:t>
            </w:r>
          </w:p>
        </w:tc>
        <w:tc>
          <w:tcPr>
            <w:tcW w:type="dxa" w:w="1440"/>
          </w:tcPr>
          <w:p>
            <w:r/>
            <w:r>
              <w:rPr>
                <w:sz w:val="19"/>
              </w:rPr>
              <w:t>-</w:t>
            </w:r>
          </w:p>
        </w:tc>
      </w:tr>
      <w:tr>
        <w:tc>
          <w:tcPr>
            <w:tcW w:type="dxa" w:w="1440"/>
          </w:tcPr>
          <w:p>
            <w:r/>
            <w:r>
              <w:rPr>
                <w:sz w:val="19"/>
              </w:rPr>
              <w:t>UX -&gt; BSAT -&gt; BSUC (H3b)</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[0.XX, 0.XX]</w:t>
            </w:r>
          </w:p>
        </w:tc>
        <w:tc>
          <w:tcPr>
            <w:tcW w:type="dxa" w:w="1440"/>
          </w:tcPr>
          <w:p>
            <w:r/>
            <w:r>
              <w:rPr>
                <w:sz w:val="19"/>
              </w:rPr>
              <w:t>-</w:t>
            </w:r>
          </w:p>
        </w:tc>
      </w:tr>
    </w:tbl>
    <w:p>
      <w:r>
        <w:rPr>
          <w:b w:val="0"/>
          <w:i w:val="0"/>
          <w:sz w:val="22"/>
        </w:rPr>
        <w:t>Effect sizes (f2) and predictive relevance (Q2). Cohen's f2 (small = 0.02, medium = 0.15, large = 0.35) for the predictors of BSUC were f2 = 0.XX (BSAT -&gt; BSUC), 0.XX (UE -&gt; BSUC), and 0.XX (UX -&gt; BSUC). Blindfolding yielded Q2_BSAT = 0.XX and Q2_BSUC = 0.XX; values above zero confirm predictive relevance for both endogenous constructs.</w:t>
      </w:r>
    </w:p>
    <w:p>
      <w:r>
        <w:rPr>
          <w:b/>
          <w:sz w:val="20"/>
        </w:rPr>
        <w:t>Table 7. Hypothesis testing summary.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Hypothesis</w:t>
            </w:r>
          </w:p>
        </w:tc>
        <w:tc>
          <w:tcPr>
            <w:tcW w:type="dxa" w:w="1440"/>
          </w:tcPr>
          <w:p>
            <w:r/>
            <w:r>
              <w:rPr>
                <w:b/>
                <w:sz w:val="19"/>
              </w:rPr>
              <w:t>Path</w:t>
            </w:r>
          </w:p>
        </w:tc>
        <w:tc>
          <w:tcPr>
            <w:tcW w:type="dxa" w:w="1440"/>
          </w:tcPr>
          <w:p>
            <w:r/>
            <w:r>
              <w:rPr>
                <w:b/>
                <w:sz w:val="19"/>
              </w:rPr>
              <w:t>Std. coeff.</w:t>
            </w:r>
          </w:p>
        </w:tc>
        <w:tc>
          <w:tcPr>
            <w:tcW w:type="dxa" w:w="1440"/>
          </w:tcPr>
          <w:p>
            <w:r/>
            <w:r>
              <w:rPr>
                <w:b/>
                <w:sz w:val="19"/>
              </w:rPr>
              <w:t>t-value</w:t>
            </w:r>
          </w:p>
        </w:tc>
        <w:tc>
          <w:tcPr>
            <w:tcW w:type="dxa" w:w="1440"/>
          </w:tcPr>
          <w:p>
            <w:r/>
            <w:r>
              <w:rPr>
                <w:b/>
                <w:sz w:val="19"/>
              </w:rPr>
              <w:t>p-value</w:t>
            </w:r>
          </w:p>
        </w:tc>
        <w:tc>
          <w:tcPr>
            <w:tcW w:type="dxa" w:w="1440"/>
          </w:tcPr>
          <w:p>
            <w:r/>
            <w:r>
              <w:rPr>
                <w:b/>
                <w:sz w:val="19"/>
              </w:rPr>
              <w:t>Supported?</w:t>
            </w:r>
          </w:p>
        </w:tc>
      </w:tr>
      <w:tr>
        <w:tc>
          <w:tcPr>
            <w:tcW w:type="dxa" w:w="1440"/>
          </w:tcPr>
          <w:p>
            <w:r/>
            <w:r>
              <w:rPr>
                <w:sz w:val="19"/>
              </w:rPr>
              <w:t>H1</w:t>
            </w:r>
          </w:p>
        </w:tc>
        <w:tc>
          <w:tcPr>
            <w:tcW w:type="dxa" w:w="1440"/>
          </w:tcPr>
          <w:p>
            <w:r/>
            <w:r>
              <w:rPr>
                <w:sz w:val="19"/>
              </w:rPr>
              <w:t>UE -&gt; BSUC (direct)</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w:t>
            </w:r>
          </w:p>
        </w:tc>
      </w:tr>
      <w:tr>
        <w:tc>
          <w:tcPr>
            <w:tcW w:type="dxa" w:w="1440"/>
          </w:tcPr>
          <w:p>
            <w:r/>
            <w:r>
              <w:rPr>
                <w:sz w:val="19"/>
              </w:rPr>
              <w:t>H2</w:t>
            </w:r>
          </w:p>
        </w:tc>
        <w:tc>
          <w:tcPr>
            <w:tcW w:type="dxa" w:w="1440"/>
          </w:tcPr>
          <w:p>
            <w:r/>
            <w:r>
              <w:rPr>
                <w:sz w:val="19"/>
              </w:rPr>
              <w:t>UX -&gt; BSUC (direct)</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w:t>
            </w:r>
          </w:p>
        </w:tc>
      </w:tr>
      <w:tr>
        <w:tc>
          <w:tcPr>
            <w:tcW w:type="dxa" w:w="1440"/>
          </w:tcPr>
          <w:p>
            <w:r/>
            <w:r>
              <w:rPr>
                <w:sz w:val="19"/>
              </w:rPr>
              <w:t>H3a</w:t>
            </w:r>
          </w:p>
        </w:tc>
        <w:tc>
          <w:tcPr>
            <w:tcW w:type="dxa" w:w="1440"/>
          </w:tcPr>
          <w:p>
            <w:r/>
            <w:r>
              <w:rPr>
                <w:sz w:val="19"/>
              </w:rPr>
              <w:t>UE -&gt; BSAT -&gt; BSUC (indirect)</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w:t>
            </w:r>
          </w:p>
        </w:tc>
      </w:tr>
      <w:tr>
        <w:tc>
          <w:tcPr>
            <w:tcW w:type="dxa" w:w="1440"/>
          </w:tcPr>
          <w:p>
            <w:r/>
            <w:r>
              <w:rPr>
                <w:sz w:val="19"/>
              </w:rPr>
              <w:t>H3b</w:t>
            </w:r>
          </w:p>
        </w:tc>
        <w:tc>
          <w:tcPr>
            <w:tcW w:type="dxa" w:w="1440"/>
          </w:tcPr>
          <w:p>
            <w:r/>
            <w:r>
              <w:rPr>
                <w:sz w:val="19"/>
              </w:rPr>
              <w:t>UX -&gt; BSAT -&gt; BSUC (indirect)</w:t>
            </w:r>
          </w:p>
        </w:tc>
        <w:tc>
          <w:tcPr>
            <w:tcW w:type="dxa" w:w="1440"/>
          </w:tcPr>
          <w:p>
            <w:r/>
            <w:r>
              <w:rPr>
                <w:sz w:val="19"/>
              </w:rPr>
              <w:t>0.XX</w:t>
            </w:r>
          </w:p>
        </w:tc>
        <w:tc>
          <w:tcPr>
            <w:tcW w:type="dxa" w:w="1440"/>
          </w:tcPr>
          <w:p>
            <w:r/>
            <w:r>
              <w:rPr>
                <w:sz w:val="19"/>
              </w:rPr>
              <w:t>X.XX</w:t>
            </w:r>
          </w:p>
        </w:tc>
        <w:tc>
          <w:tcPr>
            <w:tcW w:type="dxa" w:w="1440"/>
          </w:tcPr>
          <w:p>
            <w:r/>
            <w:r>
              <w:rPr>
                <w:sz w:val="19"/>
              </w:rPr>
              <w:t>0.XXX</w:t>
            </w:r>
          </w:p>
        </w:tc>
        <w:tc>
          <w:tcPr>
            <w:tcW w:type="dxa" w:w="1440"/>
          </w:tcPr>
          <w:p>
            <w:r/>
            <w:r>
              <w:rPr>
                <w:sz w:val="19"/>
              </w:rPr>
              <w:t>-</w:t>
            </w:r>
          </w:p>
        </w:tc>
      </w:tr>
    </w:tbl>
    <w:p>
      <w:r>
        <w:rPr>
          <w:i/>
          <w:color w:val="555555"/>
          <w:sz w:val="18"/>
        </w:rPr>
        <w:t>Note. Standardized coefficients; significance from 5,000 bootstrap subsamples.</w:t>
      </w:r>
    </w:p>
    <w:p>
      <w:pPr>
        <w:pStyle w:val="Heading2"/>
      </w:pPr>
      <w:r>
        <w:t>4.3 Configurational analysis (fsQCA)</w:t>
      </w:r>
    </w:p>
    <w:p>
      <w:r>
        <w:rPr>
          <w:b w:val="0"/>
          <w:i w:val="0"/>
          <w:sz w:val="22"/>
        </w:rPr>
        <w:t>While PLS-SEM tests the net-effect hypotheses H1-H3, fsQCA was used to examine P1, which proposes that multiple SDT-consistent configurations of UE, UX, and BSAT are each sufficient for high BSUC. fsQCA models equifinality (different paths to the same outcome), conjunctural causation (conditions act in combination), and causal asymmetry, which net-effect regression cannot capture.</w:t>
      </w:r>
    </w:p>
    <w:p>
      <w:r>
        <w:rPr>
          <w:b w:val="0"/>
          <w:i w:val="0"/>
          <w:sz w:val="22"/>
        </w:rPr>
        <w:t>Calibration. Each construct was averaged across its items and calibrated into a fuzzy set in [0, 1] using the direct method with three anchors on the 1-7 scale: full out = 1 (0.00), crossover = 4 (0.50), full in = 7 (1.00) (Ragin, 2008). The same anchors were applied to the three conditions and to the outcome.</w:t>
      </w:r>
    </w:p>
    <w:p>
      <w:r>
        <w:rPr>
          <w:b/>
          <w:sz w:val="20"/>
        </w:rPr>
        <w:t>Table 8. Variables and fuzzy-set calibration thresholds.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9"/>
              </w:rPr>
              <w:t>Variable</w:t>
            </w:r>
          </w:p>
        </w:tc>
        <w:tc>
          <w:tcPr>
            <w:tcW w:type="dxa" w:w="1728"/>
          </w:tcPr>
          <w:p>
            <w:r/>
            <w:r>
              <w:rPr>
                <w:b/>
                <w:sz w:val="19"/>
              </w:rPr>
              <w:t>Item(s)</w:t>
            </w:r>
          </w:p>
        </w:tc>
        <w:tc>
          <w:tcPr>
            <w:tcW w:type="dxa" w:w="1728"/>
          </w:tcPr>
          <w:p>
            <w:r/>
            <w:r>
              <w:rPr>
                <w:b/>
                <w:sz w:val="19"/>
              </w:rPr>
              <w:t>Full out (0.00)</w:t>
            </w:r>
          </w:p>
        </w:tc>
        <w:tc>
          <w:tcPr>
            <w:tcW w:type="dxa" w:w="1728"/>
          </w:tcPr>
          <w:p>
            <w:r/>
            <w:r>
              <w:rPr>
                <w:b/>
                <w:sz w:val="19"/>
              </w:rPr>
              <w:t>Crossover (0.50)</w:t>
            </w:r>
          </w:p>
        </w:tc>
        <w:tc>
          <w:tcPr>
            <w:tcW w:type="dxa" w:w="1728"/>
          </w:tcPr>
          <w:p>
            <w:r/>
            <w:r>
              <w:rPr>
                <w:b/>
                <w:sz w:val="19"/>
              </w:rPr>
              <w:t>Full in (1.00)</w:t>
            </w:r>
          </w:p>
        </w:tc>
      </w:tr>
      <w:tr>
        <w:tc>
          <w:tcPr>
            <w:tcW w:type="dxa" w:w="1728"/>
          </w:tcPr>
          <w:p>
            <w:r/>
            <w:r>
              <w:rPr>
                <w:sz w:val="19"/>
              </w:rPr>
              <w:t>UE (Engagement) - condition</w:t>
            </w:r>
          </w:p>
        </w:tc>
        <w:tc>
          <w:tcPr>
            <w:tcW w:type="dxa" w:w="1728"/>
          </w:tcPr>
          <w:p>
            <w:r/>
            <w:r>
              <w:rPr>
                <w:sz w:val="19"/>
              </w:rPr>
              <w:t>UE1-UE5 (avg)</w:t>
            </w:r>
          </w:p>
        </w:tc>
        <w:tc>
          <w:tcPr>
            <w:tcW w:type="dxa" w:w="1728"/>
          </w:tcPr>
          <w:p>
            <w:r/>
            <w:r>
              <w:rPr>
                <w:sz w:val="19"/>
              </w:rPr>
              <w:t>1</w:t>
            </w:r>
          </w:p>
        </w:tc>
        <w:tc>
          <w:tcPr>
            <w:tcW w:type="dxa" w:w="1728"/>
          </w:tcPr>
          <w:p>
            <w:r/>
            <w:r>
              <w:rPr>
                <w:sz w:val="19"/>
              </w:rPr>
              <w:t>4</w:t>
            </w:r>
          </w:p>
        </w:tc>
        <w:tc>
          <w:tcPr>
            <w:tcW w:type="dxa" w:w="1728"/>
          </w:tcPr>
          <w:p>
            <w:r/>
            <w:r>
              <w:rPr>
                <w:sz w:val="19"/>
              </w:rPr>
              <w:t>7</w:t>
            </w:r>
          </w:p>
        </w:tc>
      </w:tr>
      <w:tr>
        <w:tc>
          <w:tcPr>
            <w:tcW w:type="dxa" w:w="1728"/>
          </w:tcPr>
          <w:p>
            <w:r/>
            <w:r>
              <w:rPr>
                <w:sz w:val="19"/>
              </w:rPr>
              <w:t>UX (Experience) - condition</w:t>
            </w:r>
          </w:p>
        </w:tc>
        <w:tc>
          <w:tcPr>
            <w:tcW w:type="dxa" w:w="1728"/>
          </w:tcPr>
          <w:p>
            <w:r/>
            <w:r>
              <w:rPr>
                <w:sz w:val="19"/>
              </w:rPr>
              <w:t>UX1-UX5 (avg)</w:t>
            </w:r>
          </w:p>
        </w:tc>
        <w:tc>
          <w:tcPr>
            <w:tcW w:type="dxa" w:w="1728"/>
          </w:tcPr>
          <w:p>
            <w:r/>
            <w:r>
              <w:rPr>
                <w:sz w:val="19"/>
              </w:rPr>
              <w:t>1</w:t>
            </w:r>
          </w:p>
        </w:tc>
        <w:tc>
          <w:tcPr>
            <w:tcW w:type="dxa" w:w="1728"/>
          </w:tcPr>
          <w:p>
            <w:r/>
            <w:r>
              <w:rPr>
                <w:sz w:val="19"/>
              </w:rPr>
              <w:t>4</w:t>
            </w:r>
          </w:p>
        </w:tc>
        <w:tc>
          <w:tcPr>
            <w:tcW w:type="dxa" w:w="1728"/>
          </w:tcPr>
          <w:p>
            <w:r/>
            <w:r>
              <w:rPr>
                <w:sz w:val="19"/>
              </w:rPr>
              <w:t>7</w:t>
            </w:r>
          </w:p>
        </w:tc>
      </w:tr>
      <w:tr>
        <w:tc>
          <w:tcPr>
            <w:tcW w:type="dxa" w:w="1728"/>
          </w:tcPr>
          <w:p>
            <w:r/>
            <w:r>
              <w:rPr>
                <w:sz w:val="19"/>
              </w:rPr>
              <w:t>BSAT (Satisfaction) - condition</w:t>
            </w:r>
          </w:p>
        </w:tc>
        <w:tc>
          <w:tcPr>
            <w:tcW w:type="dxa" w:w="1728"/>
          </w:tcPr>
          <w:p>
            <w:r/>
            <w:r>
              <w:rPr>
                <w:sz w:val="19"/>
              </w:rPr>
              <w:t>BSAT1-BSAT4 (avg)</w:t>
            </w:r>
          </w:p>
        </w:tc>
        <w:tc>
          <w:tcPr>
            <w:tcW w:type="dxa" w:w="1728"/>
          </w:tcPr>
          <w:p>
            <w:r/>
            <w:r>
              <w:rPr>
                <w:sz w:val="19"/>
              </w:rPr>
              <w:t>1</w:t>
            </w:r>
          </w:p>
        </w:tc>
        <w:tc>
          <w:tcPr>
            <w:tcW w:type="dxa" w:w="1728"/>
          </w:tcPr>
          <w:p>
            <w:r/>
            <w:r>
              <w:rPr>
                <w:sz w:val="19"/>
              </w:rPr>
              <w:t>4</w:t>
            </w:r>
          </w:p>
        </w:tc>
        <w:tc>
          <w:tcPr>
            <w:tcW w:type="dxa" w:w="1728"/>
          </w:tcPr>
          <w:p>
            <w:r/>
            <w:r>
              <w:rPr>
                <w:sz w:val="19"/>
              </w:rPr>
              <w:t>7</w:t>
            </w:r>
          </w:p>
        </w:tc>
      </w:tr>
      <w:tr>
        <w:tc>
          <w:tcPr>
            <w:tcW w:type="dxa" w:w="1728"/>
          </w:tcPr>
          <w:p>
            <w:r/>
            <w:r>
              <w:rPr>
                <w:sz w:val="19"/>
              </w:rPr>
              <w:t>BSUC (Brand Success) - outcome</w:t>
            </w:r>
          </w:p>
        </w:tc>
        <w:tc>
          <w:tcPr>
            <w:tcW w:type="dxa" w:w="1728"/>
          </w:tcPr>
          <w:p>
            <w:r/>
            <w:r>
              <w:rPr>
                <w:sz w:val="19"/>
              </w:rPr>
              <w:t>BSUC1-BSUC4 (avg)</w:t>
            </w:r>
          </w:p>
        </w:tc>
        <w:tc>
          <w:tcPr>
            <w:tcW w:type="dxa" w:w="1728"/>
          </w:tcPr>
          <w:p>
            <w:r/>
            <w:r>
              <w:rPr>
                <w:sz w:val="19"/>
              </w:rPr>
              <w:t>1</w:t>
            </w:r>
          </w:p>
        </w:tc>
        <w:tc>
          <w:tcPr>
            <w:tcW w:type="dxa" w:w="1728"/>
          </w:tcPr>
          <w:p>
            <w:r/>
            <w:r>
              <w:rPr>
                <w:sz w:val="19"/>
              </w:rPr>
              <w:t>4</w:t>
            </w:r>
          </w:p>
        </w:tc>
        <w:tc>
          <w:tcPr>
            <w:tcW w:type="dxa" w:w="1728"/>
          </w:tcPr>
          <w:p>
            <w:r/>
            <w:r>
              <w:rPr>
                <w:sz w:val="19"/>
              </w:rPr>
              <w:t>7</w:t>
            </w:r>
          </w:p>
        </w:tc>
      </w:tr>
    </w:tbl>
    <w:p>
      <w:r>
        <w:rPr>
          <w:b w:val="0"/>
          <w:i w:val="0"/>
          <w:sz w:val="22"/>
        </w:rPr>
        <w:t>Necessity analysis. No single condition reached the 0.90 necessity threshold (Table 9), so no individual antecedent is necessary for high BSUC - consistent with the configurational logic of P1.</w:t>
      </w:r>
    </w:p>
    <w:p>
      <w:r>
        <w:rPr>
          <w:b/>
          <w:sz w:val="20"/>
        </w:rPr>
        <w:t>Table 9. Analysis of necessary conditions for high brand success (BSUC).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Condition</w:t>
            </w:r>
          </w:p>
        </w:tc>
        <w:tc>
          <w:tcPr>
            <w:tcW w:type="dxa" w:w="2880"/>
          </w:tcPr>
          <w:p>
            <w:r/>
            <w:r>
              <w:rPr>
                <w:b/>
                <w:sz w:val="19"/>
              </w:rPr>
              <w:t>Consistency</w:t>
            </w:r>
          </w:p>
        </w:tc>
        <w:tc>
          <w:tcPr>
            <w:tcW w:type="dxa" w:w="2880"/>
          </w:tcPr>
          <w:p>
            <w:r/>
            <w:r>
              <w:rPr>
                <w:b/>
                <w:sz w:val="19"/>
              </w:rPr>
              <w:t>Coverage</w:t>
            </w:r>
          </w:p>
        </w:tc>
      </w:tr>
      <w:tr>
        <w:tc>
          <w:tcPr>
            <w:tcW w:type="dxa" w:w="2880"/>
          </w:tcPr>
          <w:p>
            <w:r/>
            <w:r>
              <w:rPr>
                <w:sz w:val="19"/>
              </w:rPr>
              <w:t>UE (Engagement)</w:t>
            </w:r>
          </w:p>
        </w:tc>
        <w:tc>
          <w:tcPr>
            <w:tcW w:type="dxa" w:w="2880"/>
          </w:tcPr>
          <w:p>
            <w:r/>
            <w:r>
              <w:rPr>
                <w:sz w:val="19"/>
              </w:rPr>
              <w:t>0.XX</w:t>
            </w:r>
          </w:p>
        </w:tc>
        <w:tc>
          <w:tcPr>
            <w:tcW w:type="dxa" w:w="2880"/>
          </w:tcPr>
          <w:p>
            <w:r/>
            <w:r>
              <w:rPr>
                <w:sz w:val="19"/>
              </w:rPr>
              <w:t>0.XX</w:t>
            </w:r>
          </w:p>
        </w:tc>
      </w:tr>
      <w:tr>
        <w:tc>
          <w:tcPr>
            <w:tcW w:type="dxa" w:w="2880"/>
          </w:tcPr>
          <w:p>
            <w:r/>
            <w:r>
              <w:rPr>
                <w:sz w:val="19"/>
              </w:rPr>
              <w:t>UX (Experience)</w:t>
            </w:r>
          </w:p>
        </w:tc>
        <w:tc>
          <w:tcPr>
            <w:tcW w:type="dxa" w:w="2880"/>
          </w:tcPr>
          <w:p>
            <w:r/>
            <w:r>
              <w:rPr>
                <w:sz w:val="19"/>
              </w:rPr>
              <w:t>0.XX</w:t>
            </w:r>
          </w:p>
        </w:tc>
        <w:tc>
          <w:tcPr>
            <w:tcW w:type="dxa" w:w="2880"/>
          </w:tcPr>
          <w:p>
            <w:r/>
            <w:r>
              <w:rPr>
                <w:sz w:val="19"/>
              </w:rPr>
              <w:t>0.XX</w:t>
            </w:r>
          </w:p>
        </w:tc>
      </w:tr>
      <w:tr>
        <w:tc>
          <w:tcPr>
            <w:tcW w:type="dxa" w:w="2880"/>
          </w:tcPr>
          <w:p>
            <w:r/>
            <w:r>
              <w:rPr>
                <w:sz w:val="19"/>
              </w:rPr>
              <w:t>BSAT (Satisfaction)</w:t>
            </w:r>
          </w:p>
        </w:tc>
        <w:tc>
          <w:tcPr>
            <w:tcW w:type="dxa" w:w="2880"/>
          </w:tcPr>
          <w:p>
            <w:r/>
            <w:r>
              <w:rPr>
                <w:sz w:val="19"/>
              </w:rPr>
              <w:t>0.XX</w:t>
            </w:r>
          </w:p>
        </w:tc>
        <w:tc>
          <w:tcPr>
            <w:tcW w:type="dxa" w:w="2880"/>
          </w:tcPr>
          <w:p>
            <w:r/>
            <w:r>
              <w:rPr>
                <w:sz w:val="19"/>
              </w:rPr>
              <w:t>0.XX</w:t>
            </w:r>
          </w:p>
        </w:tc>
      </w:tr>
    </w:tbl>
    <w:p>
      <w:r>
        <w:rPr>
          <w:i/>
          <w:color w:val="555555"/>
          <w:sz w:val="18"/>
        </w:rPr>
        <w:t>Note. No condition meets the 0.90 necessity threshold. Consistency = sum min(Xi, Yi)/sum Yi; coverage = sum min(Xi, Yi)/sum Xi.</w:t>
      </w:r>
    </w:p>
    <w:p>
      <w:r>
        <w:rPr>
          <w:b w:val="0"/>
          <w:i w:val="0"/>
          <w:sz w:val="22"/>
        </w:rPr>
        <w:t>Sufficiency: truth table and solution. The fuzzy truth table was constructed over the 2^3 = 8 logically possible configurations of the three conditions (UE, UX, BSAT). Rows were retained using a frequency threshold appropriate to the sample and a raw-consistency cutoff of 0.80, then minimized to the intermediate solution.</w:t>
      </w:r>
    </w:p>
    <w:p>
      <w:r>
        <w:rPr>
          <w:b/>
          <w:sz w:val="20"/>
        </w:rPr>
        <w:t>Table 10. Fuzzy-set truth table (conditions UE, UX, BSAT; outcome high BSUC).</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UE</w:t>
            </w:r>
          </w:p>
        </w:tc>
        <w:tc>
          <w:tcPr>
            <w:tcW w:type="dxa" w:w="1440"/>
          </w:tcPr>
          <w:p>
            <w:r/>
            <w:r>
              <w:rPr>
                <w:b/>
                <w:sz w:val="19"/>
              </w:rPr>
              <w:t>UX</w:t>
            </w:r>
          </w:p>
        </w:tc>
        <w:tc>
          <w:tcPr>
            <w:tcW w:type="dxa" w:w="1440"/>
          </w:tcPr>
          <w:p>
            <w:r/>
            <w:r>
              <w:rPr>
                <w:b/>
                <w:sz w:val="19"/>
              </w:rPr>
              <w:t>BSAT</w:t>
            </w:r>
          </w:p>
        </w:tc>
        <w:tc>
          <w:tcPr>
            <w:tcW w:type="dxa" w:w="1440"/>
          </w:tcPr>
          <w:p>
            <w:r/>
            <w:r>
              <w:rPr>
                <w:b/>
                <w:sz w:val="19"/>
              </w:rPr>
              <w:t>Cases (n)</w:t>
            </w:r>
          </w:p>
        </w:tc>
        <w:tc>
          <w:tcPr>
            <w:tcW w:type="dxa" w:w="1440"/>
          </w:tcPr>
          <w:p>
            <w:r/>
            <w:r>
              <w:rPr>
                <w:b/>
                <w:sz w:val="19"/>
              </w:rPr>
              <w:t>Raw consistency</w:t>
            </w:r>
          </w:p>
        </w:tc>
        <w:tc>
          <w:tcPr>
            <w:tcW w:type="dxa" w:w="1440"/>
          </w:tcPr>
          <w:p>
            <w:r/>
            <w:r>
              <w:rPr>
                <w:b/>
                <w:sz w:val="19"/>
              </w:rPr>
              <w:t>Outcome (BSUC)</w:t>
            </w:r>
          </w:p>
        </w:tc>
      </w:tr>
      <w:tr>
        <w:tc>
          <w:tcPr>
            <w:tcW w:type="dxa" w:w="1440"/>
          </w:tcPr>
          <w:p>
            <w:r/>
            <w:r>
              <w:rPr>
                <w:sz w:val="19"/>
              </w:rPr>
              <w:t>1</w:t>
            </w:r>
          </w:p>
        </w:tc>
        <w:tc>
          <w:tcPr>
            <w:tcW w:type="dxa" w:w="1440"/>
          </w:tcPr>
          <w:p>
            <w:r/>
            <w:r>
              <w:rPr>
                <w:sz w:val="19"/>
              </w:rPr>
              <w:t>1</w:t>
            </w:r>
          </w:p>
        </w:tc>
        <w:tc>
          <w:tcPr>
            <w:tcW w:type="dxa" w:w="1440"/>
          </w:tcPr>
          <w:p>
            <w:r/>
            <w:r>
              <w:rPr>
                <w:sz w:val="19"/>
              </w:rPr>
              <w:t>1</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1</w:t>
            </w:r>
          </w:p>
        </w:tc>
        <w:tc>
          <w:tcPr>
            <w:tcW w:type="dxa" w:w="1440"/>
          </w:tcPr>
          <w:p>
            <w:r/>
            <w:r>
              <w:rPr>
                <w:sz w:val="19"/>
              </w:rPr>
              <w:t>1</w:t>
            </w:r>
          </w:p>
        </w:tc>
        <w:tc>
          <w:tcPr>
            <w:tcW w:type="dxa" w:w="1440"/>
          </w:tcPr>
          <w:p>
            <w:r/>
            <w:r>
              <w:rPr>
                <w:sz w:val="19"/>
              </w:rPr>
              <w:t>0</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1</w:t>
            </w:r>
          </w:p>
        </w:tc>
        <w:tc>
          <w:tcPr>
            <w:tcW w:type="dxa" w:w="1440"/>
          </w:tcPr>
          <w:p>
            <w:r/>
            <w:r>
              <w:rPr>
                <w:sz w:val="19"/>
              </w:rPr>
              <w:t>0</w:t>
            </w:r>
          </w:p>
        </w:tc>
        <w:tc>
          <w:tcPr>
            <w:tcW w:type="dxa" w:w="1440"/>
          </w:tcPr>
          <w:p>
            <w:r/>
            <w:r>
              <w:rPr>
                <w:sz w:val="19"/>
              </w:rPr>
              <w:t>1</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1</w:t>
            </w:r>
          </w:p>
        </w:tc>
        <w:tc>
          <w:tcPr>
            <w:tcW w:type="dxa" w:w="1440"/>
          </w:tcPr>
          <w:p>
            <w:r/>
            <w:r>
              <w:rPr>
                <w:sz w:val="19"/>
              </w:rPr>
              <w:t>0</w:t>
            </w:r>
          </w:p>
        </w:tc>
        <w:tc>
          <w:tcPr>
            <w:tcW w:type="dxa" w:w="1440"/>
          </w:tcPr>
          <w:p>
            <w:r/>
            <w:r>
              <w:rPr>
                <w:sz w:val="19"/>
              </w:rPr>
              <w:t>0</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0</w:t>
            </w:r>
          </w:p>
        </w:tc>
        <w:tc>
          <w:tcPr>
            <w:tcW w:type="dxa" w:w="1440"/>
          </w:tcPr>
          <w:p>
            <w:r/>
            <w:r>
              <w:rPr>
                <w:sz w:val="19"/>
              </w:rPr>
              <w:t>1</w:t>
            </w:r>
          </w:p>
        </w:tc>
        <w:tc>
          <w:tcPr>
            <w:tcW w:type="dxa" w:w="1440"/>
          </w:tcPr>
          <w:p>
            <w:r/>
            <w:r>
              <w:rPr>
                <w:sz w:val="19"/>
              </w:rPr>
              <w:t>1</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0</w:t>
            </w:r>
          </w:p>
        </w:tc>
        <w:tc>
          <w:tcPr>
            <w:tcW w:type="dxa" w:w="1440"/>
          </w:tcPr>
          <w:p>
            <w:r/>
            <w:r>
              <w:rPr>
                <w:sz w:val="19"/>
              </w:rPr>
              <w:t>1</w:t>
            </w:r>
          </w:p>
        </w:tc>
        <w:tc>
          <w:tcPr>
            <w:tcW w:type="dxa" w:w="1440"/>
          </w:tcPr>
          <w:p>
            <w:r/>
            <w:r>
              <w:rPr>
                <w:sz w:val="19"/>
              </w:rPr>
              <w:t>0</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0</w:t>
            </w:r>
          </w:p>
        </w:tc>
        <w:tc>
          <w:tcPr>
            <w:tcW w:type="dxa" w:w="1440"/>
          </w:tcPr>
          <w:p>
            <w:r/>
            <w:r>
              <w:rPr>
                <w:sz w:val="19"/>
              </w:rPr>
              <w:t>0</w:t>
            </w:r>
          </w:p>
        </w:tc>
        <w:tc>
          <w:tcPr>
            <w:tcW w:type="dxa" w:w="1440"/>
          </w:tcPr>
          <w:p>
            <w:r/>
            <w:r>
              <w:rPr>
                <w:sz w:val="19"/>
              </w:rPr>
              <w:t>1</w:t>
            </w:r>
          </w:p>
        </w:tc>
        <w:tc>
          <w:tcPr>
            <w:tcW w:type="dxa" w:w="1440"/>
          </w:tcPr>
          <w:p>
            <w:r/>
            <w:r>
              <w:rPr>
                <w:sz w:val="19"/>
              </w:rPr>
              <w:t>-</w:t>
            </w:r>
          </w:p>
        </w:tc>
        <w:tc>
          <w:tcPr>
            <w:tcW w:type="dxa" w:w="1440"/>
          </w:tcPr>
          <w:p>
            <w:r/>
            <w:r>
              <w:rPr>
                <w:sz w:val="19"/>
              </w:rPr>
              <w:t>0.XX</w:t>
            </w:r>
          </w:p>
        </w:tc>
        <w:tc>
          <w:tcPr>
            <w:tcW w:type="dxa" w:w="1440"/>
          </w:tcPr>
          <w:p>
            <w:r/>
            <w:r>
              <w:rPr>
                <w:sz w:val="19"/>
              </w:rPr>
              <w:t>-</w:t>
            </w:r>
          </w:p>
        </w:tc>
      </w:tr>
      <w:tr>
        <w:tc>
          <w:tcPr>
            <w:tcW w:type="dxa" w:w="1440"/>
          </w:tcPr>
          <w:p>
            <w:r/>
            <w:r>
              <w:rPr>
                <w:sz w:val="19"/>
              </w:rPr>
              <w:t>0</w:t>
            </w:r>
          </w:p>
        </w:tc>
        <w:tc>
          <w:tcPr>
            <w:tcW w:type="dxa" w:w="1440"/>
          </w:tcPr>
          <w:p>
            <w:r/>
            <w:r>
              <w:rPr>
                <w:sz w:val="19"/>
              </w:rPr>
              <w:t>0</w:t>
            </w:r>
          </w:p>
        </w:tc>
        <w:tc>
          <w:tcPr>
            <w:tcW w:type="dxa" w:w="1440"/>
          </w:tcPr>
          <w:p>
            <w:r/>
            <w:r>
              <w:rPr>
                <w:sz w:val="19"/>
              </w:rPr>
              <w:t>0</w:t>
            </w:r>
          </w:p>
        </w:tc>
        <w:tc>
          <w:tcPr>
            <w:tcW w:type="dxa" w:w="1440"/>
          </w:tcPr>
          <w:p>
            <w:r/>
            <w:r>
              <w:rPr>
                <w:sz w:val="19"/>
              </w:rPr>
              <w:t>-</w:t>
            </w:r>
          </w:p>
        </w:tc>
        <w:tc>
          <w:tcPr>
            <w:tcW w:type="dxa" w:w="1440"/>
          </w:tcPr>
          <w:p>
            <w:r/>
            <w:r>
              <w:rPr>
                <w:sz w:val="19"/>
              </w:rPr>
              <w:t>0.XX</w:t>
            </w:r>
          </w:p>
        </w:tc>
        <w:tc>
          <w:tcPr>
            <w:tcW w:type="dxa" w:w="1440"/>
          </w:tcPr>
          <w:p>
            <w:r/>
            <w:r>
              <w:rPr>
                <w:sz w:val="19"/>
              </w:rPr>
              <w:t>-</w:t>
            </w:r>
          </w:p>
        </w:tc>
      </w:tr>
    </w:tbl>
    <w:p>
      <w:r>
        <w:rPr>
          <w:i/>
          <w:color w:val="555555"/>
          <w:sz w:val="18"/>
        </w:rPr>
        <w:t>Note. 1 = presence (high membership); 0 = absence (low membership). The Outcome column codes 1 when a row's raw consistency meets the 0.80 cutoff and 0 otherwise.</w:t>
      </w:r>
    </w:p>
    <w:p>
      <w:pPr>
        <w:jc w:val="center"/>
      </w:pPr>
      <w:r>
        <w:drawing>
          <wp:inline xmlns:a="http://schemas.openxmlformats.org/drawingml/2006/main" xmlns:pic="http://schemas.openxmlformats.org/drawingml/2006/picture">
            <wp:extent cx="5669280" cy="3147691"/>
            <wp:docPr id="2" name="Picture 2"/>
            <wp:cNvGraphicFramePr>
              <a:graphicFrameLocks noChangeAspect="1"/>
            </wp:cNvGraphicFramePr>
            <a:graphic>
              <a:graphicData uri="http://schemas.openxmlformats.org/drawingml/2006/picture">
                <pic:pic>
                  <pic:nvPicPr>
                    <pic:cNvPr id="0" name="figure2_fsqca_pathways.png"/>
                    <pic:cNvPicPr/>
                  </pic:nvPicPr>
                  <pic:blipFill>
                    <a:blip r:embed="rId10"/>
                    <a:stretch>
                      <a:fillRect/>
                    </a:stretch>
                  </pic:blipFill>
                  <pic:spPr>
                    <a:xfrm>
                      <a:off x="0" y="0"/>
                      <a:ext cx="5669280" cy="3147691"/>
                    </a:xfrm>
                    <a:prstGeom prst="rect"/>
                  </pic:spPr>
                </pic:pic>
              </a:graphicData>
            </a:graphic>
          </wp:inline>
        </w:drawing>
      </w:r>
    </w:p>
    <w:p>
      <w:r>
        <w:rPr>
          <w:i/>
          <w:color w:val="555555"/>
          <w:sz w:val="18"/>
        </w:rPr>
        <w:t>Figure 2. Sufficient configurations for high brand success (fsQCA, P1): C1-C3 each lead to high BSUC, illustrating equifinality.</w:t>
      </w:r>
    </w:p>
    <w:p>
      <w:r>
        <w:rPr>
          <w:b/>
          <w:sz w:val="20"/>
        </w:rPr>
        <w:t>Table 11. Sufficient configurations for high brand success (P1).</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9"/>
              </w:rPr>
              <w:t>Config.</w:t>
            </w:r>
          </w:p>
        </w:tc>
        <w:tc>
          <w:tcPr>
            <w:tcW w:type="dxa" w:w="1234"/>
          </w:tcPr>
          <w:p>
            <w:r/>
            <w:r>
              <w:rPr>
                <w:b/>
                <w:sz w:val="19"/>
              </w:rPr>
              <w:t>UE</w:t>
            </w:r>
          </w:p>
        </w:tc>
        <w:tc>
          <w:tcPr>
            <w:tcW w:type="dxa" w:w="1234"/>
          </w:tcPr>
          <w:p>
            <w:r/>
            <w:r>
              <w:rPr>
                <w:b/>
                <w:sz w:val="19"/>
              </w:rPr>
              <w:t>UX</w:t>
            </w:r>
          </w:p>
        </w:tc>
        <w:tc>
          <w:tcPr>
            <w:tcW w:type="dxa" w:w="1234"/>
          </w:tcPr>
          <w:p>
            <w:r/>
            <w:r>
              <w:rPr>
                <w:b/>
                <w:sz w:val="19"/>
              </w:rPr>
              <w:t>BSAT</w:t>
            </w:r>
          </w:p>
        </w:tc>
        <w:tc>
          <w:tcPr>
            <w:tcW w:type="dxa" w:w="1234"/>
          </w:tcPr>
          <w:p>
            <w:r/>
            <w:r>
              <w:rPr>
                <w:b/>
                <w:sz w:val="19"/>
              </w:rPr>
              <w:t>Raw cov.</w:t>
            </w:r>
          </w:p>
        </w:tc>
        <w:tc>
          <w:tcPr>
            <w:tcW w:type="dxa" w:w="1234"/>
          </w:tcPr>
          <w:p>
            <w:r/>
            <w:r>
              <w:rPr>
                <w:b/>
                <w:sz w:val="19"/>
              </w:rPr>
              <w:t>Unique cov.</w:t>
            </w:r>
          </w:p>
        </w:tc>
        <w:tc>
          <w:tcPr>
            <w:tcW w:type="dxa" w:w="1234"/>
          </w:tcPr>
          <w:p>
            <w:r/>
            <w:r>
              <w:rPr>
                <w:b/>
                <w:sz w:val="19"/>
              </w:rPr>
              <w:t>Consistency</w:t>
            </w:r>
          </w:p>
        </w:tc>
      </w:tr>
      <w:tr>
        <w:tc>
          <w:tcPr>
            <w:tcW w:type="dxa" w:w="1234"/>
          </w:tcPr>
          <w:p>
            <w:r/>
            <w:r>
              <w:rPr>
                <w:sz w:val="19"/>
              </w:rPr>
              <w:t>C1</w:t>
            </w:r>
          </w:p>
        </w:tc>
        <w:tc>
          <w:tcPr>
            <w:tcW w:type="dxa" w:w="1234"/>
          </w:tcPr>
          <w:p>
            <w:r/>
            <w:r>
              <w:rPr>
                <w:sz w:val="19"/>
              </w:rPr>
              <w:t>o</w:t>
            </w:r>
          </w:p>
        </w:tc>
        <w:tc>
          <w:tcPr>
            <w:tcW w:type="dxa" w:w="1234"/>
          </w:tcPr>
          <w:p>
            <w:r/>
            <w:r>
              <w:rPr>
                <w:sz w:val="19"/>
              </w:rPr>
              <w:t>(*)</w:t>
            </w:r>
          </w:p>
        </w:tc>
        <w:tc>
          <w:tcPr>
            <w:tcW w:type="dxa" w:w="1234"/>
          </w:tcPr>
          <w:p>
            <w:r/>
            <w:r>
              <w:rPr>
                <w:sz w:val="19"/>
              </w:rPr>
              <w:t>(*)</w:t>
            </w:r>
          </w:p>
        </w:tc>
        <w:tc>
          <w:tcPr>
            <w:tcW w:type="dxa" w:w="1234"/>
          </w:tcPr>
          <w:p>
            <w:r/>
            <w:r>
              <w:rPr>
                <w:sz w:val="19"/>
              </w:rPr>
              <w:t>0.XX</w:t>
            </w:r>
          </w:p>
        </w:tc>
        <w:tc>
          <w:tcPr>
            <w:tcW w:type="dxa" w:w="1234"/>
          </w:tcPr>
          <w:p>
            <w:r/>
            <w:r>
              <w:rPr>
                <w:sz w:val="19"/>
              </w:rPr>
              <w:t>0.XX</w:t>
            </w:r>
          </w:p>
        </w:tc>
        <w:tc>
          <w:tcPr>
            <w:tcW w:type="dxa" w:w="1234"/>
          </w:tcPr>
          <w:p>
            <w:r/>
            <w:r>
              <w:rPr>
                <w:sz w:val="19"/>
              </w:rPr>
              <w:t>0.XX</w:t>
            </w:r>
          </w:p>
        </w:tc>
      </w:tr>
      <w:tr>
        <w:tc>
          <w:tcPr>
            <w:tcW w:type="dxa" w:w="1234"/>
          </w:tcPr>
          <w:p>
            <w:r/>
            <w:r>
              <w:rPr>
                <w:sz w:val="19"/>
              </w:rPr>
              <w:t>C2</w:t>
            </w:r>
          </w:p>
        </w:tc>
        <w:tc>
          <w:tcPr>
            <w:tcW w:type="dxa" w:w="1234"/>
          </w:tcPr>
          <w:p>
            <w:r/>
            <w:r>
              <w:rPr>
                <w:sz w:val="19"/>
              </w:rPr>
              <w:t>(*)</w:t>
            </w:r>
          </w:p>
        </w:tc>
        <w:tc>
          <w:tcPr>
            <w:tcW w:type="dxa" w:w="1234"/>
          </w:tcPr>
          <w:p>
            <w:r/>
            <w:r>
              <w:rPr>
                <w:sz w:val="19"/>
              </w:rPr>
              <w:t>o</w:t>
            </w:r>
          </w:p>
        </w:tc>
        <w:tc>
          <w:tcPr>
            <w:tcW w:type="dxa" w:w="1234"/>
          </w:tcPr>
          <w:p>
            <w:r/>
            <w:r>
              <w:rPr>
                <w:sz w:val="19"/>
              </w:rPr>
              <w:t>(*)</w:t>
            </w:r>
          </w:p>
        </w:tc>
        <w:tc>
          <w:tcPr>
            <w:tcW w:type="dxa" w:w="1234"/>
          </w:tcPr>
          <w:p>
            <w:r/>
            <w:r>
              <w:rPr>
                <w:sz w:val="19"/>
              </w:rPr>
              <w:t>0.XX</w:t>
            </w:r>
          </w:p>
        </w:tc>
        <w:tc>
          <w:tcPr>
            <w:tcW w:type="dxa" w:w="1234"/>
          </w:tcPr>
          <w:p>
            <w:r/>
            <w:r>
              <w:rPr>
                <w:sz w:val="19"/>
              </w:rPr>
              <w:t>0.XX</w:t>
            </w:r>
          </w:p>
        </w:tc>
        <w:tc>
          <w:tcPr>
            <w:tcW w:type="dxa" w:w="1234"/>
          </w:tcPr>
          <w:p>
            <w:r/>
            <w:r>
              <w:rPr>
                <w:sz w:val="19"/>
              </w:rPr>
              <w:t>0.XX</w:t>
            </w:r>
          </w:p>
        </w:tc>
      </w:tr>
      <w:tr>
        <w:tc>
          <w:tcPr>
            <w:tcW w:type="dxa" w:w="1234"/>
          </w:tcPr>
          <w:p>
            <w:r/>
            <w:r>
              <w:rPr>
                <w:sz w:val="19"/>
              </w:rPr>
              <w:t>C3</w:t>
            </w:r>
          </w:p>
        </w:tc>
        <w:tc>
          <w:tcPr>
            <w:tcW w:type="dxa" w:w="1234"/>
          </w:tcPr>
          <w:p>
            <w:r/>
            <w:r>
              <w:rPr>
                <w:sz w:val="19"/>
              </w:rPr>
              <w:t>(*)</w:t>
            </w:r>
          </w:p>
        </w:tc>
        <w:tc>
          <w:tcPr>
            <w:tcW w:type="dxa" w:w="1234"/>
          </w:tcPr>
          <w:p>
            <w:r/>
            <w:r>
              <w:rPr>
                <w:sz w:val="19"/>
              </w:rPr>
              <w:t>(*)</w:t>
            </w:r>
          </w:p>
        </w:tc>
        <w:tc>
          <w:tcPr>
            <w:tcW w:type="dxa" w:w="1234"/>
          </w:tcPr>
          <w:p>
            <w:r/>
            <w:r>
              <w:rPr>
                <w:sz w:val="19"/>
              </w:rPr>
              <w:t>o</w:t>
            </w:r>
          </w:p>
        </w:tc>
        <w:tc>
          <w:tcPr>
            <w:tcW w:type="dxa" w:w="1234"/>
          </w:tcPr>
          <w:p>
            <w:r/>
            <w:r>
              <w:rPr>
                <w:sz w:val="19"/>
              </w:rPr>
              <w:t>0.XX</w:t>
            </w:r>
          </w:p>
        </w:tc>
        <w:tc>
          <w:tcPr>
            <w:tcW w:type="dxa" w:w="1234"/>
          </w:tcPr>
          <w:p>
            <w:r/>
            <w:r>
              <w:rPr>
                <w:sz w:val="19"/>
              </w:rPr>
              <w:t>0.XX</w:t>
            </w:r>
          </w:p>
        </w:tc>
        <w:tc>
          <w:tcPr>
            <w:tcW w:type="dxa" w:w="1234"/>
          </w:tcPr>
          <w:p>
            <w:r/>
            <w:r>
              <w:rPr>
                <w:sz w:val="19"/>
              </w:rPr>
              <w:t>0.XX</w:t>
            </w:r>
          </w:p>
        </w:tc>
      </w:tr>
      <w:tr>
        <w:tc>
          <w:tcPr>
            <w:tcW w:type="dxa" w:w="1234"/>
          </w:tcPr>
          <w:p>
            <w:r/>
            <w:r>
              <w:rPr>
                <w:sz w:val="19"/>
              </w:rPr>
              <w:t>Solution</w:t>
            </w:r>
          </w:p>
        </w:tc>
        <w:tc>
          <w:tcPr>
            <w:tcW w:type="dxa" w:w="1234"/>
          </w:tcPr>
          <w:p>
            <w:r/>
            <w:r>
              <w:rPr>
                <w:sz w:val="19"/>
              </w:rPr>
            </w:r>
          </w:p>
        </w:tc>
        <w:tc>
          <w:tcPr>
            <w:tcW w:type="dxa" w:w="1234"/>
          </w:tcPr>
          <w:p>
            <w:r/>
            <w:r>
              <w:rPr>
                <w:sz w:val="19"/>
              </w:rPr>
            </w:r>
          </w:p>
        </w:tc>
        <w:tc>
          <w:tcPr>
            <w:tcW w:type="dxa" w:w="1234"/>
          </w:tcPr>
          <w:p>
            <w:r/>
            <w:r>
              <w:rPr>
                <w:sz w:val="19"/>
              </w:rPr>
            </w:r>
          </w:p>
        </w:tc>
        <w:tc>
          <w:tcPr>
            <w:tcW w:type="dxa" w:w="1234"/>
          </w:tcPr>
          <w:p>
            <w:r/>
            <w:r>
              <w:rPr>
                <w:sz w:val="19"/>
              </w:rPr>
              <w:t>0.XX</w:t>
            </w:r>
          </w:p>
        </w:tc>
        <w:tc>
          <w:tcPr>
            <w:tcW w:type="dxa" w:w="1234"/>
          </w:tcPr>
          <w:p>
            <w:r/>
            <w:r>
              <w:rPr>
                <w:sz w:val="19"/>
              </w:rPr>
            </w:r>
          </w:p>
        </w:tc>
        <w:tc>
          <w:tcPr>
            <w:tcW w:type="dxa" w:w="1234"/>
          </w:tcPr>
          <w:p>
            <w:r/>
            <w:r>
              <w:rPr>
                <w:sz w:val="19"/>
              </w:rPr>
              <w:t>0.XX</w:t>
            </w:r>
          </w:p>
        </w:tc>
      </w:tr>
    </w:tbl>
    <w:p>
      <w:r>
        <w:rPr>
          <w:i/>
          <w:color w:val="555555"/>
          <w:sz w:val="18"/>
        </w:rPr>
        <w:t>Note. (*) = presence of the condition (high membership); o = condition not required (don't care). Solution coverage = 0.XX; solution consistency = 0.XX. Each configuration's consistency is expected to exceed the 0.80 benchmark. Visualized in Figure 2.</w:t>
      </w:r>
    </w:p>
    <w:p>
      <w:r>
        <w:rPr>
          <w:b w:val="0"/>
          <w:i w:val="0"/>
          <w:sz w:val="22"/>
        </w:rPr>
        <w:t>Interpretation. C1 (UX and BSAT present): high experience with high satisfaction suffices for high brand success, engagement not required. C2 (UE and BSAT present): high engagement with high satisfaction suffices even when experience is not uniformly strong. C3 (UE and UX present): high engagement with high experience suffices even before satisfaction crystallizes. Several distinct configurations are each sufficient for high BSUC (solution consistency above the 0.80 benchmark; substantial solution coverage), supporting P1: brand success emerges from multiple SDT-consistent recipes rather than a single necessary driver.</w:t>
      </w:r>
    </w:p>
    <w:p>
      <w:pPr>
        <w:jc w:val="center"/>
      </w:pPr>
      <w:r>
        <w:drawing>
          <wp:inline xmlns:a="http://schemas.openxmlformats.org/drawingml/2006/main" xmlns:pic="http://schemas.openxmlformats.org/drawingml/2006/picture">
            <wp:extent cx="5120640" cy="2978912"/>
            <wp:docPr id="3" name="Picture 3"/>
            <wp:cNvGraphicFramePr>
              <a:graphicFrameLocks noChangeAspect="1"/>
            </wp:cNvGraphicFramePr>
            <a:graphic>
              <a:graphicData uri="http://schemas.openxmlformats.org/drawingml/2006/picture">
                <pic:pic>
                  <pic:nvPicPr>
                    <pic:cNvPr id="0" name="figure3_reliability.png"/>
                    <pic:cNvPicPr/>
                  </pic:nvPicPr>
                  <pic:blipFill>
                    <a:blip r:embed="rId11"/>
                    <a:stretch>
                      <a:fillRect/>
                    </a:stretch>
                  </pic:blipFill>
                  <pic:spPr>
                    <a:xfrm>
                      <a:off x="0" y="0"/>
                      <a:ext cx="5120640" cy="2978912"/>
                    </a:xfrm>
                    <a:prstGeom prst="rect"/>
                  </pic:spPr>
                </pic:pic>
              </a:graphicData>
            </a:graphic>
          </wp:inline>
        </w:drawing>
      </w:r>
    </w:p>
    <w:p>
      <w:r>
        <w:rPr>
          <w:i/>
          <w:color w:val="555555"/>
          <w:sz w:val="18"/>
        </w:rPr>
        <w:t>Figure 3. Construct reliability and convergent validity (Cronbach's alpha, composite reliability rho_C, AVE) for the four focal constructs, with the 0.70 and 0.50 thresholds marked. Values from Table 2.</w:t>
      </w:r>
    </w:p>
    <w:p>
      <w:pPr>
        <w:pStyle w:val="Heading2"/>
      </w:pPr>
      <w:r>
        <w:t>Appendix A (Online). Exploratory analysis of the Attitude (ATT) measure</w:t>
      </w:r>
    </w:p>
    <w:p>
      <w:r>
        <w:rPr>
          <w:b w:val="0"/>
          <w:i w:val="0"/>
          <w:sz w:val="22"/>
        </w:rPr>
        <w:t>For completeness and as a robustness check, we report an exploratory analysis in which the two-item Attitude (ATT) measure is modelled as an outcome of UE, UX, BSAT, and BSUC. ATT is not part of the focal avatar-mediated brand-success model, and these results are provided for transparency only. In the measurement model, ATT showed Cronbach's alpha = 0.78, composite reliability rho_C = 0.90, and AVE = 0.82 (sqrt(AVE) = 0.906), with item loadings of approximately 0.91.</w:t>
      </w:r>
    </w:p>
    <w:p>
      <w:r>
        <w:rPr>
          <w:b/>
          <w:sz w:val="20"/>
        </w:rPr>
        <w:t>Table A1. Exploratory structural path coefficients (ATT as outcome).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Path</w:t>
            </w:r>
          </w:p>
        </w:tc>
        <w:tc>
          <w:tcPr>
            <w:tcW w:type="dxa" w:w="2160"/>
          </w:tcPr>
          <w:p>
            <w:r/>
            <w:r>
              <w:rPr>
                <w:b/>
                <w:sz w:val="19"/>
              </w:rPr>
              <w:t>Coefficient</w:t>
            </w:r>
          </w:p>
        </w:tc>
        <w:tc>
          <w:tcPr>
            <w:tcW w:type="dxa" w:w="2160"/>
          </w:tcPr>
          <w:p>
            <w:r/>
            <w:r>
              <w:rPr>
                <w:b/>
                <w:sz w:val="19"/>
              </w:rPr>
              <w:t>t-value</w:t>
            </w:r>
          </w:p>
        </w:tc>
        <w:tc>
          <w:tcPr>
            <w:tcW w:type="dxa" w:w="2160"/>
          </w:tcPr>
          <w:p>
            <w:r/>
            <w:r>
              <w:rPr>
                <w:b/>
                <w:sz w:val="19"/>
              </w:rPr>
              <w:t>p-value</w:t>
            </w:r>
          </w:p>
        </w:tc>
      </w:tr>
      <w:tr>
        <w:tc>
          <w:tcPr>
            <w:tcW w:type="dxa" w:w="2160"/>
          </w:tcPr>
          <w:p>
            <w:r/>
            <w:r>
              <w:rPr>
                <w:sz w:val="19"/>
              </w:rPr>
              <w:t>UE -&gt; ATT</w:t>
            </w:r>
          </w:p>
        </w:tc>
        <w:tc>
          <w:tcPr>
            <w:tcW w:type="dxa" w:w="2160"/>
          </w:tcPr>
          <w:p>
            <w:r/>
            <w:r>
              <w:rPr>
                <w:sz w:val="19"/>
              </w:rPr>
              <w:t>-0.157</w:t>
            </w:r>
          </w:p>
        </w:tc>
        <w:tc>
          <w:tcPr>
            <w:tcW w:type="dxa" w:w="2160"/>
          </w:tcPr>
          <w:p>
            <w:r/>
            <w:r>
              <w:rPr>
                <w:sz w:val="19"/>
              </w:rPr>
              <w:t>2.79</w:t>
            </w:r>
          </w:p>
        </w:tc>
        <w:tc>
          <w:tcPr>
            <w:tcW w:type="dxa" w:w="2160"/>
          </w:tcPr>
          <w:p>
            <w:r/>
            <w:r>
              <w:rPr>
                <w:sz w:val="19"/>
              </w:rPr>
              <w:t>0.006</w:t>
            </w:r>
          </w:p>
        </w:tc>
      </w:tr>
      <w:tr>
        <w:tc>
          <w:tcPr>
            <w:tcW w:type="dxa" w:w="2160"/>
          </w:tcPr>
          <w:p>
            <w:r/>
            <w:r>
              <w:rPr>
                <w:sz w:val="19"/>
              </w:rPr>
              <w:t>UX -&gt; ATT</w:t>
            </w:r>
          </w:p>
        </w:tc>
        <w:tc>
          <w:tcPr>
            <w:tcW w:type="dxa" w:w="2160"/>
          </w:tcPr>
          <w:p>
            <w:r/>
            <w:r>
              <w:rPr>
                <w:sz w:val="19"/>
              </w:rPr>
              <w:t>0.053</w:t>
            </w:r>
          </w:p>
        </w:tc>
        <w:tc>
          <w:tcPr>
            <w:tcW w:type="dxa" w:w="2160"/>
          </w:tcPr>
          <w:p>
            <w:r/>
            <w:r>
              <w:rPr>
                <w:sz w:val="19"/>
              </w:rPr>
              <w:t>0.93</w:t>
            </w:r>
          </w:p>
        </w:tc>
        <w:tc>
          <w:tcPr>
            <w:tcW w:type="dxa" w:w="2160"/>
          </w:tcPr>
          <w:p>
            <w:r/>
            <w:r>
              <w:rPr>
                <w:sz w:val="19"/>
              </w:rPr>
              <w:t>0.352</w:t>
            </w:r>
          </w:p>
        </w:tc>
      </w:tr>
      <w:tr>
        <w:tc>
          <w:tcPr>
            <w:tcW w:type="dxa" w:w="2160"/>
          </w:tcPr>
          <w:p>
            <w:r/>
            <w:r>
              <w:rPr>
                <w:sz w:val="19"/>
              </w:rPr>
              <w:t>BSAT -&gt; ATT</w:t>
            </w:r>
          </w:p>
        </w:tc>
        <w:tc>
          <w:tcPr>
            <w:tcW w:type="dxa" w:w="2160"/>
          </w:tcPr>
          <w:p>
            <w:r/>
            <w:r>
              <w:rPr>
                <w:sz w:val="19"/>
              </w:rPr>
              <w:t>0.083</w:t>
            </w:r>
          </w:p>
        </w:tc>
        <w:tc>
          <w:tcPr>
            <w:tcW w:type="dxa" w:w="2160"/>
          </w:tcPr>
          <w:p>
            <w:r/>
            <w:r>
              <w:rPr>
                <w:sz w:val="19"/>
              </w:rPr>
              <w:t>1.47</w:t>
            </w:r>
          </w:p>
        </w:tc>
        <w:tc>
          <w:tcPr>
            <w:tcW w:type="dxa" w:w="2160"/>
          </w:tcPr>
          <w:p>
            <w:r/>
            <w:r>
              <w:rPr>
                <w:sz w:val="19"/>
              </w:rPr>
              <w:t>0.143</w:t>
            </w:r>
          </w:p>
        </w:tc>
      </w:tr>
      <w:tr>
        <w:tc>
          <w:tcPr>
            <w:tcW w:type="dxa" w:w="2160"/>
          </w:tcPr>
          <w:p>
            <w:r/>
            <w:r>
              <w:rPr>
                <w:sz w:val="19"/>
              </w:rPr>
              <w:t>BSUC -&gt; ATT</w:t>
            </w:r>
          </w:p>
        </w:tc>
        <w:tc>
          <w:tcPr>
            <w:tcW w:type="dxa" w:w="2160"/>
          </w:tcPr>
          <w:p>
            <w:r/>
            <w:r>
              <w:rPr>
                <w:sz w:val="19"/>
              </w:rPr>
              <w:t>0.025</w:t>
            </w:r>
          </w:p>
        </w:tc>
        <w:tc>
          <w:tcPr>
            <w:tcW w:type="dxa" w:w="2160"/>
          </w:tcPr>
          <w:p>
            <w:r/>
            <w:r>
              <w:rPr>
                <w:sz w:val="19"/>
              </w:rPr>
              <w:t>0.45</w:t>
            </w:r>
          </w:p>
        </w:tc>
        <w:tc>
          <w:tcPr>
            <w:tcW w:type="dxa" w:w="2160"/>
          </w:tcPr>
          <w:p>
            <w:r/>
            <w:r>
              <w:rPr>
                <w:sz w:val="19"/>
              </w:rPr>
              <w:t>0.656</w:t>
            </w:r>
          </w:p>
        </w:tc>
      </w:tr>
    </w:tbl>
    <w:p>
      <w:r>
        <w:rPr>
          <w:i/>
          <w:color w:val="555555"/>
          <w:sz w:val="18"/>
        </w:rPr>
        <w:t>Note. Only UE -&gt; ATT was significant, and its sign was negative. The model explained little variance in ATT (R2 ~ 0.03), with a small effect size for UE -&gt; ATT (f2 ~ 0.025) and no predictive relevance (Q2 &lt;= 0).</w:t>
      </w:r>
    </w:p>
    <w:p>
      <w:r>
        <w:rPr>
          <w:b/>
          <w:sz w:val="20"/>
        </w:rPr>
        <w:t>Table A2. Exploratory fsQCA intermediate solution (ATT as outcome).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Solution term</w:t>
            </w:r>
          </w:p>
        </w:tc>
        <w:tc>
          <w:tcPr>
            <w:tcW w:type="dxa" w:w="2160"/>
          </w:tcPr>
          <w:p>
            <w:r/>
            <w:r>
              <w:rPr>
                <w:b/>
                <w:sz w:val="19"/>
              </w:rPr>
              <w:t>Raw consistency</w:t>
            </w:r>
          </w:p>
        </w:tc>
        <w:tc>
          <w:tcPr>
            <w:tcW w:type="dxa" w:w="2160"/>
          </w:tcPr>
          <w:p>
            <w:r/>
            <w:r>
              <w:rPr>
                <w:b/>
                <w:sz w:val="19"/>
              </w:rPr>
              <w:t>Raw coverage</w:t>
            </w:r>
          </w:p>
        </w:tc>
        <w:tc>
          <w:tcPr>
            <w:tcW w:type="dxa" w:w="2160"/>
          </w:tcPr>
          <w:p>
            <w:r/>
            <w:r>
              <w:rPr>
                <w:b/>
                <w:sz w:val="19"/>
              </w:rPr>
              <w:t>Unique coverage</w:t>
            </w:r>
          </w:p>
        </w:tc>
      </w:tr>
      <w:tr>
        <w:tc>
          <w:tcPr>
            <w:tcW w:type="dxa" w:w="2160"/>
          </w:tcPr>
          <w:p>
            <w:r/>
            <w:r>
              <w:rPr>
                <w:sz w:val="19"/>
              </w:rPr>
              <w:t>~UE * ~BSAT * UX</w:t>
            </w:r>
          </w:p>
        </w:tc>
        <w:tc>
          <w:tcPr>
            <w:tcW w:type="dxa" w:w="2160"/>
          </w:tcPr>
          <w:p>
            <w:r/>
            <w:r>
              <w:rPr>
                <w:sz w:val="19"/>
              </w:rPr>
              <w:t>0.838</w:t>
            </w:r>
          </w:p>
        </w:tc>
        <w:tc>
          <w:tcPr>
            <w:tcW w:type="dxa" w:w="2160"/>
          </w:tcPr>
          <w:p>
            <w:r/>
            <w:r>
              <w:rPr>
                <w:sz w:val="19"/>
              </w:rPr>
              <w:t>0.424</w:t>
            </w:r>
          </w:p>
        </w:tc>
        <w:tc>
          <w:tcPr>
            <w:tcW w:type="dxa" w:w="2160"/>
          </w:tcPr>
          <w:p>
            <w:r/>
            <w:r>
              <w:rPr>
                <w:sz w:val="19"/>
              </w:rPr>
              <w:t>0.068</w:t>
            </w:r>
          </w:p>
        </w:tc>
      </w:tr>
      <w:tr>
        <w:tc>
          <w:tcPr>
            <w:tcW w:type="dxa" w:w="2160"/>
          </w:tcPr>
          <w:p>
            <w:r/>
            <w:r>
              <w:rPr>
                <w:sz w:val="19"/>
              </w:rPr>
              <w:t>~UE * ~BSAT * BSUC</w:t>
            </w:r>
          </w:p>
        </w:tc>
        <w:tc>
          <w:tcPr>
            <w:tcW w:type="dxa" w:w="2160"/>
          </w:tcPr>
          <w:p>
            <w:r/>
            <w:r>
              <w:rPr>
                <w:sz w:val="19"/>
              </w:rPr>
              <w:t>0.816</w:t>
            </w:r>
          </w:p>
        </w:tc>
        <w:tc>
          <w:tcPr>
            <w:tcW w:type="dxa" w:w="2160"/>
          </w:tcPr>
          <w:p>
            <w:r/>
            <w:r>
              <w:rPr>
                <w:sz w:val="19"/>
              </w:rPr>
              <w:t>0.448</w:t>
            </w:r>
          </w:p>
        </w:tc>
        <w:tc>
          <w:tcPr>
            <w:tcW w:type="dxa" w:w="2160"/>
          </w:tcPr>
          <w:p>
            <w:r/>
            <w:r>
              <w:rPr>
                <w:sz w:val="19"/>
              </w:rPr>
              <w:t>0.092</w:t>
            </w:r>
          </w:p>
        </w:tc>
      </w:tr>
      <w:tr>
        <w:tc>
          <w:tcPr>
            <w:tcW w:type="dxa" w:w="2160"/>
          </w:tcPr>
          <w:p>
            <w:r/>
            <w:r>
              <w:rPr>
                <w:sz w:val="19"/>
              </w:rPr>
              <w:t>Solution (~UE * ~BSAT * (UX + BSUC))</w:t>
            </w:r>
          </w:p>
        </w:tc>
        <w:tc>
          <w:tcPr>
            <w:tcW w:type="dxa" w:w="2160"/>
          </w:tcPr>
          <w:p>
            <w:r/>
            <w:r>
              <w:rPr>
                <w:sz w:val="19"/>
              </w:rPr>
              <w:t>0.813</w:t>
            </w:r>
          </w:p>
        </w:tc>
        <w:tc>
          <w:tcPr>
            <w:tcW w:type="dxa" w:w="2160"/>
          </w:tcPr>
          <w:p>
            <w:r/>
            <w:r>
              <w:rPr>
                <w:sz w:val="19"/>
              </w:rPr>
              <w:t>0.516</w:t>
            </w:r>
          </w:p>
        </w:tc>
        <w:tc>
          <w:tcPr>
            <w:tcW w:type="dxa" w:w="2160"/>
          </w:tcPr>
          <w:p>
            <w:r/>
            <w:r>
              <w:rPr>
                <w:sz w:val="19"/>
              </w:rPr>
              <w:t>-</w:t>
            </w:r>
          </w:p>
        </w:tc>
      </w:tr>
    </w:tbl>
    <w:p>
      <w:r>
        <w:rPr>
          <w:i/>
          <w:color w:val="555555"/>
          <w:sz w:val="18"/>
        </w:rPr>
        <w:t>Note. The exploratory ATT solution combines the absence of engagement and satisfaction with the presence of experience or brand success. Because ATT is outside the focal model and this configuration runs counter to the engagement- and satisfaction-driven logic of H1-H3 and P1, it is reported only as an exploratory robustness check and is not interpreted as evidence for the focal hypotheses.</w:t>
      </w:r>
    </w:p>
    <w:p>
      <w:r>
        <w:rPr>
          <w:b w:val="0"/>
          <w:i/>
          <w:sz w:val="18"/>
        </w:rPr>
        <w:t>Reporting conventions follow Hair et al. (2022) for PLS-SEM (loadings &gt;= 0.708, alpha / rho_C &gt;= 0.70, AVE &gt;= 0.50, HTMT &lt; 0.85, 5,000 bootstrap subsamples) and Ragin (2008) / Schneider &amp; Wagemann (2012) for fsQCA (direct calibration; raw-consistency cutoff ~ 0.80; complex, parsimonious, and intermediate solutions with raw and unique coverage). Numerical fill-in slots (0.XX, X.XX, 0.XXX) denote values to be populated directly from the SmartPLS and fsQCA output for the brand-success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