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Configuring Brand Success in Avatar-Mediated Information Systems: A Self-Determination Perspective on Engagement, Experience, and Satisfaction</w:t>
      </w:r>
    </w:p>
    <w:p>
      <w:pPr>
        <w:spacing w:after="120"/>
      </w:pPr>
      <w:r>
        <w:rPr>
          <w:b/>
          <w:sz w:val="24"/>
        </w:rPr>
        <w:t>1. Introduction</w:t>
      </w:r>
    </w:p>
    <w:p>
      <w:pPr>
        <w:ind w:firstLine="720"/>
        <w:jc w:val="both"/>
      </w:pPr>
      <w:r>
        <w:t>Few classes of information systems have travelled so quickly from euphoria to skepticism as immersive, avatar-mediated digital environments. Only a few years ago, the “metaverse” was cast as a near-inevitable successor to the web, and firms committed substantial capital to persistent three-dimensional spaces for commerce and social interaction (Dwivedi et al. 2022). That narrative has since been recalibrated. Several large technology firms have pared back consumer-facing metaverse programs and redirected investment toward generative artificial intelligence, and popular commentary has oscillated between dismissing the metaverse as a passing fad and treating it as a dormant but durable infrastructure (Hennig-Thurau et al. 2023). Yet beneath the hype cycle, the phenomenon has not disappeared. Platforms such as Roblox, Decentraland, and The Sandbox continue to host branded worlds, live events, and tradable virtual goods, and organizations across gaming, entertainment, retail, and selected enterprise settings still build avatar-mediated systems to acquire and retain users (Belk, Humayun, and Brouard 2022). In this post-hype landscape, the consequential question is no longer whether immersive environments will displace conventional channels, but under what user-level conditions they actually generate brand-relevant value.</w:t>
      </w:r>
    </w:p>
    <w:p>
      <w:pPr>
        <w:ind w:firstLine="720"/>
        <w:jc w:val="both"/>
      </w:pPr>
      <w:r>
        <w:t>Information systems and marketing research offers a strong, if incomplete, foundation for answering that question. A long tradition links the quality of users’ interactions with a system to downstream loyalty and continued use. The IS continuance literature, in particular, shows that satisfaction formed during prior use is the proximal driver of intentions to keep using a system (Bhattacherjee 2001), a relationship that has been replicated across websites, mobile applications, and online communities (Hsu and Lin 2015). In parallel, work on customer and consumer engagement demonstrates that cognitively, emotionally, and behaviourally involved users develop stronger brand attitudes and advocacy (Brodie et al. 2011; Hollebeek, Glynn, and Brodie 2014), while research on user experience establishes that perceptions of usability, aesthetics, immersion, and presence shape how people evaluate interactive systems (Hassenzahl and Tractinsky 2006). Studies of virtual worlds extend these insights to immersive settings, showing that richly interactive, telepresent environments can intensify engagement and transfer favourably to real-world brand outcomes (Animesh et al. 2011; Goel et al. 2011; Nah, Eschenbrenner, and DeWester 2011).</w:t>
      </w:r>
    </w:p>
    <w:p>
      <w:pPr>
        <w:ind w:firstLine="720"/>
        <w:jc w:val="both"/>
      </w:pPr>
      <w:r>
        <w:t>Three gaps nonetheless limit what we can currently say about brand success in avatar-mediated systems. First, the dominant analytic logic is additive: engagement, experience, and satisfaction are typically modelled as separable antecedents whose net effects are summed, even though managers must work with bundles of conditions that operate jointly. This framing obscures equifinality—the possibility that several distinct combinations lead to the same outcome—and causal asymmetry, whereby the recipe for success is not simply the mirror image of the recipe for failure (Fiss 2011; Woodside 2013; Park, Fiss, and El Sawy 2020). Second, we know little about whether these relationships behave differently when interaction is mediated by avatars in persistent, embodied spaces that fuse self-presentation, play, and consumption; embodiment and identity expression may alter the very meaning of “engagement” and “experience” (Suh, Kim, and Suh 2011). Third, although Self-Determination Theory (SDT) is increasingly invoked to explain motivation in games and virtual worlds, prior studies rarely specify how its basic needs map onto the measurable IS constructs—engagement, experience, satisfaction—through which brand outcomes are realized.</w:t>
      </w:r>
    </w:p>
    <w:p>
      <w:pPr>
        <w:ind w:firstLine="720"/>
        <w:jc w:val="both"/>
      </w:pPr>
      <w:r>
        <w:t>We address these gaps by grounding our model in Self-Determination Theory. SDT holds that people have three basic psychological needs—autonomy, competence, and relatedness—and that environments which satisfy them foster intrinsic motivation, sustained engagement, and well-being (Deci and Ryan 1985, 2000). The theory has proven unusually well suited to explaining the voluntary, often intense participation that digital play elicits: games and virtual worlds draw players precisely because they afford volitional choice, a felt sense of effectiveness, and social connection (Ryan, Rigby, and Przybylski 2006; Przybylski, Rigby, and Ryan 2010). Avatar-mediated brand environments are, if anything, even more potent need-satisfying systems. Customizable avatars and open-world mechanics afford autonomy; skill-based challenges, progression, and responsive feedback support competence; and synchronous, socially shared spaces cultivate relatedness. We therefore conceptualize user engagement and user experience as system-level manifestations of SDT need satisfaction, and brand satisfaction and brand success as the evaluative and behavioural outcomes that need-supportive interaction ultimately produces.</w:t>
      </w:r>
    </w:p>
    <w:p>
      <w:pPr>
        <w:ind w:firstLine="720"/>
        <w:jc w:val="both"/>
      </w:pPr>
      <w:r>
        <w:t>Building on this logic, the present study develops and tests a Self-Determination-based, configurational model of brand success in avatar-mediated information systems. We examine four constructs. User engagement (UE) denotes users’ cognitive, emotional, and behavioural involvement with a brand during avatar-mediated interaction. User experience (UX) captures the perceived quality of that interaction in terms of immersion, usability, enjoyment, and presence. Brand satisfaction (BSAT) is the user’s overall evaluative judgment of the brand formed through its immersive environments. Brand success (BSUC) refers to brand-relevant outcomes—continuance intentions, purchase likelihood, and advocacy—tied to those environments. Consistent with SDT, we theorize that environments which more fully satisfy autonomy, competence, and relatedness needs elicit higher UE and UX, which in turn shape BSAT and BSUC. Crucially, rather than presuming a single dominant driver, we adopt a configurational stance and ask which combinations—which “recipes”—of UE, UX, and BSAT are sufficient for high brand success, and whether any single condition is necessary in avatar-mediated contexts.</w:t>
      </w:r>
    </w:p>
    <w:p>
      <w:pPr>
        <w:ind w:firstLine="720"/>
        <w:jc w:val="both"/>
      </w:pPr>
      <w:r>
        <w:t>Empirically, we analyse survey data from 312 active users of leading immersive platforms (Roblox, Decentraland, and The Sandbox) in India—an emerging, mobile-first market in which both global and local brands are actively experimenting with avatar-mediated experiences amid rapid growth in immersive technologies. Our design is deliberately two-stage and complementary. First, partial least squares structural equation modelling (PLS-SEM) validates the measurement model and tests the net effects and the mediating role of brand satisfaction, following established guidance for variance-based estimation with complex, prediction-oriented models (Hair et al. 2019). Second, fuzzy-set qualitative comparative analysis (fsQCA) identifies the multiple sufficient configurations of UE, UX, and BSAT that yield high brand success (Ragin 2008; Liu et al. 2017). Pairing the two methods lets us reconcile the symmetric, net-effect story that regression-type models tell with the asymmetric, combinatorial reality that decision-makers face (Fiss 2011; Park, Fiss, and El Sawy 2020).</w:t>
      </w:r>
    </w:p>
    <w:p>
      <w:pPr>
        <w:ind w:firstLine="720"/>
        <w:jc w:val="both"/>
      </w:pPr>
      <w:r>
        <w:t>The study makes three contributions. Theoretically, it specifies how SDT-consistent mechanisms of need satisfaction become observable in engagement, experience, and satisfaction within avatar-mediated environments, and it shows that brand success in such systems is equifinal—reachable through several sufficient configurations rather than one linear path. Methodologically, it demonstrates how fsQCA can complement PLS-SEM in IS research to surface distinct routes to a desired outcome that a single method would mask. For practice, it offers configuration-based guidance for organizations that continue to invest in immersive channels under sober, post-hype conditions, clarifying which bundles of experience, engagement, and satisfaction align most strongly with brand-relevant results. The remainder of the paper develops the theoretical model and hypotheses, describes the data and dual-method analysis, reports the PLS-SEM and fsQCA findings, and discusses their implications for theory and managerial practice.</w:t>
      </w:r>
    </w:p>
    <w:p/>
    <w:p>
      <w:pPr>
        <w:spacing w:after="120"/>
      </w:pPr>
      <w:r>
        <w:rPr>
          <w:b/>
        </w:rPr>
        <w:t>References</w:t>
      </w:r>
    </w:p>
    <w:p>
      <w:pPr>
        <w:spacing w:after="120"/>
        <w:ind w:left="720" w:hanging="720"/>
        <w:jc w:val="both"/>
      </w:pPr>
      <w:r>
        <w:t>Animesh, A., A. Pinsonneault, S.-B. Yang, and W. Oh. 2011. “An Odyssey into Virtual Worlds: Exploring the Impacts of Technological and Spatial Environments on Intention to Purchase Virtual Products.” MIS Quarterly 35 (3): 789–810.</w:t>
      </w:r>
    </w:p>
    <w:p>
      <w:pPr>
        <w:spacing w:after="120"/>
        <w:ind w:left="720" w:hanging="720"/>
        <w:jc w:val="both"/>
      </w:pPr>
      <w:r>
        <w:t>Belk, R., M. Humayun, and M. Brouard. 2022. “Marketing Activities in the Metaverse: A Framework and Research Agenda.” Journal of Business Research 153: 198–205.</w:t>
      </w:r>
    </w:p>
    <w:p>
      <w:pPr>
        <w:spacing w:after="120"/>
        <w:ind w:left="720" w:hanging="720"/>
        <w:jc w:val="both"/>
      </w:pPr>
      <w:r>
        <w:t>Bhattacherjee, A. 2001. “Understanding Information Systems Continuance: An Expectation-Confirmation Model.” MIS Quarterly 25 (3): 351–370.</w:t>
      </w:r>
    </w:p>
    <w:p>
      <w:pPr>
        <w:spacing w:after="120"/>
        <w:ind w:left="720" w:hanging="720"/>
        <w:jc w:val="both"/>
      </w:pPr>
      <w:r>
        <w:t>Brodie, R. J., L. D. Hollebeek, B. Jurić, and A. Ilić. 2011. “Customer Engagement: Conceptual Domain, Fundamental Propositions, and Implications for Research.” Journal of Service Research 14 (3): 252–271.</w:t>
      </w:r>
    </w:p>
    <w:p>
      <w:pPr>
        <w:spacing w:after="120"/>
        <w:ind w:left="720" w:hanging="720"/>
        <w:jc w:val="both"/>
      </w:pPr>
      <w:r>
        <w:t>Deci, E. L., and R. M. Ryan. 1985. Intrinsic Motivation and Self-Determination in Human Behavior. New York: Plenum.</w:t>
      </w:r>
    </w:p>
    <w:p>
      <w:pPr>
        <w:spacing w:after="120"/>
        <w:ind w:left="720" w:hanging="720"/>
        <w:jc w:val="both"/>
      </w:pPr>
      <w:r>
        <w:t>Deci, E. L., and R. M. Ryan. 2000. “The ‘What’ and ‘Why’ of Goal Pursuits: Human Needs and the Self-Determination of Behavior.” Psychological Inquiry 11 (4): 227–268.</w:t>
      </w:r>
    </w:p>
    <w:p>
      <w:pPr>
        <w:spacing w:after="120"/>
        <w:ind w:left="720" w:hanging="720"/>
        <w:jc w:val="both"/>
      </w:pPr>
      <w:r>
        <w:t>Dwivedi, Y. K., L. Hughes, A. M. Baabdullah, et al. 2022. “Metaverse Beyond the Hype: Multidisciplinary Perspectives on Emerging Challenges, Opportunities, and Agenda for Research, Practice and Policy.” International Journal of Information Management 66: 102542.</w:t>
      </w:r>
    </w:p>
    <w:p>
      <w:pPr>
        <w:spacing w:after="120"/>
        <w:ind w:left="720" w:hanging="720"/>
        <w:jc w:val="both"/>
      </w:pPr>
      <w:r>
        <w:t>Fiss, P. C. 2011. “Building Better Causal Theories: A Fuzzy Set Approach to Typologies in Organization Research.” Academy of Management Journal 54 (2): 393–420.</w:t>
      </w:r>
    </w:p>
    <w:p>
      <w:pPr>
        <w:spacing w:after="120"/>
        <w:ind w:left="720" w:hanging="720"/>
        <w:jc w:val="both"/>
      </w:pPr>
      <w:r>
        <w:t>Goel, L., N. Johnson, I. Junglas, and B. Ives. 2011. “From Space to Place: Predicting Users’ Intentions to Return to Virtual Worlds.” MIS Quarterly 35 (3): 749–771.</w:t>
      </w:r>
    </w:p>
    <w:p>
      <w:pPr>
        <w:spacing w:after="120"/>
        <w:ind w:left="720" w:hanging="720"/>
        <w:jc w:val="both"/>
      </w:pPr>
      <w:r>
        <w:t>Hair, J. F., J. J. Risher, M. Sarstedt, and C. M. Ringle. 2019. “When to Use and How to Report the Results of PLS-SEM.” European Business Review 31 (1): 2–24.</w:t>
      </w:r>
    </w:p>
    <w:p>
      <w:pPr>
        <w:spacing w:after="120"/>
        <w:ind w:left="720" w:hanging="720"/>
        <w:jc w:val="both"/>
      </w:pPr>
      <w:r>
        <w:t>Hassenzahl, M., and N. Tractinsky. 2006. “User Experience—A Research Agenda.” Behaviour &amp; Information Technology 25 (2): 91–97.</w:t>
      </w:r>
    </w:p>
    <w:p>
      <w:pPr>
        <w:spacing w:after="120"/>
        <w:ind w:left="720" w:hanging="720"/>
        <w:jc w:val="both"/>
      </w:pPr>
      <w:r>
        <w:t>Hennig-Thurau, T., D. N. Aliman, A. M. Herting, G. P. Cziehso, M. Linder, and R. V. Kübler. 2023. “Human Interaction in the Metaverse: How Avatars Affect Customer Experiences.” Journal of the Academy of Marketing Science 51: 889–913.</w:t>
      </w:r>
    </w:p>
    <w:p>
      <w:pPr>
        <w:spacing w:after="120"/>
        <w:ind w:left="720" w:hanging="720"/>
        <w:jc w:val="both"/>
      </w:pPr>
      <w:r>
        <w:t>Hollebeek, L. D., M. S. Glynn, and R. J. Brodie. 2014. “Consumer Brand Engagement in Social Media: Conceptualization, Scale Development and Validation.” Journal of Interactive Marketing 28 (2): 149–165.</w:t>
      </w:r>
    </w:p>
    <w:p>
      <w:pPr>
        <w:spacing w:after="120"/>
        <w:ind w:left="720" w:hanging="720"/>
        <w:jc w:val="both"/>
      </w:pPr>
      <w:r>
        <w:t>Hsu, C.-L., and J. C.-C. Lin. 2015. “What Drives Purchase Intention for Paid Mobile Apps? An Expectation Confirmation Model with Perceived Value.” Electronic Commerce Research and Applications 14 (1): 46–57.</w:t>
      </w:r>
    </w:p>
    <w:p>
      <w:pPr>
        <w:spacing w:after="120"/>
        <w:ind w:left="720" w:hanging="720"/>
        <w:jc w:val="both"/>
      </w:pPr>
      <w:r>
        <w:t>Liu, Y., J. Mezei, V. Kostakos, and H. Li. 2017. “Applying Configurational Analysis to IS Behavioural Research: A Methodological Alternative for Modelling Combinatorial Complexities.” Information Systems Journal 27 (1): 59–89.</w:t>
      </w:r>
    </w:p>
    <w:p>
      <w:pPr>
        <w:spacing w:after="120"/>
        <w:ind w:left="720" w:hanging="720"/>
        <w:jc w:val="both"/>
      </w:pPr>
      <w:r>
        <w:t>Nah, F. F.-H., B. Eschenbrenner, and D. DeWester. 2011. “Enhancing Brand Equity Through Flow and Telepresence: A Comparison of 2D and 3D Virtual Worlds.” MIS Quarterly 35 (3): 731–747.</w:t>
      </w:r>
    </w:p>
    <w:p>
      <w:pPr>
        <w:spacing w:after="120"/>
        <w:ind w:left="720" w:hanging="720"/>
        <w:jc w:val="both"/>
      </w:pPr>
      <w:r>
        <w:t>Park, Y., P. C. Fiss, and O. A. El Sawy. 2020. “Knowing Well, Being Well: Configurations of Information Processing in Digital Strategy.” MIS Quarterly 44 (4): 2023–2052.</w:t>
      </w:r>
    </w:p>
    <w:p>
      <w:pPr>
        <w:spacing w:after="120"/>
        <w:ind w:left="720" w:hanging="720"/>
        <w:jc w:val="both"/>
      </w:pPr>
      <w:r>
        <w:t>Przybylski, A. K., C. S. Rigby, and R. M. Ryan. 2010. “A Motivational Model of Video Game Engagement.” Review of General Psychology 14 (2): 154–166.</w:t>
      </w:r>
    </w:p>
    <w:p>
      <w:pPr>
        <w:spacing w:after="120"/>
        <w:ind w:left="720" w:hanging="720"/>
        <w:jc w:val="both"/>
      </w:pPr>
      <w:r>
        <w:t>Ragin, C. C. 2008. Redesigning Social Inquiry: Fuzzy Sets and Beyond. Chicago: University of Chicago Press.</w:t>
      </w:r>
    </w:p>
    <w:p>
      <w:pPr>
        <w:spacing w:after="120"/>
        <w:ind w:left="720" w:hanging="720"/>
        <w:jc w:val="both"/>
      </w:pPr>
      <w:r>
        <w:t>Ryan, R. M., C. S. Rigby, and A. Przybylski. 2006. “The Motivational Pull of Video Games: A Self-Determination Theory Approach.” Motivation and Emotion 30 (4): 344–360.</w:t>
      </w:r>
    </w:p>
    <w:p>
      <w:pPr>
        <w:spacing w:after="120"/>
        <w:ind w:left="720" w:hanging="720"/>
        <w:jc w:val="both"/>
      </w:pPr>
      <w:r>
        <w:t>Suh, K.-S., H. Kim, and E. K. Suh. 2011. “What If Your Avatar Looks Like You? Dual-Congruity Perspectives for Avatar Use.” MIS Quarterly 35 (3): 711–729.</w:t>
      </w:r>
    </w:p>
    <w:p>
      <w:pPr>
        <w:spacing w:after="120"/>
        <w:ind w:left="720" w:hanging="720"/>
        <w:jc w:val="both"/>
      </w:pPr>
      <w:r>
        <w:t>Woodside, A. G. 2013. “Moving Beyond Multiple Regression Analysis to Algorithms: Calling for Adoption of a Paradigm Shift from Symmetric to Asymmetric Thinking in Data Analysis and Crafting Theory.” Journal of Business Research 66 (4): 463–472.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