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6"/>
        </w:rPr>
        <w:t>3. Research Context and Method</w:t>
      </w:r>
    </w:p>
    <w:p>
      <w:pPr>
        <w:spacing w:before="120" w:after="80"/>
      </w:pPr>
      <w:r>
        <w:rPr>
          <w:b/>
          <w:i/>
        </w:rPr>
        <w:t>3.1 Research Context and Platforms</w:t>
      </w:r>
    </w:p>
    <w:p>
      <w:pPr>
        <w:ind w:firstLine="720"/>
        <w:jc w:val="both"/>
      </w:pPr>
      <w:r>
        <w:t>We study avatar-mediated brand environments hosted on three prominent immersive platforms: Roblox, Decentraland, and The Sandbox. Each supports user-generated virtual worlds, branded spaces, and live events in which users move through the world as avatars, interact synchronously with others, and engage with virtual objects and experiences that are often tied to real-world brands (Dwivedi et al. 2022). Although the broader “metaverse” narrative has cooled, these platforms continue to sustain large, active communities and remain primary sites for experimental brand engagement, particularly among younger, digitally native users (Belk, Humayun, and Brouard 2022; Hennig-Thurau et al. 2023). They thus offer a setting in which the user-level mechanisms of interest—engagement, experience, and satisfaction—are actually exercised rather than hypothetical.</w:t>
      </w:r>
    </w:p>
    <w:p>
      <w:pPr>
        <w:ind w:firstLine="720"/>
        <w:jc w:val="both"/>
      </w:pPr>
      <w:r>
        <w:t>India offers a theoretically and practically relevant site for this inquiry. The country combines rapid diffusion of immersive technologies, high mobile-first internet penetration, and a large youth population that is intensely active on gaming and social platforms. Industry observers report growing experimentation with branded virtual events, virtual goods, and influencer-driven experiences in India even as global metaverse rhetoric has turned cautious. Examining avatar-mediated brand experiences in this emerging, mobile-first market therefore complements an immersive-IS evidence base that remains predominantly Western (Animesh et al. 2011; Goel et al. 2011), strengthening the external relevance of our findings.</w:t>
      </w:r>
    </w:p>
    <w:p>
      <w:pPr>
        <w:spacing w:before="120" w:after="80"/>
      </w:pPr>
      <w:r>
        <w:rPr>
          <w:b/>
          <w:i/>
        </w:rPr>
        <w:t>3.2 Sampling and Data Collection</w:t>
      </w:r>
    </w:p>
    <w:p>
      <w:pPr>
        <w:ind w:firstLine="720"/>
        <w:jc w:val="both"/>
      </w:pPr>
      <w:r>
        <w:t>We used a stratified sampling design to capture diverse patterns of avatar-mediated activity across the three platforms. In collaboration with platform stakeholders and community channels, we built a sampling frame of adult users (18 years and older) who had taken part in at least one brand-related activity—visiting a branded world, attending a branded event, or purchasing branded virtual items—on Roblox, Decentraland, or The Sandbox within the prior six months. Users with no brand-related immersive experience were excluded, ensuring that every respondent could draw on direct experience when answering.</w:t>
      </w:r>
    </w:p>
    <w:p>
      <w:pPr>
        <w:ind w:firstLine="720"/>
        <w:jc w:val="both"/>
      </w:pPr>
      <w:r>
        <w:t>To represent distinct usage patterns, we stratified the frame by primary activity type: gaming; NFT and digital-asset trading; social interaction and community participation; content creation; and virtual events. Within each stratum, eligible users were randomly invited to an online survey distributed through in-platform messaging and associated communication channels. We invited 600 users, balanced across strata in proportion to their share of the frame. Of these, 312 returned complete and usable responses, a response rate of 52 percent. The realized sample varies substantially in gender, age, education, income, and frequency of metaverse engagement, mirroring the heterogeneity of the Indian user base and supplying the cross-case variation that configurational analysis requires (Ragin 2008).</w:t>
      </w:r>
    </w:p>
    <w:p>
      <w:pPr>
        <w:spacing w:before="120" w:after="80"/>
      </w:pPr>
      <w:r>
        <w:rPr>
          <w:b/>
          <w:i/>
        </w:rPr>
        <w:t>3.3 Measures</w:t>
      </w:r>
    </w:p>
    <w:p>
      <w:pPr>
        <w:ind w:firstLine="720"/>
        <w:jc w:val="both"/>
      </w:pPr>
      <w:r>
        <w:t>All focal constructs were measured with multi-item, five-point Likert-type scales anchored from 1 (“strongly disagree”) to 5 (“strongly agree”). Wherever possible we adapted wording from established scales and refined it to fit avatar-mediated brand environments and Self-Determination Theory. A complete list of items, sources, and reliability statistics appears in the measurement table (Appendix / Table X).</w:t>
      </w:r>
    </w:p>
    <w:p>
      <w:pPr>
        <w:ind w:firstLine="720"/>
        <w:jc w:val="both"/>
      </w:pPr>
      <w:r>
        <w:t>User engagement (UE) was measured with ten items capturing cognitive, emotional, and behavioural involvement with the focal brand during avatar-mediated interaction (e.g., “When I am in this brand’s virtual space, I feel deeply involved in what is happening”). Items were adapted from prior engagement research (Brodie et al. 2011; Hollebeek, Glynn, and Brodie 2014) and revised to reflect SDT-consistent autonomy (perceived choice in how to explore the space), competence (feeling capable of using the environment’s features), and relatedness (feeling connected to other users and the brand community).</w:t>
      </w:r>
    </w:p>
    <w:p>
      <w:pPr>
        <w:ind w:firstLine="720"/>
        <w:jc w:val="both"/>
      </w:pPr>
      <w:r>
        <w:t>User experience (UX) was measured with ten items assessing the perceived quality of interaction with the brand’s avatar-mediated environment—immersion, enjoyment, ease of use, and presence (e.g., “Interacting with this brand’s virtual space is enjoyable and absorbing”). These items draw on prior work on digital and VR user experience (Hassenzahl and Tractinsky 2006; Brakus, Schmitt, and Zarantonello 2009) and were tailored to need-supportive design: intuitive controls (competence), avatar-based self-expression (autonomy), and socially rich interaction (relatedness).</w:t>
      </w:r>
    </w:p>
    <w:p>
      <w:pPr>
        <w:ind w:firstLine="720"/>
        <w:jc w:val="both"/>
      </w:pPr>
      <w:r>
        <w:t>Brand satisfaction (BSAT) was captured with five items reflecting users’ overall evaluative judgment of the brand based on their immersive experiences (e.g., “Overall, I am satisfied with this brand’s presence in virtual environments”). The items adapt satisfaction measures from IS continuance and customer-satisfaction research (Oliver 1980; Bhattacherjee 2001) to the avatar-mediated context, emphasizing cumulative evaluation rather than momentary affect.</w:t>
      </w:r>
    </w:p>
    <w:p>
      <w:pPr>
        <w:ind w:firstLine="720"/>
        <w:jc w:val="both"/>
      </w:pPr>
      <w:r>
        <w:t>Brand success (BSUC) was operationalized with four items capturing brand-relevant outcomes in the environment—continuance intention, purchase intention for virtual and related physical offerings, and advocacy (e.g., “I intend to keep visiting this brand’s virtual space in the future”; “I would recommend this brand’s virtual experience to others”). These items build on IS continuance and brand-loyalty scales (Bhattacherjee 2001), adapted to the immersive-platform setting.</w:t>
      </w:r>
    </w:p>
    <w:p>
      <w:pPr>
        <w:ind w:firstLine="720"/>
        <w:jc w:val="both"/>
      </w:pPr>
      <w:r>
        <w:t>All constructs were modelled as reflective. Prior to the main collection, we ran a pilot with a small subset of users to assess item clarity, relevance, and response distributions; feedback at this stage informed minor wording changes and the removal of redundant or ambiguous items.</w:t>
      </w:r>
    </w:p>
    <w:p>
      <w:pPr>
        <w:spacing w:before="120" w:after="80"/>
      </w:pPr>
      <w:r>
        <w:rPr>
          <w:b/>
          <w:i/>
        </w:rPr>
        <w:t>3.4 Data Analysis Approach</w:t>
      </w:r>
    </w:p>
    <w:p>
      <w:pPr>
        <w:ind w:firstLine="720"/>
        <w:jc w:val="both"/>
      </w:pPr>
      <w:r>
        <w:t>We followed a two-stage analytical strategy that pairs partial least squares structural equation modelling (PLS-SEM) with fuzzy-set qualitative comparative analysis (fsQCA). The two methods answer complementary questions: PLS-SEM estimates the symmetric net effects and mediation implied by the hypotheses, while fsQCA recovers the asymmetric, combinatorial pathways implied by the proposition (Woodside 2013; Liu et al. 2017; Park, Fiss, and El Sawy 2020).</w:t>
      </w:r>
    </w:p>
    <w:p>
      <w:pPr>
        <w:spacing w:before="120" w:after="80"/>
      </w:pPr>
      <w:r>
        <w:rPr>
          <w:b/>
          <w:i/>
        </w:rPr>
        <w:t>3.4.1 PLS-SEM</w:t>
      </w:r>
    </w:p>
    <w:p>
      <w:pPr>
        <w:ind w:firstLine="720"/>
        <w:jc w:val="both"/>
      </w:pPr>
      <w:r>
        <w:t>PLS-SEM was used to validate the measurement model and to test the hypothesized net effects among UE, UX, BSAT, and BSUC, an approach well suited to prediction-oriented models with several latent constructs (Hair et al. 2019). We assessed indicator reliability through standardized loadings, internal consistency through Cronbach’s alpha and composite reliability, and convergent validity through average variance extracted (AVE), interpreting AVE as the share of indicator variance captured by a construct relative to measurement error (Fornell and Larcker 1981). Discriminant validity was evaluated with the heterotrait–monotrait (HTMT) ratio of correlations, in line with current guidance for variance-based SEM; HTMT values below conservative thresholds (0.85–0.90) indicate satisfactory discriminant validity (Henseler, Ringle, and Sarstedt 2015). The mediating role of brand satisfaction was tested using bootstrapped indirect effects (Nitzl, Roldán, and Cepeda 2016).</w:t>
      </w:r>
    </w:p>
    <w:p>
      <w:pPr>
        <w:ind w:firstLine="720"/>
        <w:jc w:val="both"/>
      </w:pPr>
      <w:r>
        <w:t>To address common method bias, we paired procedural remedies—assuring respondent anonymity, separating predictor and criterion items, and stressing that there were no right or wrong answers (Podsakoff et al. 2003)—with a statistical check based on variance inflation factors. Specifically, we examined full-collinearity VIFs for all latent variables; values below the recommended threshold of 3.3 suggest that common method variance is unlikely to threaten the results (Kock 2015). Finally, we report a construct-level matrix of means, standard deviations, and correlations among UE, UX, BSAT, and BSUC to make the interrelationships among the focal variables transparent.</w:t>
      </w:r>
    </w:p>
    <w:p>
      <w:pPr>
        <w:spacing w:before="120" w:after="80"/>
      </w:pPr>
      <w:r>
        <w:rPr>
          <w:b/>
          <w:i/>
        </w:rPr>
        <w:t>3.4.2 fsQCA</w:t>
      </w:r>
    </w:p>
    <w:p>
      <w:pPr>
        <w:ind w:firstLine="720"/>
        <w:jc w:val="both"/>
      </w:pPr>
      <w:r>
        <w:t>Having established the adequacy of the measurement model and tested the net-effect hypotheses, we applied fsQCA to explore configurational pathways to high brand success. Following established procedures (Ragin 2008; Fiss 2011; Pappas and Woodside 2021), we calibrated the composite scores of UE, UX, BSAT, and BSUC into fuzzy sets with membership ranging from 0 (full non-membership) to 1 (full membership), setting the three calibration anchors—full membership, the crossover point, and full non-membership—from empirical percentiles informed by theoretical considerations. We then built a truth table and identified the configurations associated with high BSUC using consistency and coverage thresholds consistent with prior configurational research, and we assessed whether any single condition was necessary. This procedure lets us test whether multiple distinct combinations of engagement, experience, and satisfaction—rather than any one necessary condition—are sufficient for high brand success in avatar-mediated environments.</w:t>
      </w:r>
    </w:p>
    <w:p/>
    <w:p>
      <w:pPr>
        <w:spacing w:after="120"/>
      </w:pPr>
      <w:r>
        <w:rPr>
          <w:b/>
        </w:rPr>
        <w:t>References</w:t>
      </w:r>
    </w:p>
    <w:p>
      <w:pPr>
        <w:spacing w:after="120"/>
        <w:ind w:left="720" w:hanging="720"/>
        <w:jc w:val="both"/>
      </w:pPr>
      <w:r>
        <w:t>Animesh, A., A. Pinsonneault, S.-B. Yang, and W. Oh. 2011. “An Odyssey into Virtual Worlds: Exploring the Impacts of Technological and Spatial Environments on Intention to Purchase Virtual Products.” MIS Quarterly 35 (3): 789–810.</w:t>
      </w:r>
    </w:p>
    <w:p>
      <w:pPr>
        <w:spacing w:after="120"/>
        <w:ind w:left="720" w:hanging="720"/>
        <w:jc w:val="both"/>
      </w:pPr>
      <w:r>
        <w:t>Belk, R., M. Humayun, and M. Brouard. 2022. “Marketing Activities in the Metaverse: A Framework and Research Agenda.” Journal of Business Research 153: 198–205.</w:t>
      </w:r>
    </w:p>
    <w:p>
      <w:pPr>
        <w:spacing w:after="120"/>
        <w:ind w:left="720" w:hanging="720"/>
        <w:jc w:val="both"/>
      </w:pPr>
      <w:r>
        <w:t>Bhattacherjee, A. 2001. “Understanding Information Systems Continuance: An Expectation-Confirmation Model.” MIS Quarterly 25 (3): 351–370.</w:t>
      </w:r>
    </w:p>
    <w:p>
      <w:pPr>
        <w:spacing w:after="120"/>
        <w:ind w:left="720" w:hanging="720"/>
        <w:jc w:val="both"/>
      </w:pPr>
      <w:r>
        <w:t>Brakus, J. J., B. H. Schmitt, and L. Zarantonello. 2009. “Brand Experience: What Is It? How Is It Measured? Does It Affect Loyalty?” Journal of Marketing 73 (3): 52–68.</w:t>
      </w:r>
    </w:p>
    <w:p>
      <w:pPr>
        <w:spacing w:after="120"/>
        <w:ind w:left="720" w:hanging="720"/>
        <w:jc w:val="both"/>
      </w:pPr>
      <w:r>
        <w:t>Brodie, R. J., L. D. Hollebeek, B. Jurić, and A. Ilić. 2011. “Customer Engagement: Conceptual Domain, Fundamental Propositions, and Implications for Research.” Journal of Service Research 14 (3): 252–271.</w:t>
      </w:r>
    </w:p>
    <w:p>
      <w:pPr>
        <w:spacing w:after="120"/>
        <w:ind w:left="720" w:hanging="720"/>
        <w:jc w:val="both"/>
      </w:pPr>
      <w:r>
        <w:t>Dwivedi, Y. K., L. Hughes, A. M. Baabdullah, et al. 2022. “Metaverse Beyond the Hype: Multidisciplinary Perspectives on Emerging Challenges, Opportunities, and Agenda for Research, Practice and Policy.” International Journal of Information Management 66: 102542.</w:t>
      </w:r>
    </w:p>
    <w:p>
      <w:pPr>
        <w:spacing w:after="120"/>
        <w:ind w:left="720" w:hanging="720"/>
        <w:jc w:val="both"/>
      </w:pPr>
      <w:r>
        <w:t>Fiss, P. C. 2011. “Building Better Causal Theories: A Fuzzy Set Approach to Typologies in Organization Research.” Academy of Management Journal 54 (2): 393–420.</w:t>
      </w:r>
    </w:p>
    <w:p>
      <w:pPr>
        <w:spacing w:after="120"/>
        <w:ind w:left="720" w:hanging="720"/>
        <w:jc w:val="both"/>
      </w:pPr>
      <w:r>
        <w:t>Fornell, C., and D. F. Larcker. 1981. “Evaluating Structural Equation Models with Unobservable Variables and Measurement Error.” Journal of Marketing Research 18 (1): 39–50.</w:t>
      </w:r>
    </w:p>
    <w:p>
      <w:pPr>
        <w:spacing w:after="120"/>
        <w:ind w:left="720" w:hanging="720"/>
        <w:jc w:val="both"/>
      </w:pPr>
      <w:r>
        <w:t>Goel, L., N. Johnson, I. Junglas, and B. Ives. 2011. “From Space to Place: Predicting Users’ Intentions to Return to Virtual Worlds.” MIS Quarterly 35 (3): 749–771.</w:t>
      </w:r>
    </w:p>
    <w:p>
      <w:pPr>
        <w:spacing w:after="120"/>
        <w:ind w:left="720" w:hanging="720"/>
        <w:jc w:val="both"/>
      </w:pPr>
      <w:r>
        <w:t>Hair, J. F., J. J. Risher, M. Sarstedt, and C. M. Ringle. 2019. “When to Use and How to Report the Results of PLS-SEM.” European Business Review 31 (1): 2–24.</w:t>
      </w:r>
    </w:p>
    <w:p>
      <w:pPr>
        <w:spacing w:after="120"/>
        <w:ind w:left="720" w:hanging="720"/>
        <w:jc w:val="both"/>
      </w:pPr>
      <w:r>
        <w:t>Hassenzahl, M., and N. Tractinsky. 2006. “User Experience—A Research Agenda.” Behaviour &amp; Information Technology 25 (2): 91–97.</w:t>
      </w:r>
    </w:p>
    <w:p>
      <w:pPr>
        <w:spacing w:after="120"/>
        <w:ind w:left="720" w:hanging="720"/>
        <w:jc w:val="both"/>
      </w:pPr>
      <w:r>
        <w:t>Hennig-Thurau, T., D. N. Aliman, A. M. Herting, G. P. Cziehso, M. Linder, and R. V. Kübler. 2023. “Human Interaction in the Metaverse: How Avatars Affect Customer Experiences.” Journal of the Academy of Marketing Science 51: 889–913.</w:t>
      </w:r>
    </w:p>
    <w:p>
      <w:pPr>
        <w:spacing w:after="120"/>
        <w:ind w:left="720" w:hanging="720"/>
        <w:jc w:val="both"/>
      </w:pPr>
      <w:r>
        <w:t>Henseler, J., C. M. Ringle, and M. Sarstedt. 2015. “A New Criterion for Assessing Discriminant Validity in Variance-Based Structural Equation Modeling.” Journal of the Academy of Marketing Science 43 (1): 115–135.</w:t>
      </w:r>
    </w:p>
    <w:p>
      <w:pPr>
        <w:spacing w:after="120"/>
        <w:ind w:left="720" w:hanging="720"/>
        <w:jc w:val="both"/>
      </w:pPr>
      <w:r>
        <w:t>Hollebeek, L. D., M. S. Glynn, and R. J. Brodie. 2014. “Consumer Brand Engagement in Social Media: Conceptualization, Scale Development and Validation.” Journal of Interactive Marketing 28 (2): 149–165.</w:t>
      </w:r>
    </w:p>
    <w:p>
      <w:pPr>
        <w:spacing w:after="120"/>
        <w:ind w:left="720" w:hanging="720"/>
        <w:jc w:val="both"/>
      </w:pPr>
      <w:r>
        <w:t>Kock, N. 2015. “Common Method Bias in PLS-SEM: A Full Collinearity Assessment Approach.” International Journal of e-Collaboration 11 (4): 1–10.</w:t>
      </w:r>
    </w:p>
    <w:p>
      <w:pPr>
        <w:spacing w:after="120"/>
        <w:ind w:left="720" w:hanging="720"/>
        <w:jc w:val="both"/>
      </w:pPr>
      <w:r>
        <w:t>Liu, Y., J. Mezei, V. Kostakos, and H. Li. 2017. “Applying Configurational Analysis to IS Behavioural Research: A Methodological Alternative for Modelling Combinatorial Complexities.” Information Systems Journal 27 (1): 59–89.</w:t>
      </w:r>
    </w:p>
    <w:p>
      <w:pPr>
        <w:spacing w:after="120"/>
        <w:ind w:left="720" w:hanging="720"/>
        <w:jc w:val="both"/>
      </w:pPr>
      <w:r>
        <w:t>Nitzl, C., J. L. Roldán, and G. Cepeda. 2016. “Mediation Analysis in Partial Least Squares Path Modeling: Helping Researchers Discuss More Sophisticated Models.” Industrial Management &amp; Data Systems 116 (9): 1849–1864.</w:t>
      </w:r>
    </w:p>
    <w:p>
      <w:pPr>
        <w:spacing w:after="120"/>
        <w:ind w:left="720" w:hanging="720"/>
        <w:jc w:val="both"/>
      </w:pPr>
      <w:r>
        <w:t>Oliver, R. L. 1980. “A Cognitive Model of the Antecedents and Consequences of Satisfaction Decisions.” Journal of Marketing Research 17 (4): 460–469.</w:t>
      </w:r>
    </w:p>
    <w:p>
      <w:pPr>
        <w:spacing w:after="120"/>
        <w:ind w:left="720" w:hanging="720"/>
        <w:jc w:val="both"/>
      </w:pPr>
      <w:r>
        <w:t>Pappas, I. O., and A. G. Woodside. 2021. “Fuzzy-Set Qualitative Comparative Analysis (fsQCA): Guidelines for Research Practice in Information Systems and Marketing.” International Journal of Information Management 58: 102310.</w:t>
      </w:r>
    </w:p>
    <w:p>
      <w:pPr>
        <w:spacing w:after="120"/>
        <w:ind w:left="720" w:hanging="720"/>
        <w:jc w:val="both"/>
      </w:pPr>
      <w:r>
        <w:t>Park, Y., P. C. Fiss, and O. A. El Sawy. 2020. “Knowing Well, Being Well: Configurations of Information Processing in Digital Strategy.” MIS Quarterly 44 (4): 2023–2052.</w:t>
      </w:r>
    </w:p>
    <w:p>
      <w:pPr>
        <w:spacing w:after="120"/>
        <w:ind w:left="720" w:hanging="720"/>
        <w:jc w:val="both"/>
      </w:pPr>
      <w:r>
        <w:t>Podsakoff, P. M., S. B. MacKenzie, J.-Y. Lee, and N. P. Podsakoff. 2003. “Common Method Biases in Behavioral Research: A Critical Review of the Literature and Recommended Remedies.” Journal of Applied Psychology 88 (5): 879–903.</w:t>
      </w:r>
    </w:p>
    <w:p>
      <w:pPr>
        <w:spacing w:after="120"/>
        <w:ind w:left="720" w:hanging="720"/>
        <w:jc w:val="both"/>
      </w:pPr>
      <w:r>
        <w:t>Ragin, C. C. 2008. Redesigning Social Inquiry: Fuzzy Sets and Beyond. Chicago: University of Chicago Press.</w:t>
      </w:r>
    </w:p>
    <w:p>
      <w:pPr>
        <w:spacing w:after="120"/>
        <w:ind w:left="720" w:hanging="720"/>
        <w:jc w:val="both"/>
      </w:pPr>
      <w:r>
        <w:t>Woodside, A. G. 2013. “Moving Beyond Multiple Regression Analysis to Algorithms: Calling for Adoption of a Paradigm Shift from Symmetric to Asymmetric Thinking in Data Analysis and Crafting Theory.” Journal of Business Research 66 (4): 463–472.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