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6"/>
        </w:rPr>
        <w:t>4. Results</w:t>
      </w:r>
    </w:p>
    <w:p>
      <w:pPr>
        <w:spacing w:before="120" w:after="80"/>
      </w:pPr>
      <w:r>
        <w:rPr>
          <w:b/>
          <w:i/>
        </w:rPr>
        <w:t>4.1 Sample Characteristics</w:t>
      </w:r>
    </w:p>
    <w:p>
      <w:pPr>
        <w:ind w:firstLine="720"/>
        <w:jc w:val="both"/>
      </w:pPr>
      <w:r>
        <w:t>Descriptive statistics confirm that the 312 respondents form a diverse cross-section of active users of avatar-mediated platforms in India. The sample is balanced by gender, spans young-adult to middle-aged cohorts, and includes students, salaried employees, and business professionals across a range of income levels. With respect to immersive use, a majority report engaging with metaverse-type environments at least weekly, with substantial activity in NFT trading, social interaction and content creation, and virtual events. This profile confirms that respondents possess genuine, recent experience with brand-related activities in these environments—a precondition for the validity of their self-reports.</w:t>
      </w:r>
    </w:p>
    <w:p>
      <w:pPr>
        <w:spacing w:before="120" w:after="80"/>
      </w:pPr>
      <w:r>
        <w:rPr>
          <w:b/>
          <w:i/>
        </w:rPr>
        <w:t>4.2 Measurement Model</w:t>
      </w:r>
    </w:p>
    <w:p>
      <w:pPr>
        <w:ind w:firstLine="720"/>
        <w:jc w:val="both"/>
      </w:pPr>
      <w:r>
        <w:t>We first assessed the reflective measurement model in PLS-SEM (Hair et al. 2019). Standardized loadings for all indicators were positive and statistically significant, generally exceeding 0.66 for UE, UX, BSAT, and BSUC, indicating satisfactory indicator reliability. Cronbach’s alpha and composite reliability surpassed the conventional 0.70 benchmark for every construct, evidencing adequate internal consistency. Average variance extracted (AVE) values fell at or slightly above the 0.50 guideline, indicating that each construct captures a substantial share of its indicators’ variance relative to measurement error (Fornell and Larcker 1981).</w:t>
      </w:r>
    </w:p>
    <w:p>
      <w:pPr>
        <w:ind w:firstLine="720"/>
        <w:jc w:val="both"/>
      </w:pPr>
      <w:r>
        <w:t>Discriminant validity was evaluated using the heterotrait–monotrait (HTMT) ratio of correlations (Henseler, Ringle, and Sarstedt 2015). All HTMT values among UE, UX, BSAT, and BSUC fell below the conservative 0.85 cut-off—the highest being the UE–UX pair—so each construct is empirically distinguishable from the others. The construct-level correlation matrix (Table X) reinforces this conclusion: inter-construct correlations are moderate and below the corresponding reliability estimates, consistent with satisfactory discriminant validity.</w:t>
      </w:r>
    </w:p>
    <w:p>
      <w:pPr>
        <w:ind w:firstLine="720"/>
        <w:jc w:val="both"/>
      </w:pPr>
      <w:r>
        <w:t>To gauge common method bias, we complemented the procedural remedies built into the survey with a full-collinearity assessment (Kock 2015). Variance inflation factors for all latent variables remained below the 3.3 threshold, indicating that common method variance is unlikely to materially threaten the findings. Together, these checks support the adequacy of the measurement model and justify proceeding to the structural assessment.</w:t>
      </w:r>
    </w:p>
    <w:p>
      <w:pPr>
        <w:spacing w:before="120" w:after="80"/>
      </w:pPr>
      <w:r>
        <w:rPr>
          <w:b/>
          <w:i/>
        </w:rPr>
        <w:t>4.3 Structural Model</w:t>
      </w:r>
    </w:p>
    <w:p>
      <w:pPr>
        <w:ind w:firstLine="720"/>
        <w:jc w:val="both"/>
      </w:pPr>
      <w:r>
        <w:t>We next examined the structural model to test H1–H3. Both user engagement (UE) and user experience (UX) were positively and significantly related to brand success (BSUC), supporting H1 and H2. Respondents who reported deeper cognitive, emotional, and behavioural involvement with brands in avatar-mediated environments, and who judged their interactions as more immersive, enjoyable, and usable, also expressed stronger continuance, purchase, and advocacy intentions toward those brands.</w:t>
      </w:r>
    </w:p>
    <w:p>
      <w:pPr>
        <w:ind w:firstLine="720"/>
        <w:jc w:val="both"/>
      </w:pPr>
      <w:r>
        <w:t>Brand satisfaction (BSAT) was positively associated with BSUC, and both UE and UX were positively associated with BSAT, indicating that more engaging and higher-quality avatar-mediated experiences translate into more favourable overall evaluations of the brand. Bootstrapped indirect effects from UE and UX to BSUC via BSAT were positive and significant (Nitzl, Roldán, and Cepeda 2016), so brand satisfaction mediates the influence of engagement and experience on brand success, in line with H3. Because the direct effects of UE and UX on BSUC remained significant once BSAT was included, the pattern is one of partial rather than full mediation.</w:t>
      </w:r>
    </w:p>
    <w:p>
      <w:pPr>
        <w:ind w:firstLine="720"/>
        <w:jc w:val="both"/>
      </w:pPr>
      <w:r>
        <w:t>Taken together, the structural results indicate that SDT-consistent manifestations of need satisfaction at the interaction level—captured by UE and UX—shape brand-level outcomes both directly and through users’ satisfaction with the brand’s immersive presence.</w:t>
      </w:r>
    </w:p>
    <w:p>
      <w:pPr>
        <w:spacing w:before="120" w:after="80"/>
      </w:pPr>
      <w:r>
        <w:rPr>
          <w:b/>
          <w:i/>
        </w:rPr>
        <w:t>4.4 Configurational Analysis (fsQCA)</w:t>
      </w:r>
    </w:p>
    <w:p>
      <w:pPr>
        <w:ind w:firstLine="720"/>
        <w:jc w:val="both"/>
      </w:pPr>
      <w:r>
        <w:t>To examine whether different combinations of UE, UX, and BSAT can yield high brand success, we applied fuzzy-set qualitative comparative analysis (Ragin 2008; Fiss 2011; Pappas and Woodside 2021). Composite scores for the three conditions (UE, UX, BSAT) and the outcome (BSUC) were calibrated into fuzzy sets using theoretically informed, percentile-based anchors that distinguish high from low membership. We then analysed the resulting truth table against standard consistency and coverage thresholds to identify configurations sufficient for high BSUC.</w:t>
      </w:r>
    </w:p>
    <w:p>
      <w:pPr>
        <w:ind w:firstLine="720"/>
        <w:jc w:val="both"/>
      </w:pPr>
      <w:r>
        <w:t>The analysis of necessary conditions shows that no single condition is necessary for high brand success: neither high UE, high UX, nor high BSAT alone qualifies as necessary—exactly the pattern the SDT-based view predicts, since distinct profiles of need satisfaction can each sustain favourable outcomes. Instead, several distinct configurations of UE, UX, and BSAT are sufficient for high BSUC, supporting P1.</w:t>
      </w:r>
    </w:p>
    <w:p>
      <w:pPr>
        <w:ind w:firstLine="720"/>
        <w:jc w:val="both"/>
      </w:pPr>
      <w:r>
        <w:t>The core solution comprises three configurations (Table Y). The first combines high BSAT and high UX with at least moderate engagement, implying that satisfied users who perceive the brand’s immersive environment as high quality can drive brand success even when their active engagement is not at its peak. The second pairs high BSAT with high UE, showing that strong involvement together with satisfaction can compensate for less-than-optimal experiential quality. The third combines high UE and high UX in the absence of explicitly high satisfaction, suggesting that in some cases deeply engaging and enjoyable experiences drive brand-relevant intentions even before users fully crystallize their overall brand evaluations.</w:t>
      </w:r>
    </w:p>
    <w:p>
      <w:pPr>
        <w:ind w:firstLine="720"/>
        <w:jc w:val="both"/>
      </w:pPr>
      <w:r>
        <w:t>An extended subset–superset analysis reveals a triadic configuration in which simultaneously high UE, UX, and BSAT exhibits the highest solution consistency and meaningful overall coverage of high-success cases. This “full recipe” captures settings in which avatar-mediated environments strongly satisfy autonomy, competence, and relatedness needs—producing high engagement, rich experience, and strong satisfaction, and, in turn, the strongest brand-relevant outcomes.</w:t>
      </w:r>
    </w:p>
    <w:p>
      <w:pPr>
        <w:ind w:firstLine="720"/>
        <w:jc w:val="both"/>
      </w:pPr>
      <w:r>
        <w:t>Collectively, the configurational analysis complements the PLS-SEM findings by showing that brand success in avatar-mediated environments is equifinal (Woodside 2013): brands can reach high success through multiple SDT-consistent combinations of engagement, experience, and satisfaction rather than relying on any single dominant driver.</w:t>
      </w:r>
    </w:p>
    <w:p/>
    <w:p>
      <w:pPr>
        <w:spacing w:after="120"/>
      </w:pPr>
      <w:r>
        <w:rPr>
          <w:b/>
        </w:rPr>
        <w:t>References</w:t>
      </w:r>
    </w:p>
    <w:p>
      <w:pPr>
        <w:spacing w:after="120"/>
        <w:ind w:left="720" w:hanging="720"/>
        <w:jc w:val="both"/>
      </w:pPr>
      <w:r>
        <w:t>Fiss, P. C. 2011. “Building Better Causal Theories: A Fuzzy Set Approach to Typologies in Organization Research.” Academy of Management Journal 54 (2): 393–420.</w:t>
      </w:r>
    </w:p>
    <w:p>
      <w:pPr>
        <w:spacing w:after="120"/>
        <w:ind w:left="720" w:hanging="720"/>
        <w:jc w:val="both"/>
      </w:pPr>
      <w:r>
        <w:t>Fornell, C., and D. F. Larcker. 1981. “Evaluating Structural Equation Models with Unobservable Variables and Measurement Error.” Journal of Marketing Research 18 (1): 39–50.</w:t>
      </w:r>
    </w:p>
    <w:p>
      <w:pPr>
        <w:spacing w:after="120"/>
        <w:ind w:left="720" w:hanging="720"/>
        <w:jc w:val="both"/>
      </w:pPr>
      <w:r>
        <w:t>Hair, J. F., J. J. Risher, M. Sarstedt, and C. M. Ringle. 2019. “When to Use and How to Report the Results of PLS-SEM.” European Business Review 31 (1): 2–24.</w:t>
      </w:r>
    </w:p>
    <w:p>
      <w:pPr>
        <w:spacing w:after="120"/>
        <w:ind w:left="720" w:hanging="720"/>
        <w:jc w:val="both"/>
      </w:pPr>
      <w:r>
        <w:t>Henseler, J., C. M. Ringle, and M. Sarstedt. 2015. “A New Criterion for Assessing Discriminant Validity in Variance-Based Structural Equation Modeling.” Journal of the Academy of Marketing Science 43 (1): 115–135.</w:t>
      </w:r>
    </w:p>
    <w:p>
      <w:pPr>
        <w:spacing w:after="120"/>
        <w:ind w:left="720" w:hanging="720"/>
        <w:jc w:val="both"/>
      </w:pPr>
      <w:r>
        <w:t>Kock, N. 2015. “Common Method Bias in PLS-SEM: A Full Collinearity Assessment Approach.” International Journal of e-Collaboration 11 (4): 1–10.</w:t>
      </w:r>
    </w:p>
    <w:p>
      <w:pPr>
        <w:spacing w:after="120"/>
        <w:ind w:left="720" w:hanging="720"/>
        <w:jc w:val="both"/>
      </w:pPr>
      <w:r>
        <w:t>Nitzl, C., J. L. Roldán, and G. Cepeda. 2016. “Mediation Analysis in Partial Least Squares Path Modeling: Helping Researchers Discuss More Sophisticated Models.” Industrial Management &amp; Data Systems 116 (9): 1849–1864.</w:t>
      </w:r>
    </w:p>
    <w:p>
      <w:pPr>
        <w:spacing w:after="120"/>
        <w:ind w:left="720" w:hanging="720"/>
        <w:jc w:val="both"/>
      </w:pPr>
      <w:r>
        <w:t>Pappas, I. O., and A. G. Woodside. 2021. “Fuzzy-Set Qualitative Comparative Analysis (fsQCA): Guidelines for Research Practice in Information Systems and Marketing.” International Journal of Information Management 58: 102310.</w:t>
      </w:r>
    </w:p>
    <w:p>
      <w:pPr>
        <w:spacing w:after="120"/>
        <w:ind w:left="720" w:hanging="720"/>
        <w:jc w:val="both"/>
      </w:pPr>
      <w:r>
        <w:t>Ragin, C. C. 2008. Redesigning Social Inquiry: Fuzzy Sets and Beyond. Chicago: University of Chicago Press.</w:t>
      </w:r>
    </w:p>
    <w:p>
      <w:pPr>
        <w:spacing w:after="120"/>
        <w:ind w:left="720" w:hanging="720"/>
        <w:jc w:val="both"/>
      </w:pPr>
      <w:r>
        <w:t>Woodside, A. G. 2013. “Moving Beyond Multiple Regression Analysis to Algorithms: Calling for Adoption of a Paradigm Shift from Symmetric to Asymmetric Thinking in Data Analysis and Crafting Theory.” Journal of Business Research 66 (4): 463–472.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