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26"/>
        </w:rPr>
        <w:t>2. Theoretical Background and Related Work</w:t>
      </w:r>
    </w:p>
    <w:p>
      <w:pPr>
        <w:spacing w:before="120" w:after="80"/>
      </w:pPr>
      <w:r>
        <w:rPr>
          <w:b/>
          <w:i/>
        </w:rPr>
        <w:t>2.1 Self-Determination Theory in Digital and Virtual Systems</w:t>
      </w:r>
    </w:p>
    <w:p>
      <w:pPr>
        <w:ind w:firstLine="720"/>
        <w:jc w:val="both"/>
      </w:pPr>
      <w:r>
        <w:t>Self-Determination Theory (SDT) treats motivation not as a single quantity but as a quality that depends on whether an activity satisfies three basic psychological needs: autonomy, the sense of acting volitionally and from genuine choice; competence, the sense of being effective and mastering meaningful challenges; and relatedness, the sense of connection to and care from others (Deci and Ryan 1985, 2000). The theory’s central claim is conditional: environments that support these needs cultivate intrinsic motivation, deeper involvement, and well-being, whereas environments that thwart them erode motivation and crowd out persistence (Ryan and Deci 2000). This conditional logic—outcomes depending on the joint state of several needs rather than on any one of them—is what makes SDT an apt theoretical anchor for systems whose value emerges from bundles of design affordances rather than isolated features.</w:t>
      </w:r>
    </w:p>
    <w:p>
      <w:pPr>
        <w:ind w:firstLine="720"/>
        <w:jc w:val="both"/>
      </w:pPr>
      <w:r>
        <w:t>SDT has travelled well into digital and virtual settings, and nowhere more convincingly than in research on games and virtual worlds. Studies consistently find that mechanics which let users choose goals and play styles (autonomy), present optimally challenging tasks with legible feedback (competence), and afford meaningful social interaction (relatedness) predict enjoyment, persistence, and continued participation (Ryan, Rigby, and Przybylski 2006; Przybylski, Rigby, and Ryan 2010). Rigby and Ryan (2011) capture this vividly in describing successful virtual worlds as “need engines” that satisfy autonomy, competence, and relatedness on repeated cycles, sustaining intrinsic motivation over long horizons. The mechanism is not confined to play: in information systems research, SDT-consistent design has been linked to system use and continuance, with need-supportive features strengthening users’ willingness to keep using online platforms and services (Roca and Gagné 2008).</w:t>
      </w:r>
    </w:p>
    <w:p>
      <w:pPr>
        <w:ind w:firstLine="720"/>
        <w:jc w:val="both"/>
      </w:pPr>
      <w:r>
        <w:t>Avatar-mediated immersive environments are unusually fertile ground for need satisfaction because their defining affordances map almost one-to-one onto SDT’s needs. Customizable avatars and open-ended worlds furnish self-expression and control, supporting autonomy; skill-based tasks, interactive objects, and immediate feedback afford competence; and synchronous, socially shared spaces support relatedness through co-presence and real-time interaction (Animesh et al. 2011; Goel et al. 2011). In brand-hosted virtual spaces, these affordances can be deliberately orchestrated to draw users into branded content and communities (Nah, Eschenbrenner, and DeWester 2011). We therefore adopt SDT as the foundational lens for understanding how avatar-mediated systems generate user engagement, rich user experience, and, downstream, satisfaction with the brands that invest in them.</w:t>
      </w:r>
    </w:p>
    <w:p>
      <w:pPr>
        <w:spacing w:before="120" w:after="80"/>
      </w:pPr>
      <w:r>
        <w:rPr>
          <w:b/>
          <w:i/>
        </w:rPr>
        <w:t>2.2 Avatar-Mediated Environments, Engagement, and User Experience</w:t>
      </w:r>
    </w:p>
    <w:p>
      <w:pPr>
        <w:ind w:firstLine="720"/>
        <w:jc w:val="both"/>
      </w:pPr>
      <w:r>
        <w:t>A growing body of work documents how avatar-based interaction shapes user responses to brands. Research in marketing and management shows that virtual brand spaces and events can strengthen brand attitudes, attachment, and loyalty when they deliver interactive, enjoyable, and socially rich experiences (Brakus, Schmitt, and Zarantonello 2009; Hollebeek, Glynn, and Brodie 2014). Studies of VR- and AR-based brand experiences find that presence and immersion amplify emotional responses and can lift purchase intentions and word-of-mouth in virtual showrooms and brand worlds (Hilken et al. 2017; van Kerrebroeck, Brengman, and Willems 2017), echoing earlier arguments that telepresence is a defining property of computer-mediated environments and a driver of compelling online experience (Steuer 1992; Hoffman and Novak 1996). Research on avatars themselves adds a further layer: avatar customization and identification influence perceived authenticity, trust, and engagement, implying that users’ relationships with their avatars partly mediate how they experience and evaluate brands in virtual space (Bélisle and Bodur 2010; Suh, Kim, and Suh 2011; Hennig-Thurau et al. 2023).</w:t>
      </w:r>
    </w:p>
    <w:p>
      <w:pPr>
        <w:ind w:firstLine="720"/>
        <w:jc w:val="both"/>
      </w:pPr>
      <w:r>
        <w:t>Two limitations recur across this literature. First, it is dominated by isolated-driver, net-effect designs: a single study typically estimates how one feature—interactivity, presence, or social cues—affects one outcome such as satisfaction or purchase intention, usually via linear regression or covariance-based SEM (Van Doorn et al. 2010). Far less is known about how user-level constructs such as engagement, experience quality, and satisfaction combine into configurations that jointly produce brand success or failure in avatar-mediated systems—precisely the combinatorial question that set-theoretic methods are designed to address (Fiss 2011; Woodside 2013; Park, Fiss, and El Sawy 2020). Second, although many papers gesture toward SDT or related motivational frameworks, they rarely specify how autonomy, competence, and relatedness are instantiated in the constructs they actually measure, or how these needs operate together to shape brand-related outcomes.</w:t>
      </w:r>
    </w:p>
    <w:p>
      <w:pPr>
        <w:ind w:firstLine="720"/>
        <w:jc w:val="both"/>
      </w:pPr>
      <w:r>
        <w:t>We extend this work on two fronts. First, we explicitly conceptualize user engagement and user experience in avatar-mediated brand environments as manifestations of SDT need satisfaction, connecting prior feature- and design-focused findings to a unified motivational account. Second, we adopt a configurational perspective to examine how engagement, experience, and satisfaction combine to yield high brand success, recognizing that immersive systems are likely to exhibit equifinality and causal asymmetry that net-effect models obscure (Ragin 2008; Liu et al. 2017).</w:t>
      </w:r>
    </w:p>
    <w:p>
      <w:pPr>
        <w:spacing w:before="120" w:after="80"/>
      </w:pPr>
      <w:r>
        <w:rPr>
          <w:b/>
          <w:i/>
        </w:rPr>
        <w:t>2.3 Construct Definitions</w:t>
      </w:r>
    </w:p>
    <w:p>
      <w:pPr>
        <w:ind w:firstLine="720"/>
        <w:jc w:val="both"/>
      </w:pPr>
      <w:r>
        <w:t>Building on SDT and prior IS and marketing research, we center the model on four constructs: user engagement (UE), user experience (UX), brand satisfaction (BSAT), and brand success (BSUC).</w:t>
      </w:r>
    </w:p>
    <w:p>
      <w:pPr>
        <w:ind w:firstLine="720"/>
        <w:jc w:val="both"/>
      </w:pPr>
      <w:r>
        <w:t>User engagement denotes the cognitive, emotional, and behavioural involvement a user exhibits toward a brand during interaction in avatar-mediated environments (Brodie et al. 2011; Hollebeek, Glynn, and Brodie 2014). In SDT terms, higher engagement reflects the stronger intrinsic motivation that arises when the environment supports autonomy (meaningful choices in how to navigate and interact), competence (clear challenges and feedback), and relatedness (social co-presence with other users and with the brand’s representatives). It surfaces as focused attention, emotional investment, and active participation—exploring virtual spaces, attending events, and interacting with branded objects.</w:t>
      </w:r>
    </w:p>
    <w:p>
      <w:pPr>
        <w:ind w:firstLine="720"/>
        <w:jc w:val="both"/>
      </w:pPr>
      <w:r>
        <w:t>User experience captures users’ holistic appraisal of the quality of their interactions with the brand’s avatar-mediated environment, spanning immersion, usability, enjoyment, and presence (Hassenzahl and Tractinsky 2006). A need-supportive environment should yield richer experience by enabling fluid interaction (competence), personalized journeys and self-expression (autonomy), and meaningful social encounters (relatedness). When these needs are met, users report experiences that are enjoyable, absorbing, and satisfying at the experiential level, beyond mere functional utility (Brakus, Schmitt, and Zarantonello 2009).</w:t>
      </w:r>
    </w:p>
    <w:p>
      <w:pPr>
        <w:ind w:firstLine="720"/>
        <w:jc w:val="both"/>
      </w:pPr>
      <w:r>
        <w:t>Brand satisfaction reflects a user’s overall evaluative judgment of a brand based on the cumulative experience of its avatar-mediated environments—the degree to which interactions meet or exceed expectations and fulfil needs in a way the user perceives as positive (Oliver 1980). Consistent with IS continuance models, satisfaction is a pivotal determinant of whether users intend to keep engaging with a system and remain loyal to the underlying service or brand (Bhattacherjee 2001).</w:t>
      </w:r>
    </w:p>
    <w:p>
      <w:pPr>
        <w:ind w:firstLine="720"/>
        <w:jc w:val="both"/>
      </w:pPr>
      <w:r>
        <w:t>Brand success refers to the brand-relevant outcomes that arise in avatar-mediated systems: intentions to continue using the brand’s virtual spaces, willingness to purchase virtual or physical offerings tied to the environment, and propensity to recommend or advocate for the brand. In immersive platforms, brand success thus captures users’ ongoing behavioural and attitudinal alignment with the brand as mediated through avatar-based interaction.</w:t>
      </w:r>
    </w:p>
    <w:p>
      <w:pPr>
        <w:ind w:firstLine="720"/>
        <w:jc w:val="both"/>
      </w:pPr>
      <w:r>
        <w:t>In our model, UE and UX are proximal manifestations of SDT need satisfaction at the level of interaction, whereas BSAT and BSUC are downstream evaluative and behavioural consequences of those need-supportive experiences. This structure lets us examine both the direct and the satisfaction-mediated pathways through which need-supportive design in avatar-mediated systems contributes to brand-level outcomes.</w:t>
      </w:r>
    </w:p>
    <w:p>
      <w:pPr>
        <w:spacing w:before="120" w:after="80"/>
      </w:pPr>
      <w:r>
        <w:rPr>
          <w:b/>
          <w:i/>
        </w:rPr>
        <w:t>2.4 Hypotheses and Configurational Proposition</w:t>
      </w:r>
    </w:p>
    <w:p>
      <w:pPr>
        <w:ind w:firstLine="720"/>
        <w:jc w:val="both"/>
      </w:pPr>
      <w:r>
        <w:t>SDT implies that when an environment supports autonomy, competence, and relatedness, individuals become more intrinsically motivated and engaged, which translates into more favourable evaluations and behaviours (Ryan and Deci 2000). In avatar-mediated brand environments, we therefore expect that stronger engagement and richer experience will be associated with greater brand success—consistent with broader evidence that engagement and experience quality predict loyalty, continuance, and positive word-of-mouth in digital settings (Brodie et al. 2011; Hollebeek, Glynn, and Brodie 2014). Accordingly:</w:t>
      </w:r>
    </w:p>
    <w:p>
      <w:pPr>
        <w:spacing w:before="80" w:after="80"/>
        <w:ind w:left="720"/>
        <w:jc w:val="both"/>
      </w:pPr>
      <w:r>
        <w:rPr>
          <w:b/>
        </w:rPr>
        <w:t>H1: Higher user engagement in avatar-mediated environments is positively associated with brand success.</w:t>
      </w:r>
    </w:p>
    <w:p>
      <w:pPr>
        <w:spacing w:before="80" w:after="80"/>
        <w:ind w:left="720"/>
        <w:jc w:val="both"/>
      </w:pPr>
      <w:r>
        <w:rPr>
          <w:b/>
        </w:rPr>
        <w:t>H2: Higher user experience quality in avatar-mediated environments is positively associated with brand success.</w:t>
      </w:r>
    </w:p>
    <w:p>
      <w:pPr>
        <w:ind w:firstLine="720"/>
        <w:jc w:val="both"/>
      </w:pPr>
      <w:r>
        <w:t>SDT further implies that need-supportive experiences shape downstream outcomes partly through their effect on satisfaction. In IS continuance models, satisfaction mediates the path from prior experience to continued-use intentions (Bhattacherjee 2001), and in branding research it mediates the impact of experience on loyalty and advocacy (Brakus, Schmitt, and Zarantonello 2009). Translating this logic to avatar-mediated systems, we expect engagement and experience to raise brand success both directly and indirectly via brand satisfaction:</w:t>
      </w:r>
    </w:p>
    <w:p>
      <w:pPr>
        <w:spacing w:before="80" w:after="80"/>
        <w:ind w:left="720"/>
        <w:jc w:val="both"/>
      </w:pPr>
      <w:r>
        <w:rPr>
          <w:b/>
        </w:rPr>
        <w:t>H3: Brand satisfaction mediates the relationships between (a) user engagement and brand success and (b) user experience and brand success.</w:t>
      </w:r>
    </w:p>
    <w:p>
      <w:pPr>
        <w:ind w:firstLine="720"/>
        <w:jc w:val="both"/>
      </w:pPr>
      <w:r>
        <w:t>Linear models, however, may understate the complexity of these relationships in immersive settings. Different combinations of high engagement, rich experience, and strong satisfaction may each be sufficient for high brand success, and no single condition may be strictly necessary. SDT itself anticipates such plurality: some users may be drawn chiefly by autonomy-rich experience (high UX), others by relatedness-rich social engagement (high UE), yet both routes can satisfy needs and culminate in loyalty. This reasoning motivates a configurational view in which multiple SDT-consistent “recipes” of UE, UX, and BSAT lead to high BSUC (Fiss 2011; Woodside 2013; Park, Fiss, and El Sawy 2020):</w:t>
      </w:r>
    </w:p>
    <w:p>
      <w:pPr>
        <w:spacing w:before="80" w:after="80"/>
        <w:ind w:left="720"/>
        <w:jc w:val="both"/>
      </w:pPr>
      <w:r>
        <w:rPr>
          <w:b/>
        </w:rPr>
        <w:t>P1 (Configurational equifinality): Multiple configurations of high user engagement, high user experience, and high brand satisfaction are sufficient for high brand success in avatar-mediated environments, and no single construct is a necessary condition.</w:t>
      </w:r>
    </w:p>
    <w:p/>
    <w:p>
      <w:pPr>
        <w:spacing w:after="120"/>
      </w:pPr>
      <w:r>
        <w:rPr>
          <w:b/>
        </w:rPr>
        <w:t>References</w:t>
      </w:r>
    </w:p>
    <w:p>
      <w:pPr>
        <w:spacing w:after="120"/>
        <w:ind w:left="720" w:hanging="720"/>
        <w:jc w:val="both"/>
      </w:pPr>
      <w:r>
        <w:t>Animesh, A., A. Pinsonneault, S.-B. Yang, and W. Oh. 2011. “An Odyssey into Virtual Worlds: Exploring the Impacts of Technological and Spatial Environments on Intention to Purchase Virtual Products.” MIS Quarterly 35 (3): 789–810.</w:t>
      </w:r>
    </w:p>
    <w:p>
      <w:pPr>
        <w:spacing w:after="120"/>
        <w:ind w:left="720" w:hanging="720"/>
        <w:jc w:val="both"/>
      </w:pPr>
      <w:r>
        <w:t>Bhattacherjee, A. 2001. “Understanding Information Systems Continuance: An Expectation-Confirmation Model.” MIS Quarterly 25 (3): 351–370.</w:t>
      </w:r>
    </w:p>
    <w:p>
      <w:pPr>
        <w:spacing w:after="120"/>
        <w:ind w:left="720" w:hanging="720"/>
        <w:jc w:val="both"/>
      </w:pPr>
      <w:r>
        <w:t>Brakus, J. J., B. H. Schmitt, and L. Zarantonello. 2009. “Brand Experience: What Is It? How Is It Measured? Does It Affect Loyalty?” Journal of Marketing 73 (3): 52–68.</w:t>
      </w:r>
    </w:p>
    <w:p>
      <w:pPr>
        <w:spacing w:after="120"/>
        <w:ind w:left="720" w:hanging="720"/>
        <w:jc w:val="both"/>
      </w:pPr>
      <w:r>
        <w:t>Brodie, R. J., L. D. Hollebeek, B. Jurić, and A. Ilić. 2011. “Customer Engagement: Conceptual Domain, Fundamental Propositions, and Implications for Research.” Journal of Service Research 14 (3): 252–271.</w:t>
      </w:r>
    </w:p>
    <w:p>
      <w:pPr>
        <w:spacing w:after="120"/>
        <w:ind w:left="720" w:hanging="720"/>
        <w:jc w:val="both"/>
      </w:pPr>
      <w:r>
        <w:t>Bélisle, J.-F., and H. O. Bodur. 2010. “Avatars as Information: Perception of Consumers Based on Their Avatars in Virtual Worlds.” Psychology &amp; Marketing 27 (8): 741–765.</w:t>
      </w:r>
    </w:p>
    <w:p>
      <w:pPr>
        <w:spacing w:after="120"/>
        <w:ind w:left="720" w:hanging="720"/>
        <w:jc w:val="both"/>
      </w:pPr>
      <w:r>
        <w:t>Deci, E. L., and R. M. Ryan. 1985. Intrinsic Motivation and Self-Determination in Human Behavior. New York: Plenum.</w:t>
      </w:r>
    </w:p>
    <w:p>
      <w:pPr>
        <w:spacing w:after="120"/>
        <w:ind w:left="720" w:hanging="720"/>
        <w:jc w:val="both"/>
      </w:pPr>
      <w:r>
        <w:t>Deci, E. L., and R. M. Ryan. 2000. “The ‘What’ and ‘Why’ of Goal Pursuits: Human Needs and the Self-Determination of Behavior.” Psychological Inquiry 11 (4): 227–268.</w:t>
      </w:r>
    </w:p>
    <w:p>
      <w:pPr>
        <w:spacing w:after="120"/>
        <w:ind w:left="720" w:hanging="720"/>
        <w:jc w:val="both"/>
      </w:pPr>
      <w:r>
        <w:t>Fiss, P. C. 2011. “Building Better Causal Theories: A Fuzzy Set Approach to Typologies in Organization Research.” Academy of Management Journal 54 (2): 393–420.</w:t>
      </w:r>
    </w:p>
    <w:p>
      <w:pPr>
        <w:spacing w:after="120"/>
        <w:ind w:left="720" w:hanging="720"/>
        <w:jc w:val="both"/>
      </w:pPr>
      <w:r>
        <w:t>Goel, L., N. Johnson, I. Junglas, and B. Ives. 2011. “From Space to Place: Predicting Users’ Intentions to Return to Virtual Worlds.” MIS Quarterly 35 (3): 749–771.</w:t>
      </w:r>
    </w:p>
    <w:p>
      <w:pPr>
        <w:spacing w:after="120"/>
        <w:ind w:left="720" w:hanging="720"/>
        <w:jc w:val="both"/>
      </w:pPr>
      <w:r>
        <w:t>Hassenzahl, M., and N. Tractinsky. 2006. “User Experience—A Research Agenda.” Behaviour &amp; Information Technology 25 (2): 91–97.</w:t>
      </w:r>
    </w:p>
    <w:p>
      <w:pPr>
        <w:spacing w:after="120"/>
        <w:ind w:left="720" w:hanging="720"/>
        <w:jc w:val="both"/>
      </w:pPr>
      <w:r>
        <w:t>Hennig-Thurau, T., D. N. Aliman, A. M. Herting, G. P. Cziehso, M. Linder, and R. V. Kübler. 2023. “Human Interaction in the Metaverse: How Avatars Affect Customer Experiences.” Journal of the Academy of Marketing Science 51: 889–913.</w:t>
      </w:r>
    </w:p>
    <w:p>
      <w:pPr>
        <w:spacing w:after="120"/>
        <w:ind w:left="720" w:hanging="720"/>
        <w:jc w:val="both"/>
      </w:pPr>
      <w:r>
        <w:t>Hilken, T., K. de Ruyter, M. Chylinski, D. Mahr, and D. I. Keeling. 2017. “Augmenting the Eye of the Beholder: Exploring the Strategic Potential of Augmented Reality to Enhance Online Service Experiences.” Journal of the Academy of Marketing Science 45 (6): 884–905.</w:t>
      </w:r>
    </w:p>
    <w:p>
      <w:pPr>
        <w:spacing w:after="120"/>
        <w:ind w:left="720" w:hanging="720"/>
        <w:jc w:val="both"/>
      </w:pPr>
      <w:r>
        <w:t>Hoffman, D. L., and T. P. Novak. 1996. “Marketing in Hypermedia Computer-Mediated Environments: Conceptual Foundations.” Journal of Marketing 60 (3): 50–68.</w:t>
      </w:r>
    </w:p>
    <w:p>
      <w:pPr>
        <w:spacing w:after="120"/>
        <w:ind w:left="720" w:hanging="720"/>
        <w:jc w:val="both"/>
      </w:pPr>
      <w:r>
        <w:t>Hollebeek, L. D., M. S. Glynn, and R. J. Brodie. 2014. “Consumer Brand Engagement in Social Media: Conceptualization, Scale Development and Validation.” Journal of Interactive Marketing 28 (2): 149–165.</w:t>
      </w:r>
    </w:p>
    <w:p>
      <w:pPr>
        <w:spacing w:after="120"/>
        <w:ind w:left="720" w:hanging="720"/>
        <w:jc w:val="both"/>
      </w:pPr>
      <w:r>
        <w:t>Liu, Y., J. Mezei, V. Kostakos, and H. Li. 2017. “Applying Configurational Analysis to IS Behavioural Research: A Methodological Alternative for Modelling Combinatorial Complexities.” Information Systems Journal 27 (1): 59–89.</w:t>
      </w:r>
    </w:p>
    <w:p>
      <w:pPr>
        <w:spacing w:after="120"/>
        <w:ind w:left="720" w:hanging="720"/>
        <w:jc w:val="both"/>
      </w:pPr>
      <w:r>
        <w:t>Nah, F. F.-H., B. Eschenbrenner, and D. DeWester. 2011. “Enhancing Brand Equity Through Flow and Telepresence: A Comparison of 2D and 3D Virtual Worlds.” MIS Quarterly 35 (3): 731–747.</w:t>
      </w:r>
    </w:p>
    <w:p>
      <w:pPr>
        <w:spacing w:after="120"/>
        <w:ind w:left="720" w:hanging="720"/>
        <w:jc w:val="both"/>
      </w:pPr>
      <w:r>
        <w:t>Oliver, R. L. 1980. “A Cognitive Model of the Antecedents and Consequences of Satisfaction Decisions.” Journal of Marketing Research 17 (4): 460–469.</w:t>
      </w:r>
    </w:p>
    <w:p>
      <w:pPr>
        <w:spacing w:after="120"/>
        <w:ind w:left="720" w:hanging="720"/>
        <w:jc w:val="both"/>
      </w:pPr>
      <w:r>
        <w:t>Park, Y., P. C. Fiss, and O. A. El Sawy. 2020. “Knowing Well, Being Well: Configurations of Information Processing in Digital Strategy.” MIS Quarterly 44 (4): 2023–2052.</w:t>
      </w:r>
    </w:p>
    <w:p>
      <w:pPr>
        <w:spacing w:after="120"/>
        <w:ind w:left="720" w:hanging="720"/>
        <w:jc w:val="both"/>
      </w:pPr>
      <w:r>
        <w:t>Przybylski, A. K., C. S. Rigby, and R. M. Ryan. 2010. “A Motivational Model of Video Game Engagement.” Review of General Psychology 14 (2): 154–166.</w:t>
      </w:r>
    </w:p>
    <w:p>
      <w:pPr>
        <w:spacing w:after="120"/>
        <w:ind w:left="720" w:hanging="720"/>
        <w:jc w:val="both"/>
      </w:pPr>
      <w:r>
        <w:t>Ragin, C. C. 2008. Redesigning Social Inquiry: Fuzzy Sets and Beyond. Chicago: University of Chicago Press.</w:t>
      </w:r>
    </w:p>
    <w:p>
      <w:pPr>
        <w:spacing w:after="120"/>
        <w:ind w:left="720" w:hanging="720"/>
        <w:jc w:val="both"/>
      </w:pPr>
      <w:r>
        <w:t>Rigby, S., and R. M. Ryan. 2011. Glued to Games: How Video Games Draw Us In and Hold Us Spellbound. Santa Barbara, CA: Praeger.</w:t>
      </w:r>
    </w:p>
    <w:p>
      <w:pPr>
        <w:spacing w:after="120"/>
        <w:ind w:left="720" w:hanging="720"/>
        <w:jc w:val="both"/>
      </w:pPr>
      <w:r>
        <w:t>Roca, J. C., and M. Gagné. 2008. “Understanding E-learning Continuance Intention in the Workplace: A Self-Determination Theory Perspective.” Computers in Human Behavior 24 (4): 1585–1604.</w:t>
      </w:r>
    </w:p>
    <w:p>
      <w:pPr>
        <w:spacing w:after="120"/>
        <w:ind w:left="720" w:hanging="720"/>
        <w:jc w:val="both"/>
      </w:pPr>
      <w:r>
        <w:t>Ryan, R. M., C. S. Rigby, and A. Przybylski. 2006. “The Motivational Pull of Video Games: A Self-Determination Theory Approach.” Motivation and Emotion 30 (4): 344–360.</w:t>
      </w:r>
    </w:p>
    <w:p>
      <w:pPr>
        <w:spacing w:after="120"/>
        <w:ind w:left="720" w:hanging="720"/>
        <w:jc w:val="both"/>
      </w:pPr>
      <w:r>
        <w:t>Ryan, R. M., and E. L. Deci. 2000. “Self-Determination Theory and the Facilitation of Intrinsic Motivation, Social Development, and Well-Being.” American Psychologist 55 (1): 68–78.</w:t>
      </w:r>
    </w:p>
    <w:p>
      <w:pPr>
        <w:spacing w:after="120"/>
        <w:ind w:left="720" w:hanging="720"/>
        <w:jc w:val="both"/>
      </w:pPr>
      <w:r>
        <w:t>Steuer, J. 1992. “Defining Virtual Reality: Dimensions Determining Telepresence.” Journal of Communication 42 (4): 73–93.</w:t>
      </w:r>
    </w:p>
    <w:p>
      <w:pPr>
        <w:spacing w:after="120"/>
        <w:ind w:left="720" w:hanging="720"/>
        <w:jc w:val="both"/>
      </w:pPr>
      <w:r>
        <w:t>Suh, K.-S., H. Kim, and E. K. Suh. 2011. “What If Your Avatar Looks Like You? Dual-Congruity Perspectives for Avatar Use.” MIS Quarterly 35 (3): 711–729.</w:t>
      </w:r>
    </w:p>
    <w:p>
      <w:pPr>
        <w:spacing w:after="120"/>
        <w:ind w:left="720" w:hanging="720"/>
        <w:jc w:val="both"/>
      </w:pPr>
      <w:r>
        <w:t>Van Doorn, J., K. N. Lemon, V. Mittal, S. Nass, D. Pick, P. Pirner, and P. C. Verhoef. 2010. “Customer Engagement Behavior: Theoretical Foundations and Research Directions.” Journal of Service Research 13 (3): 253–266.</w:t>
      </w:r>
    </w:p>
    <w:p>
      <w:pPr>
        <w:spacing w:after="120"/>
        <w:ind w:left="720" w:hanging="720"/>
        <w:jc w:val="both"/>
      </w:pPr>
      <w:r>
        <w:t>Woodside, A. G. 2013. “Moving Beyond Multiple Regression Analysis to Algorithms: Calling for Adoption of a Paradigm Shift from Symmetric to Asymmetric Thinking in Data Analysis and Crafting Theory.” Journal of Business Research 66 (4): 463–472.</w:t>
      </w:r>
    </w:p>
    <w:p>
      <w:pPr>
        <w:spacing w:after="120"/>
        <w:ind w:left="720" w:hanging="720"/>
        <w:jc w:val="both"/>
      </w:pPr>
      <w:r>
        <w:t>van Kerrebroeck, H., M. Brengman, and K. Willems. 2017. “Escaping the Crowd: An Experimental Study on the Impact of a Virtual Reality Experience in a Shopping Mall.” Computers in Human Behavior 77: 437–450.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