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Survey Instrument and Data Dictionary</w:t>
        <w:br/>
      </w:r>
      <w:r>
        <w:rPr>
          <w:rFonts w:ascii="Times New Roman" w:hAnsi="Times New Roman"/>
          <w:b/>
          <w:sz w:val="22"/>
        </w:rPr>
        <w:t>Self-Determination Theory in Avatar-Mediated Brand Environments</w:t>
      </w:r>
    </w:p>
    <w:p>
      <w:pPr>
        <w:jc w:val="both"/>
      </w:pPr>
      <w:r>
        <w:rPr>
          <w:rFonts w:ascii="Times New Roman" w:hAnsi="Times New Roman"/>
          <w:sz w:val="22"/>
        </w:rPr>
        <w:t>All construct items use a 7-point Likert scale: 1 = strongly disagree, 2 = disagree, 3 = somewhat disagree, 4 = neutral, 5 = somewhat agree, 6 = agree, 7 = strongly agree. The brand named in S5 is piped into every item in place of “this brand.” Present construct blocks after the screening and demographic sections; randomize item order within each block.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Section A. Screening and 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6048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024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Response / Logic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S1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Are you 18 years of age or older?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Yes / No  (terminate if No)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S2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Have you used Roblox, Decentraland, or The Sandbox in the past 6 months?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Yes / No  (terminate if No)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S3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 the past 6 months, have you taken part in at least one brand-related activity on these platforms (visited a branded world, attended a branded event, or bought branded virtual items)?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Yes / No  (terminate if No)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S4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Which best describes your MAIN activity on these platforms?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Gaming / NFT or digital-asset trading / Social interaction &amp; content creation / Content creation / Virtual events  (used for stratification)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S5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Please name the one brand whose virtual/metaverse experience you will keep in mind while answering.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Open text  (piped into all item wording as “this brand”)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sz w:val="24"/>
        </w:rPr>
        <w:t>Section B. Demographics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3744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5328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Response options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D1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Gender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Male / Female / Prefer to self-describe / Prefer not to say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D2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Age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18–22 / 23–28 / 29–34 / 35–41 / 42–45 / 46+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D3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Marital status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Single / Married with children / Married without children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D4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Occupation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Student / Job (salaried) / Business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D5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Monthly family income (INR)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≤ 30,000 / 30,001–50,000 / 50,001–80,000 / ≥ 80,001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D6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Metaverse engagement frequency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Daily / Several times a week / Weekly / Monthly / Rarely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D7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NFT interaction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D8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Virtual event participation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D9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Social interaction / content creation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sz w:val="24"/>
        </w:rPr>
        <w:t>Section C. Construct Items (reflective; 7-point Likert)</w:t>
      </w:r>
    </w:p>
    <w:p>
      <w:pPr>
        <w:jc w:val="both"/>
      </w:pPr>
      <w:r>
        <w:rPr>
          <w:rFonts w:ascii="Times New Roman" w:hAnsi="Times New Roman"/>
          <w:sz w:val="22"/>
        </w:rPr>
        <w:t>User Engagement (UE) = UES_1–UES_10; User Experience (UX) = MVCX_1–MVCX_10; Brand Satisfaction (BSAT) = MBS_1–MBS_5; Brand Success (BSUC) = MBSU_1–MBSU_4.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464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Item wording</w:t>
            </w:r>
          </w:p>
        </w:tc>
        <w:tc>
          <w:tcPr>
            <w:tcW w:type="dxa" w:w="1008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Construct</w:t>
            </w:r>
          </w:p>
        </w:tc>
        <w:tc>
          <w:tcPr>
            <w:tcW w:type="dxa" w:w="2016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SDT need / facet</w:t>
            </w:r>
          </w:p>
        </w:tc>
        <w:tc>
          <w:tcPr>
            <w:tcW w:type="dxa" w:w="2304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Source scale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UES_1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When I am in this brand’s virtual space, I think carefully about the brand and what it offers.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Cognitive (competence-related)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Hollebeek, Glynn &amp; Brodie (2014); Brodie et al. (2011)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UES_2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Interacting with this brand in the metaverse gets me to think deeply about it.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Cognitive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Hollebeek et al. (2014)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UES_3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 feel positive when I engage with this brand’s avatar-mediated experiences.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Emotional (affection)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Hollebeek et al. (2014)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UES_4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Spending time in this brand’s virtual space makes me feel enthusiastic.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Emotional (affection)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Hollebeek et al. (2014)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UES_5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 devote a lot of my online time to this brand’s virtual experiences.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Behavioural (activation)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Hollebeek et al. (2014); Brodie et al. (2011)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UES_6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Whenever I use immersive platforms, I usually seek out this brand’s spaces or events.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Behavioural (activation)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Brodie et al. (2011)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UES_7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 can freely choose how I explore and interact within this brand’s virtual space.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Autonomy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Ryan, Rigby &amp; Przybylski (2006); Deci &amp; Ryan (2000)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UES_8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 feel capable and effective when using the features of this brand’s virtual environment.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Competence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Ryan, Rigby &amp; Przybylski (2006)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UES_9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 feel connected to other users when I take part in this brand’s virtual activities.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Relatedness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Ryan, Rigby &amp; Przybylski (2006); Deci &amp; Ryan (2000)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UES_10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Being part of this brand’s virtual community matters to me.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Relatedness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Deci &amp; Ryan (2000)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MVCX_1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When I am in this brand’s virtual environment, I feel completely absorbed in it.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UX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Immersion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Nah, Eschenbrenner &amp; DeWester (2011); Hassenzahl &amp; Tractinsky (2006)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MVCX_2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 feel as if I am really ‘present’ inside this brand’s virtual space rather than just viewing a screen.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UX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Presence (telepresence)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Steuer (1992); Nah et al. (2011)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MVCX_3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The virtual environment makes me feel as though I am in a real place.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UX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Presence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Steuer (1992)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MVCX_4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Interacting with this brand’s virtual space is enjoyable.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UX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Enjoyment (autonomy-supportive)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Brakus, Schmitt &amp; Zarantonello (2009)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MVCX_5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 find the experience in this brand’s metaverse environment fun and entertaining.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UX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Enjoyment (affective)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Brakus et al. (2009)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MVCX_6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This brand’s virtual environment is easy to navigate and use.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UX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Usability (competence)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Hassenzahl &amp; Tractinsky (2006)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MVCX_7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Learning to interact within this brand’s virtual space was easy for me.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UX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Usability (competence)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Hassenzahl &amp; Tractinsky (2006)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MVCX_8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 can express myself the way I want through my avatar and the choices I make in this space.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UX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Autonomy (self-expression)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Suh, Kim &amp; Suh (2011); Deci &amp; Ryan (2000)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MVCX_9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This brand’s virtual environment is visually and sensorily appealing.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UX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Sensory/aesthetic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Brakus et al. (2009)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MVCX_10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The environment lets me interact richly and in real time with others.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UX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Social presence (relatedness)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Hennig-Thurau et al. (2023); Deci &amp; Ryan (2000)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MBS_1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Overall, I am satisfied with this brand’s presence in virtual / metaverse environments.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BSAT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Evaluative (cumulative)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Oliver (1980); Bhattacherjee (2001)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MBS_2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My experiences with this brand’s virtual spaces have met my expectations.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BSAT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Expectation-confirmation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Bhattacherjee (2001)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MBS_3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This brand’s avatar-mediated experiences come close to my idea of an ideal virtual brand experience.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BSAT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Comparison to ideal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Oliver (1980)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MBS_4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 am pleased with my overall experience of this brand in the metaverse.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BSAT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Affective evaluation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Oliver (1980)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MBS_5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Choosing to engage with this brand in virtual environments was a wise decision.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BSAT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Evaluative judgment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Bhattacherjee (2001)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MBSU_1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 intend to keep visiting this brand’s virtual spaces in the future.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BSUC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Continuance intention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Bhattacherjee (2001)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MBSU_2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 am willing to purchase this brand’s virtual or physical offerings linked to its metaverse experiences.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BSUC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Purchase intention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Animesh et al. (2011)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MBSU_3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 would recommend this brand’s virtual experience to others.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BSUC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Advocacy (WOM)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Hollebeek et al. (2014)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MBSU_4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 would say positive things about this brand based on its virtual experiences.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BSUC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Advocacy / loyalty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Brodie et al. (2011)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sz w:val="24"/>
        </w:rPr>
        <w:t>Section D. Attention / Quality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08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5472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56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ATT_1</w:t>
            </w:r>
          </w:p>
        </w:tc>
        <w:tc>
          <w:tcPr>
            <w:tcW w:type="dxa" w:w="54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For quality purposes, please select ‘Agree’ (point 6) for this item.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Embedded after the UX block; drop respondents who miss it.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ATT_2</w:t>
            </w:r>
          </w:p>
        </w:tc>
        <w:tc>
          <w:tcPr>
            <w:tcW w:type="dxa" w:w="54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 have never used the internet in my life.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Reverse-logic check; flag respondents who agree.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sz w:val="24"/>
        </w:rPr>
        <w:t>Section E. Survey Flow</w:t>
      </w:r>
    </w:p>
    <w:p>
      <w:pPr>
        <w:ind w:left="360"/>
      </w:pPr>
      <w:r>
        <w:rPr>
          <w:rFonts w:ascii="Times New Roman" w:hAnsi="Times New Roman"/>
          <w:sz w:val="22"/>
        </w:rPr>
        <w:t>1. Consent + S1–S3 eligibility screening (terminate ineligible respondents).</w:t>
      </w:r>
    </w:p>
    <w:p>
      <w:pPr>
        <w:ind w:left="360"/>
      </w:pPr>
      <w:r>
        <w:rPr>
          <w:rFonts w:ascii="Times New Roman" w:hAnsi="Times New Roman"/>
          <w:sz w:val="22"/>
        </w:rPr>
        <w:t>2. S4 activity type (stratification) and S5 focal-brand capture (piped text).</w:t>
      </w:r>
    </w:p>
    <w:p>
      <w:pPr>
        <w:ind w:left="360"/>
      </w:pPr>
      <w:r>
        <w:rPr>
          <w:rFonts w:ascii="Times New Roman" w:hAnsi="Times New Roman"/>
          <w:sz w:val="22"/>
        </w:rPr>
        <w:t>3. Demographics (D1–D9).</w:t>
      </w:r>
    </w:p>
    <w:p>
      <w:pPr>
        <w:ind w:left="360"/>
      </w:pPr>
      <w:r>
        <w:rPr>
          <w:rFonts w:ascii="Times New Roman" w:hAnsi="Times New Roman"/>
          <w:sz w:val="22"/>
        </w:rPr>
        <w:t>4. UE block (10 items, randomized order).</w:t>
      </w:r>
    </w:p>
    <w:p>
      <w:pPr>
        <w:ind w:left="360"/>
      </w:pPr>
      <w:r>
        <w:rPr>
          <w:rFonts w:ascii="Times New Roman" w:hAnsi="Times New Roman"/>
          <w:sz w:val="22"/>
        </w:rPr>
        <w:t>5. UX block (10 items, randomized order) + ATT_1 embedded.</w:t>
      </w:r>
    </w:p>
    <w:p>
      <w:pPr>
        <w:ind w:left="360"/>
      </w:pPr>
      <w:r>
        <w:rPr>
          <w:rFonts w:ascii="Times New Roman" w:hAnsi="Times New Roman"/>
          <w:sz w:val="22"/>
        </w:rPr>
        <w:t>6. BSAT block (5 items, randomized order).</w:t>
      </w:r>
    </w:p>
    <w:p>
      <w:pPr>
        <w:ind w:left="360"/>
      </w:pPr>
      <w:r>
        <w:rPr>
          <w:rFonts w:ascii="Times New Roman" w:hAnsi="Times New Roman"/>
          <w:sz w:val="22"/>
        </w:rPr>
        <w:t>7. BSUC block (4 items, randomized order) + ATT_2 embedded.</w:t>
      </w:r>
    </w:p>
    <w:p>
      <w:pPr>
        <w:ind w:left="360"/>
      </w:pPr>
      <w:r>
        <w:rPr>
          <w:rFonts w:ascii="Times New Roman" w:hAnsi="Times New Roman"/>
          <w:sz w:val="22"/>
        </w:rPr>
        <w:t>8. Thank-you and submission timestamp recorded for speed checks.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Section F. Data Dictionary (expected file layout)</w:t>
      </w:r>
    </w:p>
    <w:p>
      <w:pPr>
        <w:jc w:val="both"/>
      </w:pPr>
      <w:r>
        <w:rPr>
          <w:rFonts w:ascii="Times New Roman" w:hAnsi="Times New Roman"/>
          <w:sz w:val="22"/>
        </w:rPr>
        <w:t>One row per respondent. Column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320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Column(s)</w:t>
            </w:r>
          </w:p>
        </w:tc>
        <w:tc>
          <w:tcPr>
            <w:tcW w:type="dxa" w:w="1728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888"/>
            <w:shd w:val="clear" w:color="auto" w:fill="2E549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Respondent_ID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Integer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Unique ID (1..N)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Gender, Age, Marital, Occupation, Income, EngageFreq, NFT, VirtualEvent, SocialCC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Categorical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Demographic variables D1–D9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ActivityStratum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Categorical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From S4 (gaming / NFT / social / content / events)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FocalBrand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From S5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UES_1 … UES_10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Integer 1–7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User Engagement items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MVCX_1 … MVCX_10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Integer 1–7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User Experience items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MBS_1 … MBS_5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Integer 1–7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Brand Satisfaction items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MBSU_1 … MBSU_4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Integer 1–7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Brand Success items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ATT_1, ATT_2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Integer 1–7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Attention checks (used to screen, then dropped)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DurationSec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Integer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Completion time for speed screening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sz w:val="24"/>
        </w:rPr>
        <w:t>Section G. Post-Collection Cleaning Checklist</w:t>
      </w:r>
    </w:p>
    <w:p>
      <w:pPr>
        <w:ind w:left="360"/>
      </w:pPr>
      <w:r>
        <w:rPr>
          <w:rFonts w:ascii="Times New Roman" w:hAnsi="Times New Roman"/>
          <w:sz w:val="22"/>
        </w:rPr>
        <w:t>Remove respondents failing ATT_1 or agreeing with ATT_2.</w:t>
      </w:r>
    </w:p>
    <w:p>
      <w:pPr>
        <w:ind w:left="360"/>
      </w:pPr>
      <w:r>
        <w:rPr>
          <w:rFonts w:ascii="Times New Roman" w:hAnsi="Times New Roman"/>
          <w:sz w:val="22"/>
        </w:rPr>
        <w:t>Remove straight-lining (near-zero within-respondent variance across items).</w:t>
      </w:r>
    </w:p>
    <w:p>
      <w:pPr>
        <w:ind w:left="360"/>
      </w:pPr>
      <w:r>
        <w:rPr>
          <w:rFonts w:ascii="Times New Roman" w:hAnsi="Times New Roman"/>
          <w:sz w:val="22"/>
        </w:rPr>
        <w:t>Remove implausibly fast completions (e.g., &lt; 1/3 of median DurationSec).</w:t>
      </w:r>
    </w:p>
    <w:p>
      <w:pPr>
        <w:ind w:left="360"/>
      </w:pPr>
      <w:r>
        <w:rPr>
          <w:rFonts w:ascii="Times New Roman" w:hAnsi="Times New Roman"/>
          <w:sz w:val="22"/>
        </w:rPr>
        <w:t>Confirm all items are 1–7 with no out-of-range or missing values.</w:t>
      </w:r>
    </w:p>
    <w:p>
      <w:pPr>
        <w:ind w:left="360"/>
      </w:pPr>
      <w:r>
        <w:rPr>
          <w:rFonts w:ascii="Times New Roman" w:hAnsi="Times New Roman"/>
          <w:sz w:val="22"/>
        </w:rPr>
        <w:t>Report N before and after screening, with exclusion reasons.</w:t>
      </w:r>
    </w:p>
    <w:p>
      <w:pPr>
        <w:ind w:left="360"/>
      </w:pPr>
      <w:r>
        <w:rPr>
          <w:rFonts w:ascii="Times New Roman" w:hAnsi="Times New Roman"/>
          <w:sz w:val="22"/>
        </w:rPr>
        <w:t>Do NOT edit, weight, or impute responses to fit expected results.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