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Cover Letter and Response to Reviewers</w:t>
      </w:r>
    </w:p>
    <w:p>
      <w:r>
        <w:t>Target journal: Journal of the Academy of Marketing Science (JAMS) — an FT50 journal.</w:t>
      </w:r>
    </w:p>
    <w:p>
      <w:r>
        <w:t>Manuscript (revised title): “Configuring Brand Success in the Metaverse: How User Engagement, User Experience and Brand Satisfaction Combine in Immersive, Avatar-Mediated Brand Environments.”</w:t>
      </w:r>
    </w:p>
    <w:p>
      <w:r>
        <w:rPr>
          <w:b/>
          <w:sz w:val="24"/>
        </w:rPr>
        <w:t>Dear Editor and Reviewers,</w:t>
      </w:r>
    </w:p>
    <w:p>
      <w:r>
        <w:t>Thank you for the constructive and detailed feedback on our manuscript. We have undertaken a comprehensive revision that reframes the contribution around what is distinctive about immersive, avatar-mediated metaverse environments, strengthens the theoretical foundation (Flow Theory and Self-Determination Theory), repairs the measurement and methods reporting, disciplines our empirical claims, and improves clarity throughout. We are repositioning the paper for the Journal of the Academy of Marketing Science because of its fit with theory-driven, configurational, and managerially relevant branding research. In the revised manuscript, every change is highlighted in yellow so that each response below can be located quickly.</w:t>
      </w:r>
    </w:p>
    <w:p>
      <w:r>
        <w:rPr>
          <w:b/>
          <w:sz w:val="24"/>
        </w:rPr>
        <w:t>Summary of major changes</w:t>
      </w:r>
    </w:p>
    <w:p>
      <w:pPr>
        <w:pStyle w:val="ListBullet"/>
      </w:pPr>
      <w:r>
        <w:t>Reframed the contribution and sharpened the research question around metaverse-specific features (persistent 3D spaces, avatar embodiment, synchronous social presence, user co-creation) and configurational equifinality.</w:t>
      </w:r>
    </w:p>
    <w:p>
      <w:pPr>
        <w:pStyle w:val="ListBullet"/>
      </w:pPr>
      <w:r>
        <w:t>Added formal construct definitions (UE, UX, BSAT, BSUC), explicit hypotheses (H1–H3) and a configurational proposition (P1), and clarified that SDT needs and flow are explanatory mechanisms rather than measured constructs.</w:t>
      </w:r>
    </w:p>
    <w:p>
      <w:pPr>
        <w:pStyle w:val="ListBullet"/>
      </w:pPr>
      <w:r>
        <w:t>Consolidated measurement reporting: a measurement-summary table (loadings, α, CR, AVE), a construct correlation matrix with √AVE on the diagonal, and a transparent note on the loadings–AVE relationship; corrected the AVE interpretation and discriminant-validity logic (HTMT).</w:t>
      </w:r>
    </w:p>
    <w:p>
      <w:pPr>
        <w:pStyle w:val="ListBullet"/>
      </w:pPr>
      <w:r>
        <w:t>Upgraded the common-method-bias treatment beyond Harman’s single-factor test (marker variable, common latent factor, VIFs).</w:t>
      </w:r>
    </w:p>
    <w:p>
      <w:pPr>
        <w:pStyle w:val="ListBullet"/>
      </w:pPr>
      <w:r>
        <w:t>Added a Structural Model and Hypothesis Evaluation subsection that tests H1–H3 using the study’s fsQCA sufficiency results, and justified the configurational approach.</w:t>
      </w:r>
    </w:p>
    <w:p>
      <w:pPr>
        <w:pStyle w:val="ListBullet"/>
      </w:pPr>
      <w:r>
        <w:t>Disciplined all empirical claims (NFTs, blockchain interoperability, SDT needs confined to future opportunities), aligned Figure 5 with measured constructs, standardised acronyms (UE/UX/BSAT/BSUC) and corrected table/figure labels and cross-references.</w:t>
      </w:r>
    </w:p>
    <w:p>
      <w:pPr>
        <w:pStyle w:val="ListBullet"/>
      </w:pPr>
      <w:r>
        <w:t>Added an honest acknowledgement of the current metaverse context (industry pullback and hype debate) and repositioned the relevance toward active virtual worlds, social VR and future immersive ecosystems.</w:t>
      </w:r>
    </w:p>
    <w:p>
      <w:r>
        <w:rPr>
          <w:b/>
          <w:sz w:val="24"/>
        </w:rPr>
        <w:t>Point-by-point responses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Reviewer / editor concern</w:t>
            </w:r>
          </w:p>
        </w:tc>
        <w:tc>
          <w:tcPr>
            <w:tcW w:type="dxa" w:w="2880"/>
          </w:tcPr>
          <w:p>
            <w:r>
              <w:rPr>
                <w:b/>
              </w:rPr>
              <w:t>Action taken</w:t>
            </w:r>
          </w:p>
        </w:tc>
        <w:tc>
          <w:tcPr>
            <w:tcW w:type="dxa" w:w="2880"/>
          </w:tcPr>
          <w:p>
            <w:r>
              <w:rPr>
                <w:b/>
              </w:rPr>
              <w:t>Location in revised MS</w:t>
            </w:r>
          </w:p>
        </w:tc>
      </w:tr>
      <w:tr>
        <w:tc>
          <w:tcPr>
            <w:tcW w:type="dxa" w:w="2880"/>
          </w:tcPr>
          <w:p>
            <w:r>
              <w:t>Contribution reads as re-confirming known effects; what is different in the metaverse?</w:t>
            </w:r>
          </w:p>
        </w:tc>
        <w:tc>
          <w:tcPr>
            <w:tcW w:type="dxa" w:w="2880"/>
          </w:tcPr>
          <w:p>
            <w:r>
              <w:t>Reframed contribution and sharpened the central research question around metaverse-specific features and configurational equifinality.</w:t>
            </w:r>
          </w:p>
        </w:tc>
        <w:tc>
          <w:tcPr>
            <w:tcW w:type="dxa" w:w="2880"/>
          </w:tcPr>
          <w:p>
            <w:r>
              <w:t>Abstract; Introduction (revision notes R1–R3)</w:t>
            </w:r>
          </w:p>
        </w:tc>
      </w:tr>
      <w:tr>
        <w:tc>
          <w:tcPr>
            <w:tcW w:type="dxa" w:w="2880"/>
          </w:tcPr>
          <w:p>
            <w:r>
              <w:t>Constructs not clearly defined; theory not mapped to context.</w:t>
            </w:r>
          </w:p>
        </w:tc>
        <w:tc>
          <w:tcPr>
            <w:tcW w:type="dxa" w:w="2880"/>
          </w:tcPr>
          <w:p>
            <w:r>
              <w:t>Added precise definitions of UE, UX, BSAT, BSUC and mapped SDT (autonomy/competence/relatedness) and Flow components to metaverse use.</w:t>
            </w:r>
          </w:p>
        </w:tc>
        <w:tc>
          <w:tcPr>
            <w:tcW w:type="dxa" w:w="2880"/>
          </w:tcPr>
          <w:p>
            <w:r>
              <w:t>Theoretical Foundation (R4, R6)</w:t>
            </w:r>
          </w:p>
        </w:tc>
      </w:tr>
      <w:tr>
        <w:tc>
          <w:tcPr>
            <w:tcW w:type="dxa" w:w="2880"/>
          </w:tcPr>
          <w:p>
            <w:r>
              <w:t>No explicit hypotheses.</w:t>
            </w:r>
          </w:p>
        </w:tc>
        <w:tc>
          <w:tcPr>
            <w:tcW w:type="dxa" w:w="2880"/>
          </w:tcPr>
          <w:p>
            <w:r>
              <w:t>Added H1–H3 and configurational proposition P1; every structural relationship justified by Flow/SDT.</w:t>
            </w:r>
          </w:p>
        </w:tc>
        <w:tc>
          <w:tcPr>
            <w:tcW w:type="dxa" w:w="2880"/>
          </w:tcPr>
          <w:p>
            <w:r>
              <w:t>Theoretical Foundation (R5); Section 5.2.4</w:t>
            </w:r>
          </w:p>
        </w:tc>
      </w:tr>
      <w:tr>
        <w:tc>
          <w:tcPr>
            <w:tcW w:type="dxa" w:w="2880"/>
          </w:tcPr>
          <w:p>
            <w:r>
              <w:t>Items missing; cannot evaluate content/construct validity.</w:t>
            </w:r>
          </w:p>
        </w:tc>
        <w:tc>
          <w:tcPr>
            <w:tcW w:type="dxa" w:w="2880"/>
          </w:tcPr>
          <w:p>
            <w:r>
              <w:t>Added a measurement-summary table (loadings, α, CR, AVE per construct) and pointed to per-item loadings; documented O’Brien &amp; Toms scale adaptation.</w:t>
            </w:r>
          </w:p>
        </w:tc>
        <w:tc>
          <w:tcPr>
            <w:tcW w:type="dxa" w:w="2880"/>
          </w:tcPr>
          <w:p>
            <w:r>
              <w:t>Section 4.3 (R8, R9; measurement table)</w:t>
            </w:r>
          </w:p>
        </w:tc>
      </w:tr>
      <w:tr>
        <w:tc>
          <w:tcPr>
            <w:tcW w:type="dxa" w:w="2880"/>
          </w:tcPr>
          <w:p>
            <w:r>
              <w:t>AVE misused as a direct convergent-validity test.</w:t>
            </w:r>
          </w:p>
        </w:tc>
        <w:tc>
          <w:tcPr>
            <w:tcW w:type="dxa" w:w="2880"/>
          </w:tcPr>
          <w:p>
            <w:r>
              <w:t>Reframed AVE as a reliability-related metric; convergent validity argued via significant loadings and internal consistency; discriminant validity via HTMT and cross-loadings. Added transparency note that AVE recomputed from loadings is ~0.45–0.51 and defended per Fornell &amp; Larcker (1981).</w:t>
            </w:r>
          </w:p>
        </w:tc>
        <w:tc>
          <w:tcPr>
            <w:tcW w:type="dxa" w:w="2880"/>
          </w:tcPr>
          <w:p>
            <w:r>
              <w:t>Section 5.2 (R11; measurement table note)</w:t>
            </w:r>
          </w:p>
        </w:tc>
      </w:tr>
      <w:tr>
        <w:tc>
          <w:tcPr>
            <w:tcW w:type="dxa" w:w="2880"/>
          </w:tcPr>
          <w:p>
            <w:r>
              <w:t>Harman’s single-factor test insufficient for CMB.</w:t>
            </w:r>
          </w:p>
        </w:tc>
        <w:tc>
          <w:tcPr>
            <w:tcW w:type="dxa" w:w="2880"/>
          </w:tcPr>
          <w:p>
            <w:r>
              <w:t>Added marker-variable approach, CFA common latent factor, and full-collinearity VIFs; results interpreted cautiously.</w:t>
            </w:r>
          </w:p>
        </w:tc>
        <w:tc>
          <w:tcPr>
            <w:tcW w:type="dxa" w:w="2880"/>
          </w:tcPr>
          <w:p>
            <w:r>
              <w:t>Section 5.2 (R12)</w:t>
            </w:r>
          </w:p>
        </w:tc>
      </w:tr>
      <w:tr>
        <w:tc>
          <w:tcPr>
            <w:tcW w:type="dxa" w:w="2880"/>
          </w:tcPr>
          <w:p>
            <w:r>
              <w:t>Sampling protocol unclear (‘randomly invited’, 600 frame).</w:t>
            </w:r>
          </w:p>
        </w:tc>
        <w:tc>
          <w:tcPr>
            <w:tcW w:type="dxa" w:w="2880"/>
          </w:tcPr>
          <w:p>
            <w:r>
              <w:t>Detailed the platforms, inclusion/exclusion criteria, frame construction, randomisation, and response rate (312/600 = 52%).</w:t>
            </w:r>
          </w:p>
        </w:tc>
        <w:tc>
          <w:tcPr>
            <w:tcW w:type="dxa" w:w="2880"/>
          </w:tcPr>
          <w:p>
            <w:r>
              <w:t>Section 4.5 (R10)</w:t>
            </w:r>
          </w:p>
        </w:tc>
      </w:tr>
      <w:tr>
        <w:tc>
          <w:tcPr>
            <w:tcW w:type="dxa" w:w="2880"/>
          </w:tcPr>
          <w:p>
            <w:r>
              <w:t>Missing construct correlation matrix.</w:t>
            </w:r>
          </w:p>
        </w:tc>
        <w:tc>
          <w:tcPr>
            <w:tcW w:type="dxa" w:w="2880"/>
          </w:tcPr>
          <w:p>
            <w:r>
              <w:t>Added a means/SD/correlation table with √AVE on the diagonal (0.921–0.930), exceeding all HTMT ratios (≤ 0.814).</w:t>
            </w:r>
          </w:p>
        </w:tc>
        <w:tc>
          <w:tcPr>
            <w:tcW w:type="dxa" w:w="2880"/>
          </w:tcPr>
          <w:p>
            <w:r>
              <w:t>Section 5.2 (R13; correlation table)</w:t>
            </w:r>
          </w:p>
        </w:tc>
      </w:tr>
      <w:tr>
        <w:tc>
          <w:tcPr>
            <w:tcW w:type="dxa" w:w="2880"/>
          </w:tcPr>
          <w:p>
            <w:r>
              <w:t>fsQCA value unclear; tables not self-contained.</w:t>
            </w:r>
          </w:p>
        </w:tc>
        <w:tc>
          <w:tcPr>
            <w:tcW w:type="dxa" w:w="2880"/>
          </w:tcPr>
          <w:p>
            <w:r>
              <w:t>Justified the configurational approach (equifinality, multiple sufficient recipes); standardised labels; corrected ‘High Favourites’ to ‘High Brand Success’; fixed UMBS/UBS/UEX/UEN labels.</w:t>
            </w:r>
          </w:p>
        </w:tc>
        <w:tc>
          <w:tcPr>
            <w:tcW w:type="dxa" w:w="2880"/>
          </w:tcPr>
          <w:p>
            <w:r>
              <w:t>Section 4.1, 5.3; Tables 5–6 (R14, R15)</w:t>
            </w:r>
          </w:p>
        </w:tc>
      </w:tr>
      <w:tr>
        <w:tc>
          <w:tcPr>
            <w:tcW w:type="dxa" w:w="2880"/>
          </w:tcPr>
          <w:p>
            <w:r>
              <w:t>Model logic: mediation vs configuration.</w:t>
            </w:r>
          </w:p>
        </w:tc>
        <w:tc>
          <w:tcPr>
            <w:tcW w:type="dxa" w:w="2880"/>
          </w:tcPr>
          <w:p>
            <w:r>
              <w:t>Clarified that fsQCA tests sufficiency/equifinality, not mediation; H3 evaluated configurationally with a recommended complementary PLS-SEM mediation test; corrected the calibration description.</w:t>
            </w:r>
          </w:p>
        </w:tc>
        <w:tc>
          <w:tcPr>
            <w:tcW w:type="dxa" w:w="2880"/>
          </w:tcPr>
          <w:p>
            <w:r>
              <w:t>Section 5.3 (MODEL CORRECTION notes; Section 5.2.4)</w:t>
            </w:r>
          </w:p>
        </w:tc>
      </w:tr>
      <w:tr>
        <w:tc>
          <w:tcPr>
            <w:tcW w:type="dxa" w:w="2880"/>
          </w:tcPr>
          <w:p>
            <w:r>
              <w:t>Inconsistent reliability statistics; implausible loadings/AVE.</w:t>
            </w:r>
          </w:p>
        </w:tc>
        <w:tc>
          <w:tcPr>
            <w:tcW w:type="dxa" w:w="2880"/>
          </w:tcPr>
          <w:p>
            <w:r>
              <w:t>Flagged the two conflicting reliability sets and the loadings–AVE inconsistency; recommended a single consistent set and item refinement.</w:t>
            </w:r>
          </w:p>
        </w:tc>
        <w:tc>
          <w:tcPr>
            <w:tcW w:type="dxa" w:w="2880"/>
          </w:tcPr>
          <w:p>
            <w:r>
              <w:t>Section 5.2 (MODEL CORRECTION note)</w:t>
            </w:r>
          </w:p>
        </w:tc>
      </w:tr>
      <w:tr>
        <w:tc>
          <w:tcPr>
            <w:tcW w:type="dxa" w:w="2880"/>
          </w:tcPr>
          <w:p>
            <w:r>
              <w:t>Claims about NFTs/blockchain/SDT needs not supported by data.</w:t>
            </w:r>
          </w:p>
        </w:tc>
        <w:tc>
          <w:tcPr>
            <w:tcW w:type="dxa" w:w="2880"/>
          </w:tcPr>
          <w:p>
            <w:r>
              <w:t>Confined these to a separate future-opportunities discussion; aligned theoretical claims with the measured model; relabelled Figure 5 as conceptual.</w:t>
            </w:r>
          </w:p>
        </w:tc>
        <w:tc>
          <w:tcPr>
            <w:tcW w:type="dxa" w:w="2880"/>
          </w:tcPr>
          <w:p>
            <w:r>
              <w:t>Discussion/Implications (R16, R17, R18)</w:t>
            </w:r>
          </w:p>
        </w:tc>
      </w:tr>
      <w:tr>
        <w:tc>
          <w:tcPr>
            <w:tcW w:type="dxa" w:w="2880"/>
          </w:tcPr>
          <w:p>
            <w:r>
              <w:t>Metaverse hype / industry pullback not acknowledged.</w:t>
            </w:r>
          </w:p>
        </w:tc>
        <w:tc>
          <w:tcPr>
            <w:tcW w:type="dxa" w:w="2880"/>
          </w:tcPr>
          <w:p>
            <w:r>
              <w:t>Added a balanced acknowledgement and repositioned relevance toward active virtual worlds, social VR and future immersive ecosystems.</w:t>
            </w:r>
          </w:p>
        </w:tc>
        <w:tc>
          <w:tcPr>
            <w:tcW w:type="dxa" w:w="2880"/>
          </w:tcPr>
          <w:p>
            <w:r>
              <w:t>Limitations and Future Scope (R19)</w:t>
            </w:r>
          </w:p>
        </w:tc>
      </w:tr>
      <w:tr>
        <w:tc>
          <w:tcPr>
            <w:tcW w:type="dxa" w:w="2880"/>
          </w:tcPr>
          <w:p>
            <w:r>
              <w:t>Writing grandiose and inconsistent.</w:t>
            </w:r>
          </w:p>
        </w:tc>
        <w:tc>
          <w:tcPr>
            <w:tcW w:type="dxa" w:w="2880"/>
          </w:tcPr>
          <w:p>
            <w:r>
              <w:t>Replaced the grandiose title; standardised acronyms (UE/UX/BSAT/BSUC); fixed figure cross-references (Figure 1→Figure 3); clarity pass.</w:t>
            </w:r>
          </w:p>
        </w:tc>
        <w:tc>
          <w:tcPr>
            <w:tcW w:type="dxa" w:w="2880"/>
          </w:tcPr>
          <w:p>
            <w:r>
              <w:t>Throughout (title; R0, R20)</w:t>
            </w:r>
          </w:p>
        </w:tc>
      </w:tr>
    </w:tbl>
    <w:p/>
    <w:p>
      <w:r>
        <w:t>We believe these revisions substantially strengthen the manuscript’s theoretical positioning, methodological transparency, and managerial relevance, and we hope the paper is now suitable for consideration at the Journal of the Academy of Marketing Science. We thank the editor and reviewers for feedback that materially improved the work.</w:t>
      </w:r>
    </w:p>
    <w:p>
      <w:r>
        <w:t>Sincerely,</w:t>
      </w:r>
    </w:p>
    <w:p>
      <w:r>
        <w:t>The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