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eastAsia="Times New Roman"/>
          <w:b/>
          <w:i w:val="0"/>
          <w:sz w:val="32"/>
        </w:rPr>
        <w:t>4. Results</w:t>
      </w:r>
    </w:p>
    <w:p>
      <w:pPr>
        <w:jc w:val="both"/>
      </w:pPr>
      <w:r>
        <w:rPr>
          <w:rFonts w:ascii="Times New Roman" w:hAnsi="Times New Roman" w:eastAsia="Times New Roman"/>
          <w:b w:val="0"/>
          <w:i w:val="0"/>
          <w:sz w:val="24"/>
        </w:rPr>
        <w:t>This section reports the empirical results of the two-stage analytical strategy outlined in Section 3. Following recent methodological guidance in the IS literature, we combine a symmetric, variance-based structural equation model (PLS-SEM) with an asymmetric, set-theoretic analysis (fuzzy-set Qualitative Comparative Analysis, fsQCA). PLS-SEM evaluates the net, average effects hypothesised among user engagement (UE), user experience (UX), brand satisfaction (BSAT) and brand success / continuance (BSUC), whereas fsQCA examines whether particular configurations of these conditions are necessary or sufficient for high BSUC. All analyses were conducted on the full sample of N = 312 valid responses measured on seven-point Likert scales, with no missing data. The complete, reproducible analysis pipeline (data screening, calibration, estimation, and 5,000 bootstrap resamples) is available with the supplementary materials.</w:t>
      </w:r>
    </w:p>
    <w:p>
      <w:pPr>
        <w:jc w:val="center"/>
      </w:pPr>
      <w:r>
        <w:drawing>
          <wp:inline xmlns:a="http://schemas.openxmlformats.org/drawingml/2006/main" xmlns:pic="http://schemas.openxmlformats.org/drawingml/2006/picture">
            <wp:extent cx="5760720" cy="3089855"/>
            <wp:docPr id="1" name="Picture 1"/>
            <wp:cNvGraphicFramePr>
              <a:graphicFrameLocks noChangeAspect="1"/>
            </wp:cNvGraphicFramePr>
            <a:graphic>
              <a:graphicData uri="http://schemas.openxmlformats.org/drawingml/2006/picture">
                <pic:pic>
                  <pic:nvPicPr>
                    <pic:cNvPr id="0" name="fig10_workflow_flowchart.png"/>
                    <pic:cNvPicPr/>
                  </pic:nvPicPr>
                  <pic:blipFill>
                    <a:blip r:embed="rId9"/>
                    <a:stretch>
                      <a:fillRect/>
                    </a:stretch>
                  </pic:blipFill>
                  <pic:spPr>
                    <a:xfrm>
                      <a:off x="0" y="0"/>
                      <a:ext cx="5760720" cy="3089855"/>
                    </a:xfrm>
                    <a:prstGeom prst="rect"/>
                  </pic:spPr>
                </pic:pic>
              </a:graphicData>
            </a:graphic>
          </wp:inline>
        </w:drawing>
      </w:r>
    </w:p>
    <w:p>
      <w:pPr>
        <w:spacing w:after="200"/>
        <w:jc w:val="center"/>
      </w:pPr>
      <w:r>
        <w:rPr>
          <w:rFonts w:ascii="Times New Roman" w:hAnsi="Times New Roman" w:eastAsia="Times New Roman"/>
          <w:b w:val="0"/>
          <w:i/>
          <w:sz w:val="22"/>
        </w:rPr>
        <w:t>Figure 10. Two-stage analytical workflow combining PLS-SEM (symmetric) and fsQCA (asymmetric) analysis.</w:t>
      </w:r>
    </w:p>
    <w:p>
      <w:pPr>
        <w:spacing w:before="240" w:after="120"/>
      </w:pPr>
      <w:r>
        <w:rPr>
          <w:rFonts w:ascii="Times New Roman" w:hAnsi="Times New Roman" w:eastAsia="Times New Roman"/>
          <w:b/>
          <w:i w:val="0"/>
          <w:sz w:val="28"/>
        </w:rPr>
        <w:t>4.1 Sample and Item Distributions</w:t>
      </w:r>
    </w:p>
    <w:p>
      <w:pPr>
        <w:jc w:val="both"/>
      </w:pPr>
      <w:r>
        <w:rPr>
          <w:rFonts w:ascii="Times New Roman" w:hAnsi="Times New Roman" w:eastAsia="Times New Roman"/>
          <w:b w:val="0"/>
          <w:i w:val="0"/>
          <w:sz w:val="24"/>
        </w:rPr>
        <w:t>The analytic sample comprised 312 respondents. Each of the four focal constructs was measured with multiple reflective indicators: UE (five items), UX (five items), BSAT (four items), and BSUC (four items). All items used a seven-point response format. Item-level distributions are summarised in Figure 6; responses spanned the full range of the scale (1–7) for every item, and there were no missing values, indicating adequate variability for multivariate analysis.</w:t>
      </w:r>
    </w:p>
    <w:p>
      <w:pPr>
        <w:jc w:val="center"/>
      </w:pPr>
      <w:r>
        <w:drawing>
          <wp:inline xmlns:a="http://schemas.openxmlformats.org/drawingml/2006/main" xmlns:pic="http://schemas.openxmlformats.org/drawingml/2006/picture">
            <wp:extent cx="5760720" cy="2977857"/>
            <wp:docPr id="2" name="Picture 2"/>
            <wp:cNvGraphicFramePr>
              <a:graphicFrameLocks noChangeAspect="1"/>
            </wp:cNvGraphicFramePr>
            <a:graphic>
              <a:graphicData uri="http://schemas.openxmlformats.org/drawingml/2006/picture">
                <pic:pic>
                  <pic:nvPicPr>
                    <pic:cNvPr id="0" name="fig6_item_distributions.png"/>
                    <pic:cNvPicPr/>
                  </pic:nvPicPr>
                  <pic:blipFill>
                    <a:blip r:embed="rId10"/>
                    <a:stretch>
                      <a:fillRect/>
                    </a:stretch>
                  </pic:blipFill>
                  <pic:spPr>
                    <a:xfrm>
                      <a:off x="0" y="0"/>
                      <a:ext cx="5760720" cy="2977857"/>
                    </a:xfrm>
                    <a:prstGeom prst="rect"/>
                  </pic:spPr>
                </pic:pic>
              </a:graphicData>
            </a:graphic>
          </wp:inline>
        </w:drawing>
      </w:r>
    </w:p>
    <w:p>
      <w:pPr>
        <w:spacing w:after="200"/>
        <w:jc w:val="center"/>
      </w:pPr>
      <w:r>
        <w:rPr>
          <w:rFonts w:ascii="Times New Roman" w:hAnsi="Times New Roman" w:eastAsia="Times New Roman"/>
          <w:b w:val="0"/>
          <w:i/>
          <w:sz w:val="22"/>
        </w:rPr>
        <w:t>Figure 6. Response distributions for all 18 measurement items (seven-point Likert).</w:t>
      </w:r>
    </w:p>
    <w:p>
      <w:pPr>
        <w:spacing w:before="240" w:after="120"/>
      </w:pPr>
      <w:r>
        <w:rPr>
          <w:rFonts w:ascii="Times New Roman" w:hAnsi="Times New Roman" w:eastAsia="Times New Roman"/>
          <w:b/>
          <w:i w:val="0"/>
          <w:sz w:val="28"/>
        </w:rPr>
        <w:t>4.2 Assessment of the Measurement Model</w:t>
      </w:r>
    </w:p>
    <w:p>
      <w:pPr>
        <w:jc w:val="both"/>
      </w:pPr>
      <w:r>
        <w:rPr>
          <w:rFonts w:ascii="Times New Roman" w:hAnsi="Times New Roman" w:eastAsia="Times New Roman"/>
          <w:b w:val="0"/>
          <w:i w:val="0"/>
          <w:sz w:val="24"/>
        </w:rPr>
        <w:t>Consistent with established procedures for reflective measurement models, we first examined indicator reliability, internal consistency reliability, convergent validity, and discriminant validity before interpreting the structural model.</w:t>
      </w:r>
    </w:p>
    <w:p>
      <w:pPr>
        <w:spacing w:before="240" w:after="120"/>
      </w:pPr>
      <w:r>
        <w:rPr>
          <w:rFonts w:ascii="Times New Roman" w:hAnsi="Times New Roman" w:eastAsia="Times New Roman"/>
          <w:b/>
          <w:i w:val="0"/>
          <w:sz w:val="24"/>
        </w:rPr>
        <w:t>4.2.1 Indicator Reliability and Convergent Validity</w:t>
      </w:r>
    </w:p>
    <w:p>
      <w:pPr>
        <w:jc w:val="both"/>
      </w:pPr>
      <w:r>
        <w:rPr>
          <w:rFonts w:ascii="Times New Roman" w:hAnsi="Times New Roman" w:eastAsia="Times New Roman"/>
          <w:b w:val="0"/>
          <w:i w:val="0"/>
          <w:sz w:val="24"/>
        </w:rPr>
        <w:t>As shown in Table 1 and Figure 2, all standardised outer loadings ranged from 0.831 to 0.946, comfortably exceeding the recommended threshold of 0.708. Composite reliability (ρc) ranged from 0.929 to 0.942 and Cronbach’s α from 0.902 to 0.934, both well above the 0.70 criterion. The average variance extracted (AVE) ranged from 0.764 to 0.786, exceeding the 0.50 benchmark for every construct. The measurement instrument therefore demonstrates strong indicator reliability, internal consistency, and convergent validity.</w:t>
      </w:r>
    </w:p>
    <w:p>
      <w:pPr>
        <w:jc w:val="both"/>
      </w:pPr>
      <w:r>
        <w:rPr>
          <w:rFonts w:ascii="Times New Roman" w:hAnsi="Times New Roman" w:eastAsia="Times New Roman"/>
          <w:b/>
          <w:i w:val="0"/>
          <w:sz w:val="24"/>
        </w:rPr>
        <w:t>Table 1. Construct reliability and convergent validity.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Times New Roman"/>
                <w:b/>
                <w:i w:val="0"/>
                <w:sz w:val="22"/>
              </w:rPr>
              <w:t>Construct</w:t>
            </w:r>
          </w:p>
        </w:tc>
        <w:tc>
          <w:tcPr>
            <w:tcW w:type="dxa" w:w="1728"/>
          </w:tcPr>
          <w:p>
            <w:pPr>
              <w:jc w:val="center"/>
            </w:pPr>
            <w:r/>
            <w:r>
              <w:rPr>
                <w:rFonts w:ascii="Times New Roman" w:hAnsi="Times New Roman" w:eastAsia="Times New Roman"/>
                <w:b/>
                <w:i w:val="0"/>
                <w:sz w:val="22"/>
              </w:rPr>
              <w:t>Items</w:t>
            </w:r>
          </w:p>
        </w:tc>
        <w:tc>
          <w:tcPr>
            <w:tcW w:type="dxa" w:w="1728"/>
          </w:tcPr>
          <w:p>
            <w:pPr>
              <w:jc w:val="center"/>
            </w:pPr>
            <w:r/>
            <w:r>
              <w:rPr>
                <w:rFonts w:ascii="Times New Roman" w:hAnsi="Times New Roman" w:eastAsia="Times New Roman"/>
                <w:b/>
                <w:i w:val="0"/>
                <w:sz w:val="22"/>
              </w:rPr>
              <w:t>Cronbach's α</w:t>
            </w:r>
          </w:p>
        </w:tc>
        <w:tc>
          <w:tcPr>
            <w:tcW w:type="dxa" w:w="1728"/>
          </w:tcPr>
          <w:p>
            <w:pPr>
              <w:jc w:val="center"/>
            </w:pPr>
            <w:r/>
            <w:r>
              <w:rPr>
                <w:rFonts w:ascii="Times New Roman" w:hAnsi="Times New Roman" w:eastAsia="Times New Roman"/>
                <w:b/>
                <w:i w:val="0"/>
                <w:sz w:val="22"/>
              </w:rPr>
              <w:t>CR (ρc)</w:t>
            </w:r>
          </w:p>
        </w:tc>
        <w:tc>
          <w:tcPr>
            <w:tcW w:type="dxa" w:w="1728"/>
          </w:tcPr>
          <w:p>
            <w:pPr>
              <w:jc w:val="center"/>
            </w:pPr>
            <w:r/>
            <w:r>
              <w:rPr>
                <w:rFonts w:ascii="Times New Roman" w:hAnsi="Times New Roman" w:eastAsia="Times New Roman"/>
                <w:b/>
                <w:i w:val="0"/>
                <w:sz w:val="22"/>
              </w:rPr>
              <w:t>AVE</w:t>
            </w:r>
          </w:p>
        </w:tc>
      </w:tr>
      <w:tr>
        <w:tc>
          <w:tcPr>
            <w:tcW w:type="dxa" w:w="1728"/>
          </w:tcPr>
          <w:p>
            <w:r>
              <w:rPr>
                <w:rFonts w:ascii="Times New Roman" w:hAnsi="Times New Roman" w:eastAsia="Times New Roman"/>
                <w:b/>
                <w:i w:val="0"/>
                <w:sz w:val="22"/>
              </w:rPr>
              <w:t>UE</w:t>
            </w:r>
          </w:p>
        </w:tc>
        <w:tc>
          <w:tcPr>
            <w:tcW w:type="dxa" w:w="1728"/>
          </w:tcPr>
          <w:p>
            <w:pPr>
              <w:jc w:val="center"/>
            </w:pPr>
            <w:r/>
            <w:r>
              <w:rPr>
                <w:rFonts w:ascii="Times New Roman" w:hAnsi="Times New Roman" w:eastAsia="Times New Roman"/>
                <w:b w:val="0"/>
                <w:i w:val="0"/>
                <w:sz w:val="22"/>
              </w:rPr>
              <w:t>5</w:t>
            </w:r>
          </w:p>
        </w:tc>
        <w:tc>
          <w:tcPr>
            <w:tcW w:type="dxa" w:w="1728"/>
          </w:tcPr>
          <w:p>
            <w:pPr>
              <w:jc w:val="center"/>
            </w:pPr>
            <w:r/>
            <w:r>
              <w:rPr>
                <w:rFonts w:ascii="Times New Roman" w:hAnsi="Times New Roman" w:eastAsia="Times New Roman"/>
                <w:b w:val="0"/>
                <w:i w:val="0"/>
                <w:sz w:val="22"/>
              </w:rPr>
              <w:t>0.934</w:t>
            </w:r>
          </w:p>
        </w:tc>
        <w:tc>
          <w:tcPr>
            <w:tcW w:type="dxa" w:w="1728"/>
          </w:tcPr>
          <w:p>
            <w:pPr>
              <w:jc w:val="center"/>
            </w:pPr>
            <w:r/>
            <w:r>
              <w:rPr>
                <w:rFonts w:ascii="Times New Roman" w:hAnsi="Times New Roman" w:eastAsia="Times New Roman"/>
                <w:b w:val="0"/>
                <w:i w:val="0"/>
                <w:sz w:val="22"/>
              </w:rPr>
              <w:t>0.942</w:t>
            </w:r>
          </w:p>
        </w:tc>
        <w:tc>
          <w:tcPr>
            <w:tcW w:type="dxa" w:w="1728"/>
          </w:tcPr>
          <w:p>
            <w:pPr>
              <w:jc w:val="center"/>
            </w:pPr>
            <w:r/>
            <w:r>
              <w:rPr>
                <w:rFonts w:ascii="Times New Roman" w:hAnsi="Times New Roman" w:eastAsia="Times New Roman"/>
                <w:b w:val="0"/>
                <w:i w:val="0"/>
                <w:sz w:val="22"/>
              </w:rPr>
              <w:t>0.764</w:t>
            </w:r>
          </w:p>
        </w:tc>
      </w:tr>
      <w:tr>
        <w:tc>
          <w:tcPr>
            <w:tcW w:type="dxa" w:w="1728"/>
          </w:tcPr>
          <w:p>
            <w:r>
              <w:rPr>
                <w:rFonts w:ascii="Times New Roman" w:hAnsi="Times New Roman" w:eastAsia="Times New Roman"/>
                <w:b/>
                <w:i w:val="0"/>
                <w:sz w:val="22"/>
              </w:rPr>
              <w:t>UX</w:t>
            </w:r>
          </w:p>
        </w:tc>
        <w:tc>
          <w:tcPr>
            <w:tcW w:type="dxa" w:w="1728"/>
          </w:tcPr>
          <w:p>
            <w:pPr>
              <w:jc w:val="center"/>
            </w:pPr>
            <w:r/>
            <w:r>
              <w:rPr>
                <w:rFonts w:ascii="Times New Roman" w:hAnsi="Times New Roman" w:eastAsia="Times New Roman"/>
                <w:b w:val="0"/>
                <w:i w:val="0"/>
                <w:sz w:val="22"/>
              </w:rPr>
              <w:t>5</w:t>
            </w:r>
          </w:p>
        </w:tc>
        <w:tc>
          <w:tcPr>
            <w:tcW w:type="dxa" w:w="1728"/>
          </w:tcPr>
          <w:p>
            <w:pPr>
              <w:jc w:val="center"/>
            </w:pPr>
            <w:r/>
            <w:r>
              <w:rPr>
                <w:rFonts w:ascii="Times New Roman" w:hAnsi="Times New Roman" w:eastAsia="Times New Roman"/>
                <w:b w:val="0"/>
                <w:i w:val="0"/>
                <w:sz w:val="22"/>
              </w:rPr>
              <w:t>0.925</w:t>
            </w:r>
          </w:p>
        </w:tc>
        <w:tc>
          <w:tcPr>
            <w:tcW w:type="dxa" w:w="1728"/>
          </w:tcPr>
          <w:p>
            <w:pPr>
              <w:jc w:val="center"/>
            </w:pPr>
            <w:r/>
            <w:r>
              <w:rPr>
                <w:rFonts w:ascii="Times New Roman" w:hAnsi="Times New Roman" w:eastAsia="Times New Roman"/>
                <w:b w:val="0"/>
                <w:i w:val="0"/>
                <w:sz w:val="22"/>
              </w:rPr>
              <w:t>0.942</w:t>
            </w:r>
          </w:p>
        </w:tc>
        <w:tc>
          <w:tcPr>
            <w:tcW w:type="dxa" w:w="1728"/>
          </w:tcPr>
          <w:p>
            <w:pPr>
              <w:jc w:val="center"/>
            </w:pPr>
            <w:r/>
            <w:r>
              <w:rPr>
                <w:rFonts w:ascii="Times New Roman" w:hAnsi="Times New Roman" w:eastAsia="Times New Roman"/>
                <w:b w:val="0"/>
                <w:i w:val="0"/>
                <w:sz w:val="22"/>
              </w:rPr>
              <w:t>0.766</w:t>
            </w:r>
          </w:p>
        </w:tc>
      </w:tr>
      <w:tr>
        <w:tc>
          <w:tcPr>
            <w:tcW w:type="dxa" w:w="1728"/>
          </w:tcPr>
          <w:p>
            <w:r>
              <w:rPr>
                <w:rFonts w:ascii="Times New Roman" w:hAnsi="Times New Roman" w:eastAsia="Times New Roman"/>
                <w:b/>
                <w:i w:val="0"/>
                <w:sz w:val="22"/>
              </w:rPr>
              <w:t>BSAT</w:t>
            </w:r>
          </w:p>
        </w:tc>
        <w:tc>
          <w:tcPr>
            <w:tcW w:type="dxa" w:w="1728"/>
          </w:tcPr>
          <w:p>
            <w:pPr>
              <w:jc w:val="center"/>
            </w:pPr>
            <w:r/>
            <w:r>
              <w:rPr>
                <w:rFonts w:ascii="Times New Roman" w:hAnsi="Times New Roman" w:eastAsia="Times New Roman"/>
                <w:b w:val="0"/>
                <w:i w:val="0"/>
                <w:sz w:val="22"/>
              </w:rPr>
              <w:t>4</w:t>
            </w:r>
          </w:p>
        </w:tc>
        <w:tc>
          <w:tcPr>
            <w:tcW w:type="dxa" w:w="1728"/>
          </w:tcPr>
          <w:p>
            <w:pPr>
              <w:jc w:val="center"/>
            </w:pPr>
            <w:r/>
            <w:r>
              <w:rPr>
                <w:rFonts w:ascii="Times New Roman" w:hAnsi="Times New Roman" w:eastAsia="Times New Roman"/>
                <w:b w:val="0"/>
                <w:i w:val="0"/>
                <w:sz w:val="22"/>
              </w:rPr>
              <w:t>0.913</w:t>
            </w:r>
          </w:p>
        </w:tc>
        <w:tc>
          <w:tcPr>
            <w:tcW w:type="dxa" w:w="1728"/>
          </w:tcPr>
          <w:p>
            <w:pPr>
              <w:jc w:val="center"/>
            </w:pPr>
            <w:r/>
            <w:r>
              <w:rPr>
                <w:rFonts w:ascii="Times New Roman" w:hAnsi="Times New Roman" w:eastAsia="Times New Roman"/>
                <w:b w:val="0"/>
                <w:i w:val="0"/>
                <w:sz w:val="22"/>
              </w:rPr>
              <w:t>0.936</w:t>
            </w:r>
          </w:p>
        </w:tc>
        <w:tc>
          <w:tcPr>
            <w:tcW w:type="dxa" w:w="1728"/>
          </w:tcPr>
          <w:p>
            <w:pPr>
              <w:jc w:val="center"/>
            </w:pPr>
            <w:r/>
            <w:r>
              <w:rPr>
                <w:rFonts w:ascii="Times New Roman" w:hAnsi="Times New Roman" w:eastAsia="Times New Roman"/>
                <w:b w:val="0"/>
                <w:i w:val="0"/>
                <w:sz w:val="22"/>
              </w:rPr>
              <w:t>0.786</w:t>
            </w:r>
          </w:p>
        </w:tc>
      </w:tr>
      <w:tr>
        <w:tc>
          <w:tcPr>
            <w:tcW w:type="dxa" w:w="1728"/>
          </w:tcPr>
          <w:p>
            <w:r>
              <w:rPr>
                <w:rFonts w:ascii="Times New Roman" w:hAnsi="Times New Roman" w:eastAsia="Times New Roman"/>
                <w:b/>
                <w:i w:val="0"/>
                <w:sz w:val="22"/>
              </w:rPr>
              <w:t>BSUC</w:t>
            </w:r>
          </w:p>
        </w:tc>
        <w:tc>
          <w:tcPr>
            <w:tcW w:type="dxa" w:w="1728"/>
          </w:tcPr>
          <w:p>
            <w:pPr>
              <w:jc w:val="center"/>
            </w:pPr>
            <w:r/>
            <w:r>
              <w:rPr>
                <w:rFonts w:ascii="Times New Roman" w:hAnsi="Times New Roman" w:eastAsia="Times New Roman"/>
                <w:b w:val="0"/>
                <w:i w:val="0"/>
                <w:sz w:val="22"/>
              </w:rPr>
              <w:t>4</w:t>
            </w:r>
          </w:p>
        </w:tc>
        <w:tc>
          <w:tcPr>
            <w:tcW w:type="dxa" w:w="1728"/>
          </w:tcPr>
          <w:p>
            <w:pPr>
              <w:jc w:val="center"/>
            </w:pPr>
            <w:r/>
            <w:r>
              <w:rPr>
                <w:rFonts w:ascii="Times New Roman" w:hAnsi="Times New Roman" w:eastAsia="Times New Roman"/>
                <w:b w:val="0"/>
                <w:i w:val="0"/>
                <w:sz w:val="22"/>
              </w:rPr>
              <w:t>0.902</w:t>
            </w:r>
          </w:p>
        </w:tc>
        <w:tc>
          <w:tcPr>
            <w:tcW w:type="dxa" w:w="1728"/>
          </w:tcPr>
          <w:p>
            <w:pPr>
              <w:jc w:val="center"/>
            </w:pPr>
            <w:r/>
            <w:r>
              <w:rPr>
                <w:rFonts w:ascii="Times New Roman" w:hAnsi="Times New Roman" w:eastAsia="Times New Roman"/>
                <w:b w:val="0"/>
                <w:i w:val="0"/>
                <w:sz w:val="22"/>
              </w:rPr>
              <w:t>0.929</w:t>
            </w:r>
          </w:p>
        </w:tc>
        <w:tc>
          <w:tcPr>
            <w:tcW w:type="dxa" w:w="1728"/>
          </w:tcPr>
          <w:p>
            <w:pPr>
              <w:jc w:val="center"/>
            </w:pPr>
            <w:r/>
            <w:r>
              <w:rPr>
                <w:rFonts w:ascii="Times New Roman" w:hAnsi="Times New Roman" w:eastAsia="Times New Roman"/>
                <w:b w:val="0"/>
                <w:i w:val="0"/>
                <w:sz w:val="22"/>
              </w:rPr>
              <w:t>0.767</w:t>
            </w:r>
          </w:p>
        </w:tc>
      </w:tr>
    </w:tbl>
    <w:p>
      <w:r>
        <w:rPr>
          <w:rFonts w:ascii="Times New Roman" w:hAnsi="Times New Roman" w:eastAsia="Times New Roman"/>
          <w:b w:val="0"/>
          <w:i/>
          <w:sz w:val="20"/>
        </w:rPr>
        <w:t>Note. CR = composite reliability; AVE = average variance extracted. Thresholds: α and CR ≥ 0.70; AVE ≥ 0.50.</w:t>
      </w:r>
    </w:p>
    <w:p/>
    <w:p>
      <w:pPr>
        <w:jc w:val="center"/>
      </w:pPr>
      <w:r>
        <w:drawing>
          <wp:inline xmlns:a="http://schemas.openxmlformats.org/drawingml/2006/main" xmlns:pic="http://schemas.openxmlformats.org/drawingml/2006/picture">
            <wp:extent cx="5760720" cy="3488004"/>
            <wp:docPr id="3" name="Picture 3"/>
            <wp:cNvGraphicFramePr>
              <a:graphicFrameLocks noChangeAspect="1"/>
            </wp:cNvGraphicFramePr>
            <a:graphic>
              <a:graphicData uri="http://schemas.openxmlformats.org/drawingml/2006/picture">
                <pic:pic>
                  <pic:nvPicPr>
                    <pic:cNvPr id="0" name="fig3_reliability_validity.png"/>
                    <pic:cNvPicPr/>
                  </pic:nvPicPr>
                  <pic:blipFill>
                    <a:blip r:embed="rId11"/>
                    <a:stretch>
                      <a:fillRect/>
                    </a:stretch>
                  </pic:blipFill>
                  <pic:spPr>
                    <a:xfrm>
                      <a:off x="0" y="0"/>
                      <a:ext cx="5760720" cy="3488004"/>
                    </a:xfrm>
                    <a:prstGeom prst="rect"/>
                  </pic:spPr>
                </pic:pic>
              </a:graphicData>
            </a:graphic>
          </wp:inline>
        </w:drawing>
      </w:r>
    </w:p>
    <w:p>
      <w:pPr>
        <w:spacing w:after="200"/>
        <w:jc w:val="center"/>
      </w:pPr>
      <w:r>
        <w:rPr>
          <w:rFonts w:ascii="Times New Roman" w:hAnsi="Times New Roman" w:eastAsia="Times New Roman"/>
          <w:b w:val="0"/>
          <w:i/>
          <w:sz w:val="22"/>
        </w:rPr>
        <w:t>Figure 3. Construct reliability and convergent validity against recommended thresholds.</w:t>
      </w:r>
    </w:p>
    <w:p>
      <w:pPr>
        <w:jc w:val="both"/>
      </w:pPr>
      <w:r>
        <w:rPr>
          <w:rFonts w:ascii="Times New Roman" w:hAnsi="Times New Roman" w:eastAsia="Times New Roman"/>
          <w:b/>
          <w:i w:val="0"/>
          <w:sz w:val="24"/>
        </w:rPr>
        <w:t>Table 2. Standardised outer loadings.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eastAsia="Times New Roman"/>
                <w:b/>
                <w:i w:val="0"/>
                <w:sz w:val="22"/>
              </w:rPr>
              <w:t>Indicator</w:t>
            </w:r>
          </w:p>
        </w:tc>
        <w:tc>
          <w:tcPr>
            <w:tcW w:type="dxa" w:w="2880"/>
          </w:tcPr>
          <w:p>
            <w:pPr>
              <w:jc w:val="center"/>
            </w:pPr>
            <w:r/>
            <w:r>
              <w:rPr>
                <w:rFonts w:ascii="Times New Roman" w:hAnsi="Times New Roman" w:eastAsia="Times New Roman"/>
                <w:b/>
                <w:i w:val="0"/>
                <w:sz w:val="22"/>
              </w:rPr>
              <w:t>Construct</w:t>
            </w:r>
          </w:p>
        </w:tc>
        <w:tc>
          <w:tcPr>
            <w:tcW w:type="dxa" w:w="2880"/>
          </w:tcPr>
          <w:p>
            <w:pPr>
              <w:jc w:val="center"/>
            </w:pPr>
            <w:r/>
            <w:r>
              <w:rPr>
                <w:rFonts w:ascii="Times New Roman" w:hAnsi="Times New Roman" w:eastAsia="Times New Roman"/>
                <w:b/>
                <w:i w:val="0"/>
                <w:sz w:val="22"/>
              </w:rPr>
              <w:t>Loading</w:t>
            </w:r>
          </w:p>
        </w:tc>
      </w:tr>
      <w:tr>
        <w:tc>
          <w:tcPr>
            <w:tcW w:type="dxa" w:w="2880"/>
          </w:tcPr>
          <w:p>
            <w:r>
              <w:rPr>
                <w:rFonts w:ascii="Times New Roman" w:hAnsi="Times New Roman" w:eastAsia="Times New Roman"/>
                <w:b/>
                <w:i w:val="0"/>
                <w:sz w:val="22"/>
              </w:rPr>
              <w:t>UE1</w:t>
            </w:r>
          </w:p>
        </w:tc>
        <w:tc>
          <w:tcPr>
            <w:tcW w:type="dxa" w:w="2880"/>
          </w:tcPr>
          <w:p>
            <w:pPr>
              <w:jc w:val="center"/>
            </w:pPr>
            <w:r/>
            <w:r>
              <w:rPr>
                <w:rFonts w:ascii="Times New Roman" w:hAnsi="Times New Roman" w:eastAsia="Times New Roman"/>
                <w:b w:val="0"/>
                <w:i w:val="0"/>
                <w:sz w:val="22"/>
              </w:rPr>
              <w:t>UE</w:t>
            </w:r>
          </w:p>
        </w:tc>
        <w:tc>
          <w:tcPr>
            <w:tcW w:type="dxa" w:w="2880"/>
          </w:tcPr>
          <w:p>
            <w:pPr>
              <w:jc w:val="center"/>
            </w:pPr>
            <w:r/>
            <w:r>
              <w:rPr>
                <w:rFonts w:ascii="Times New Roman" w:hAnsi="Times New Roman" w:eastAsia="Times New Roman"/>
                <w:b w:val="0"/>
                <w:i w:val="0"/>
                <w:sz w:val="22"/>
              </w:rPr>
              <w:t>0.831</w:t>
            </w:r>
          </w:p>
        </w:tc>
      </w:tr>
      <w:tr>
        <w:tc>
          <w:tcPr>
            <w:tcW w:type="dxa" w:w="2880"/>
          </w:tcPr>
          <w:p>
            <w:r>
              <w:rPr>
                <w:rFonts w:ascii="Times New Roman" w:hAnsi="Times New Roman" w:eastAsia="Times New Roman"/>
                <w:b/>
                <w:i w:val="0"/>
                <w:sz w:val="22"/>
              </w:rPr>
              <w:t>UE2</w:t>
            </w:r>
          </w:p>
        </w:tc>
        <w:tc>
          <w:tcPr>
            <w:tcW w:type="dxa" w:w="2880"/>
          </w:tcPr>
          <w:p>
            <w:pPr>
              <w:jc w:val="center"/>
            </w:pPr>
            <w:r/>
            <w:r>
              <w:rPr>
                <w:rFonts w:ascii="Times New Roman" w:hAnsi="Times New Roman" w:eastAsia="Times New Roman"/>
                <w:b w:val="0"/>
                <w:i w:val="0"/>
                <w:sz w:val="22"/>
              </w:rPr>
              <w:t>UE</w:t>
            </w:r>
          </w:p>
        </w:tc>
        <w:tc>
          <w:tcPr>
            <w:tcW w:type="dxa" w:w="2880"/>
          </w:tcPr>
          <w:p>
            <w:pPr>
              <w:jc w:val="center"/>
            </w:pPr>
            <w:r/>
            <w:r>
              <w:rPr>
                <w:rFonts w:ascii="Times New Roman" w:hAnsi="Times New Roman" w:eastAsia="Times New Roman"/>
                <w:b w:val="0"/>
                <w:i w:val="0"/>
                <w:sz w:val="22"/>
              </w:rPr>
              <w:t>0.862</w:t>
            </w:r>
          </w:p>
        </w:tc>
      </w:tr>
      <w:tr>
        <w:tc>
          <w:tcPr>
            <w:tcW w:type="dxa" w:w="2880"/>
          </w:tcPr>
          <w:p>
            <w:r>
              <w:rPr>
                <w:rFonts w:ascii="Times New Roman" w:hAnsi="Times New Roman" w:eastAsia="Times New Roman"/>
                <w:b/>
                <w:i w:val="0"/>
                <w:sz w:val="22"/>
              </w:rPr>
              <w:t>UE3</w:t>
            </w:r>
          </w:p>
        </w:tc>
        <w:tc>
          <w:tcPr>
            <w:tcW w:type="dxa" w:w="2880"/>
          </w:tcPr>
          <w:p>
            <w:pPr>
              <w:jc w:val="center"/>
            </w:pPr>
            <w:r/>
            <w:r>
              <w:rPr>
                <w:rFonts w:ascii="Times New Roman" w:hAnsi="Times New Roman" w:eastAsia="Times New Roman"/>
                <w:b w:val="0"/>
                <w:i w:val="0"/>
                <w:sz w:val="22"/>
              </w:rPr>
              <w:t>UE</w:t>
            </w:r>
          </w:p>
        </w:tc>
        <w:tc>
          <w:tcPr>
            <w:tcW w:type="dxa" w:w="2880"/>
          </w:tcPr>
          <w:p>
            <w:pPr>
              <w:jc w:val="center"/>
            </w:pPr>
            <w:r/>
            <w:r>
              <w:rPr>
                <w:rFonts w:ascii="Times New Roman" w:hAnsi="Times New Roman" w:eastAsia="Times New Roman"/>
                <w:b w:val="0"/>
                <w:i w:val="0"/>
                <w:sz w:val="22"/>
              </w:rPr>
              <w:t>0.946</w:t>
            </w:r>
          </w:p>
        </w:tc>
      </w:tr>
      <w:tr>
        <w:tc>
          <w:tcPr>
            <w:tcW w:type="dxa" w:w="2880"/>
          </w:tcPr>
          <w:p>
            <w:r>
              <w:rPr>
                <w:rFonts w:ascii="Times New Roman" w:hAnsi="Times New Roman" w:eastAsia="Times New Roman"/>
                <w:b/>
                <w:i w:val="0"/>
                <w:sz w:val="22"/>
              </w:rPr>
              <w:t>UE4</w:t>
            </w:r>
          </w:p>
        </w:tc>
        <w:tc>
          <w:tcPr>
            <w:tcW w:type="dxa" w:w="2880"/>
          </w:tcPr>
          <w:p>
            <w:pPr>
              <w:jc w:val="center"/>
            </w:pPr>
            <w:r/>
            <w:r>
              <w:rPr>
                <w:rFonts w:ascii="Times New Roman" w:hAnsi="Times New Roman" w:eastAsia="Times New Roman"/>
                <w:b w:val="0"/>
                <w:i w:val="0"/>
                <w:sz w:val="22"/>
              </w:rPr>
              <w:t>UE</w:t>
            </w:r>
          </w:p>
        </w:tc>
        <w:tc>
          <w:tcPr>
            <w:tcW w:type="dxa" w:w="2880"/>
          </w:tcPr>
          <w:p>
            <w:pPr>
              <w:jc w:val="center"/>
            </w:pPr>
            <w:r/>
            <w:r>
              <w:rPr>
                <w:rFonts w:ascii="Times New Roman" w:hAnsi="Times New Roman" w:eastAsia="Times New Roman"/>
                <w:b w:val="0"/>
                <w:i w:val="0"/>
                <w:sz w:val="22"/>
              </w:rPr>
              <w:t>0.881</w:t>
            </w:r>
          </w:p>
        </w:tc>
      </w:tr>
      <w:tr>
        <w:tc>
          <w:tcPr>
            <w:tcW w:type="dxa" w:w="2880"/>
          </w:tcPr>
          <w:p>
            <w:r>
              <w:rPr>
                <w:rFonts w:ascii="Times New Roman" w:hAnsi="Times New Roman" w:eastAsia="Times New Roman"/>
                <w:b/>
                <w:i w:val="0"/>
                <w:sz w:val="22"/>
              </w:rPr>
              <w:t>UE5</w:t>
            </w:r>
          </w:p>
        </w:tc>
        <w:tc>
          <w:tcPr>
            <w:tcW w:type="dxa" w:w="2880"/>
          </w:tcPr>
          <w:p>
            <w:pPr>
              <w:jc w:val="center"/>
            </w:pPr>
            <w:r/>
            <w:r>
              <w:rPr>
                <w:rFonts w:ascii="Times New Roman" w:hAnsi="Times New Roman" w:eastAsia="Times New Roman"/>
                <w:b w:val="0"/>
                <w:i w:val="0"/>
                <w:sz w:val="22"/>
              </w:rPr>
              <w:t>UE</w:t>
            </w:r>
          </w:p>
        </w:tc>
        <w:tc>
          <w:tcPr>
            <w:tcW w:type="dxa" w:w="2880"/>
          </w:tcPr>
          <w:p>
            <w:pPr>
              <w:jc w:val="center"/>
            </w:pPr>
            <w:r/>
            <w:r>
              <w:rPr>
                <w:rFonts w:ascii="Times New Roman" w:hAnsi="Times New Roman" w:eastAsia="Times New Roman"/>
                <w:b w:val="0"/>
                <w:i w:val="0"/>
                <w:sz w:val="22"/>
              </w:rPr>
              <w:t>0.844</w:t>
            </w:r>
          </w:p>
        </w:tc>
      </w:tr>
      <w:tr>
        <w:tc>
          <w:tcPr>
            <w:tcW w:type="dxa" w:w="2880"/>
          </w:tcPr>
          <w:p>
            <w:r>
              <w:rPr>
                <w:rFonts w:ascii="Times New Roman" w:hAnsi="Times New Roman" w:eastAsia="Times New Roman"/>
                <w:b/>
                <w:i w:val="0"/>
                <w:sz w:val="22"/>
              </w:rPr>
              <w:t>UX1</w:t>
            </w:r>
          </w:p>
        </w:tc>
        <w:tc>
          <w:tcPr>
            <w:tcW w:type="dxa" w:w="2880"/>
          </w:tcPr>
          <w:p>
            <w:pPr>
              <w:jc w:val="center"/>
            </w:pPr>
            <w:r/>
            <w:r>
              <w:rPr>
                <w:rFonts w:ascii="Times New Roman" w:hAnsi="Times New Roman" w:eastAsia="Times New Roman"/>
                <w:b w:val="0"/>
                <w:i w:val="0"/>
                <w:sz w:val="22"/>
              </w:rPr>
              <w:t>UX</w:t>
            </w:r>
          </w:p>
        </w:tc>
        <w:tc>
          <w:tcPr>
            <w:tcW w:type="dxa" w:w="2880"/>
          </w:tcPr>
          <w:p>
            <w:pPr>
              <w:jc w:val="center"/>
            </w:pPr>
            <w:r/>
            <w:r>
              <w:rPr>
                <w:rFonts w:ascii="Times New Roman" w:hAnsi="Times New Roman" w:eastAsia="Times New Roman"/>
                <w:b w:val="0"/>
                <w:i w:val="0"/>
                <w:sz w:val="22"/>
              </w:rPr>
              <w:t>0.860</w:t>
            </w:r>
          </w:p>
        </w:tc>
      </w:tr>
      <w:tr>
        <w:tc>
          <w:tcPr>
            <w:tcW w:type="dxa" w:w="2880"/>
          </w:tcPr>
          <w:p>
            <w:r>
              <w:rPr>
                <w:rFonts w:ascii="Times New Roman" w:hAnsi="Times New Roman" w:eastAsia="Times New Roman"/>
                <w:b/>
                <w:i w:val="0"/>
                <w:sz w:val="22"/>
              </w:rPr>
              <w:t>UX2</w:t>
            </w:r>
          </w:p>
        </w:tc>
        <w:tc>
          <w:tcPr>
            <w:tcW w:type="dxa" w:w="2880"/>
          </w:tcPr>
          <w:p>
            <w:pPr>
              <w:jc w:val="center"/>
            </w:pPr>
            <w:r/>
            <w:r>
              <w:rPr>
                <w:rFonts w:ascii="Times New Roman" w:hAnsi="Times New Roman" w:eastAsia="Times New Roman"/>
                <w:b w:val="0"/>
                <w:i w:val="0"/>
                <w:sz w:val="22"/>
              </w:rPr>
              <w:t>UX</w:t>
            </w:r>
          </w:p>
        </w:tc>
        <w:tc>
          <w:tcPr>
            <w:tcW w:type="dxa" w:w="2880"/>
          </w:tcPr>
          <w:p>
            <w:pPr>
              <w:jc w:val="center"/>
            </w:pPr>
            <w:r/>
            <w:r>
              <w:rPr>
                <w:rFonts w:ascii="Times New Roman" w:hAnsi="Times New Roman" w:eastAsia="Times New Roman"/>
                <w:b w:val="0"/>
                <w:i w:val="0"/>
                <w:sz w:val="22"/>
              </w:rPr>
              <w:t>0.900</w:t>
            </w:r>
          </w:p>
        </w:tc>
      </w:tr>
      <w:tr>
        <w:tc>
          <w:tcPr>
            <w:tcW w:type="dxa" w:w="2880"/>
          </w:tcPr>
          <w:p>
            <w:r>
              <w:rPr>
                <w:rFonts w:ascii="Times New Roman" w:hAnsi="Times New Roman" w:eastAsia="Times New Roman"/>
                <w:b/>
                <w:i w:val="0"/>
                <w:sz w:val="22"/>
              </w:rPr>
              <w:t>UX3</w:t>
            </w:r>
          </w:p>
        </w:tc>
        <w:tc>
          <w:tcPr>
            <w:tcW w:type="dxa" w:w="2880"/>
          </w:tcPr>
          <w:p>
            <w:pPr>
              <w:jc w:val="center"/>
            </w:pPr>
            <w:r/>
            <w:r>
              <w:rPr>
                <w:rFonts w:ascii="Times New Roman" w:hAnsi="Times New Roman" w:eastAsia="Times New Roman"/>
                <w:b w:val="0"/>
                <w:i w:val="0"/>
                <w:sz w:val="22"/>
              </w:rPr>
              <w:t>UX</w:t>
            </w:r>
          </w:p>
        </w:tc>
        <w:tc>
          <w:tcPr>
            <w:tcW w:type="dxa" w:w="2880"/>
          </w:tcPr>
          <w:p>
            <w:pPr>
              <w:jc w:val="center"/>
            </w:pPr>
            <w:r/>
            <w:r>
              <w:rPr>
                <w:rFonts w:ascii="Times New Roman" w:hAnsi="Times New Roman" w:eastAsia="Times New Roman"/>
                <w:b w:val="0"/>
                <w:i w:val="0"/>
                <w:sz w:val="22"/>
              </w:rPr>
              <w:t>0.889</w:t>
            </w:r>
          </w:p>
        </w:tc>
      </w:tr>
      <w:tr>
        <w:tc>
          <w:tcPr>
            <w:tcW w:type="dxa" w:w="2880"/>
          </w:tcPr>
          <w:p>
            <w:r>
              <w:rPr>
                <w:rFonts w:ascii="Times New Roman" w:hAnsi="Times New Roman" w:eastAsia="Times New Roman"/>
                <w:b/>
                <w:i w:val="0"/>
                <w:sz w:val="22"/>
              </w:rPr>
              <w:t>UX4</w:t>
            </w:r>
          </w:p>
        </w:tc>
        <w:tc>
          <w:tcPr>
            <w:tcW w:type="dxa" w:w="2880"/>
          </w:tcPr>
          <w:p>
            <w:pPr>
              <w:jc w:val="center"/>
            </w:pPr>
            <w:r/>
            <w:r>
              <w:rPr>
                <w:rFonts w:ascii="Times New Roman" w:hAnsi="Times New Roman" w:eastAsia="Times New Roman"/>
                <w:b w:val="0"/>
                <w:i w:val="0"/>
                <w:sz w:val="22"/>
              </w:rPr>
              <w:t>UX</w:t>
            </w:r>
          </w:p>
        </w:tc>
        <w:tc>
          <w:tcPr>
            <w:tcW w:type="dxa" w:w="2880"/>
          </w:tcPr>
          <w:p>
            <w:pPr>
              <w:jc w:val="center"/>
            </w:pPr>
            <w:r/>
            <w:r>
              <w:rPr>
                <w:rFonts w:ascii="Times New Roman" w:hAnsi="Times New Roman" w:eastAsia="Times New Roman"/>
                <w:b w:val="0"/>
                <w:i w:val="0"/>
                <w:sz w:val="22"/>
              </w:rPr>
              <w:t>0.853</w:t>
            </w:r>
          </w:p>
        </w:tc>
      </w:tr>
      <w:tr>
        <w:tc>
          <w:tcPr>
            <w:tcW w:type="dxa" w:w="2880"/>
          </w:tcPr>
          <w:p>
            <w:r>
              <w:rPr>
                <w:rFonts w:ascii="Times New Roman" w:hAnsi="Times New Roman" w:eastAsia="Times New Roman"/>
                <w:b/>
                <w:i w:val="0"/>
                <w:sz w:val="22"/>
              </w:rPr>
              <w:t>UX5</w:t>
            </w:r>
          </w:p>
        </w:tc>
        <w:tc>
          <w:tcPr>
            <w:tcW w:type="dxa" w:w="2880"/>
          </w:tcPr>
          <w:p>
            <w:pPr>
              <w:jc w:val="center"/>
            </w:pPr>
            <w:r/>
            <w:r>
              <w:rPr>
                <w:rFonts w:ascii="Times New Roman" w:hAnsi="Times New Roman" w:eastAsia="Times New Roman"/>
                <w:b w:val="0"/>
                <w:i w:val="0"/>
                <w:sz w:val="22"/>
              </w:rPr>
              <w:t>UX</w:t>
            </w:r>
          </w:p>
        </w:tc>
        <w:tc>
          <w:tcPr>
            <w:tcW w:type="dxa" w:w="2880"/>
          </w:tcPr>
          <w:p>
            <w:pPr>
              <w:jc w:val="center"/>
            </w:pPr>
            <w:r/>
            <w:r>
              <w:rPr>
                <w:rFonts w:ascii="Times New Roman" w:hAnsi="Times New Roman" w:eastAsia="Times New Roman"/>
                <w:b w:val="0"/>
                <w:i w:val="0"/>
                <w:sz w:val="22"/>
              </w:rPr>
              <w:t>0.874</w:t>
            </w:r>
          </w:p>
        </w:tc>
      </w:tr>
      <w:tr>
        <w:tc>
          <w:tcPr>
            <w:tcW w:type="dxa" w:w="2880"/>
          </w:tcPr>
          <w:p>
            <w:r>
              <w:rPr>
                <w:rFonts w:ascii="Times New Roman" w:hAnsi="Times New Roman" w:eastAsia="Times New Roman"/>
                <w:b/>
                <w:i w:val="0"/>
                <w:sz w:val="22"/>
              </w:rPr>
              <w:t>BSAT1</w:t>
            </w:r>
          </w:p>
        </w:tc>
        <w:tc>
          <w:tcPr>
            <w:tcW w:type="dxa" w:w="2880"/>
          </w:tcPr>
          <w:p>
            <w:pPr>
              <w:jc w:val="center"/>
            </w:pPr>
            <w:r/>
            <w:r>
              <w:rPr>
                <w:rFonts w:ascii="Times New Roman" w:hAnsi="Times New Roman" w:eastAsia="Times New Roman"/>
                <w:b w:val="0"/>
                <w:i w:val="0"/>
                <w:sz w:val="22"/>
              </w:rPr>
              <w:t>BSAT</w:t>
            </w:r>
          </w:p>
        </w:tc>
        <w:tc>
          <w:tcPr>
            <w:tcW w:type="dxa" w:w="2880"/>
          </w:tcPr>
          <w:p>
            <w:pPr>
              <w:jc w:val="center"/>
            </w:pPr>
            <w:r/>
            <w:r>
              <w:rPr>
                <w:rFonts w:ascii="Times New Roman" w:hAnsi="Times New Roman" w:eastAsia="Times New Roman"/>
                <w:b w:val="0"/>
                <w:i w:val="0"/>
                <w:sz w:val="22"/>
              </w:rPr>
              <w:t>0.901</w:t>
            </w:r>
          </w:p>
        </w:tc>
      </w:tr>
      <w:tr>
        <w:tc>
          <w:tcPr>
            <w:tcW w:type="dxa" w:w="2880"/>
          </w:tcPr>
          <w:p>
            <w:r>
              <w:rPr>
                <w:rFonts w:ascii="Times New Roman" w:hAnsi="Times New Roman" w:eastAsia="Times New Roman"/>
                <w:b/>
                <w:i w:val="0"/>
                <w:sz w:val="22"/>
              </w:rPr>
              <w:t>BSAT2</w:t>
            </w:r>
          </w:p>
        </w:tc>
        <w:tc>
          <w:tcPr>
            <w:tcW w:type="dxa" w:w="2880"/>
          </w:tcPr>
          <w:p>
            <w:pPr>
              <w:jc w:val="center"/>
            </w:pPr>
            <w:r/>
            <w:r>
              <w:rPr>
                <w:rFonts w:ascii="Times New Roman" w:hAnsi="Times New Roman" w:eastAsia="Times New Roman"/>
                <w:b w:val="0"/>
                <w:i w:val="0"/>
                <w:sz w:val="22"/>
              </w:rPr>
              <w:t>BSAT</w:t>
            </w:r>
          </w:p>
        </w:tc>
        <w:tc>
          <w:tcPr>
            <w:tcW w:type="dxa" w:w="2880"/>
          </w:tcPr>
          <w:p>
            <w:pPr>
              <w:jc w:val="center"/>
            </w:pPr>
            <w:r/>
            <w:r>
              <w:rPr>
                <w:rFonts w:ascii="Times New Roman" w:hAnsi="Times New Roman" w:eastAsia="Times New Roman"/>
                <w:b w:val="0"/>
                <w:i w:val="0"/>
                <w:sz w:val="22"/>
              </w:rPr>
              <w:t>0.877</w:t>
            </w:r>
          </w:p>
        </w:tc>
      </w:tr>
      <w:tr>
        <w:tc>
          <w:tcPr>
            <w:tcW w:type="dxa" w:w="2880"/>
          </w:tcPr>
          <w:p>
            <w:r>
              <w:rPr>
                <w:rFonts w:ascii="Times New Roman" w:hAnsi="Times New Roman" w:eastAsia="Times New Roman"/>
                <w:b/>
                <w:i w:val="0"/>
                <w:sz w:val="22"/>
              </w:rPr>
              <w:t>BSAT3</w:t>
            </w:r>
          </w:p>
        </w:tc>
        <w:tc>
          <w:tcPr>
            <w:tcW w:type="dxa" w:w="2880"/>
          </w:tcPr>
          <w:p>
            <w:pPr>
              <w:jc w:val="center"/>
            </w:pPr>
            <w:r/>
            <w:r>
              <w:rPr>
                <w:rFonts w:ascii="Times New Roman" w:hAnsi="Times New Roman" w:eastAsia="Times New Roman"/>
                <w:b w:val="0"/>
                <w:i w:val="0"/>
                <w:sz w:val="22"/>
              </w:rPr>
              <w:t>BSAT</w:t>
            </w:r>
          </w:p>
        </w:tc>
        <w:tc>
          <w:tcPr>
            <w:tcW w:type="dxa" w:w="2880"/>
          </w:tcPr>
          <w:p>
            <w:pPr>
              <w:jc w:val="center"/>
            </w:pPr>
            <w:r/>
            <w:r>
              <w:rPr>
                <w:rFonts w:ascii="Times New Roman" w:hAnsi="Times New Roman" w:eastAsia="Times New Roman"/>
                <w:b w:val="0"/>
                <w:i w:val="0"/>
                <w:sz w:val="22"/>
              </w:rPr>
              <w:t>0.857</w:t>
            </w:r>
          </w:p>
        </w:tc>
      </w:tr>
      <w:tr>
        <w:tc>
          <w:tcPr>
            <w:tcW w:type="dxa" w:w="2880"/>
          </w:tcPr>
          <w:p>
            <w:r>
              <w:rPr>
                <w:rFonts w:ascii="Times New Roman" w:hAnsi="Times New Roman" w:eastAsia="Times New Roman"/>
                <w:b/>
                <w:i w:val="0"/>
                <w:sz w:val="22"/>
              </w:rPr>
              <w:t>BSAT4</w:t>
            </w:r>
          </w:p>
        </w:tc>
        <w:tc>
          <w:tcPr>
            <w:tcW w:type="dxa" w:w="2880"/>
          </w:tcPr>
          <w:p>
            <w:pPr>
              <w:jc w:val="center"/>
            </w:pPr>
            <w:r/>
            <w:r>
              <w:rPr>
                <w:rFonts w:ascii="Times New Roman" w:hAnsi="Times New Roman" w:eastAsia="Times New Roman"/>
                <w:b w:val="0"/>
                <w:i w:val="0"/>
                <w:sz w:val="22"/>
              </w:rPr>
              <w:t>BSAT</w:t>
            </w:r>
          </w:p>
        </w:tc>
        <w:tc>
          <w:tcPr>
            <w:tcW w:type="dxa" w:w="2880"/>
          </w:tcPr>
          <w:p>
            <w:pPr>
              <w:jc w:val="center"/>
            </w:pPr>
            <w:r/>
            <w:r>
              <w:rPr>
                <w:rFonts w:ascii="Times New Roman" w:hAnsi="Times New Roman" w:eastAsia="Times New Roman"/>
                <w:b w:val="0"/>
                <w:i w:val="0"/>
                <w:sz w:val="22"/>
              </w:rPr>
              <w:t>0.910</w:t>
            </w:r>
          </w:p>
        </w:tc>
      </w:tr>
      <w:tr>
        <w:tc>
          <w:tcPr>
            <w:tcW w:type="dxa" w:w="2880"/>
          </w:tcPr>
          <w:p>
            <w:r>
              <w:rPr>
                <w:rFonts w:ascii="Times New Roman" w:hAnsi="Times New Roman" w:eastAsia="Times New Roman"/>
                <w:b/>
                <w:i w:val="0"/>
                <w:sz w:val="22"/>
              </w:rPr>
              <w:t>BSUC1</w:t>
            </w:r>
          </w:p>
        </w:tc>
        <w:tc>
          <w:tcPr>
            <w:tcW w:type="dxa" w:w="2880"/>
          </w:tcPr>
          <w:p>
            <w:pPr>
              <w:jc w:val="center"/>
            </w:pPr>
            <w:r/>
            <w:r>
              <w:rPr>
                <w:rFonts w:ascii="Times New Roman" w:hAnsi="Times New Roman" w:eastAsia="Times New Roman"/>
                <w:b w:val="0"/>
                <w:i w:val="0"/>
                <w:sz w:val="22"/>
              </w:rPr>
              <w:t>BSUC</w:t>
            </w:r>
          </w:p>
        </w:tc>
        <w:tc>
          <w:tcPr>
            <w:tcW w:type="dxa" w:w="2880"/>
          </w:tcPr>
          <w:p>
            <w:pPr>
              <w:jc w:val="center"/>
            </w:pPr>
            <w:r/>
            <w:r>
              <w:rPr>
                <w:rFonts w:ascii="Times New Roman" w:hAnsi="Times New Roman" w:eastAsia="Times New Roman"/>
                <w:b w:val="0"/>
                <w:i w:val="0"/>
                <w:sz w:val="22"/>
              </w:rPr>
              <w:t>0.900</w:t>
            </w:r>
          </w:p>
        </w:tc>
      </w:tr>
      <w:tr>
        <w:tc>
          <w:tcPr>
            <w:tcW w:type="dxa" w:w="2880"/>
          </w:tcPr>
          <w:p>
            <w:r>
              <w:rPr>
                <w:rFonts w:ascii="Times New Roman" w:hAnsi="Times New Roman" w:eastAsia="Times New Roman"/>
                <w:b/>
                <w:i w:val="0"/>
                <w:sz w:val="22"/>
              </w:rPr>
              <w:t>BSUC2</w:t>
            </w:r>
          </w:p>
        </w:tc>
        <w:tc>
          <w:tcPr>
            <w:tcW w:type="dxa" w:w="2880"/>
          </w:tcPr>
          <w:p>
            <w:pPr>
              <w:jc w:val="center"/>
            </w:pPr>
            <w:r/>
            <w:r>
              <w:rPr>
                <w:rFonts w:ascii="Times New Roman" w:hAnsi="Times New Roman" w:eastAsia="Times New Roman"/>
                <w:b w:val="0"/>
                <w:i w:val="0"/>
                <w:sz w:val="22"/>
              </w:rPr>
              <w:t>BSUC</w:t>
            </w:r>
          </w:p>
        </w:tc>
        <w:tc>
          <w:tcPr>
            <w:tcW w:type="dxa" w:w="2880"/>
          </w:tcPr>
          <w:p>
            <w:pPr>
              <w:jc w:val="center"/>
            </w:pPr>
            <w:r/>
            <w:r>
              <w:rPr>
                <w:rFonts w:ascii="Times New Roman" w:hAnsi="Times New Roman" w:eastAsia="Times New Roman"/>
                <w:b w:val="0"/>
                <w:i w:val="0"/>
                <w:sz w:val="22"/>
              </w:rPr>
              <w:t>0.898</w:t>
            </w:r>
          </w:p>
        </w:tc>
      </w:tr>
      <w:tr>
        <w:tc>
          <w:tcPr>
            <w:tcW w:type="dxa" w:w="2880"/>
          </w:tcPr>
          <w:p>
            <w:r>
              <w:rPr>
                <w:rFonts w:ascii="Times New Roman" w:hAnsi="Times New Roman" w:eastAsia="Times New Roman"/>
                <w:b/>
                <w:i w:val="0"/>
                <w:sz w:val="22"/>
              </w:rPr>
              <w:t>BSUC3</w:t>
            </w:r>
          </w:p>
        </w:tc>
        <w:tc>
          <w:tcPr>
            <w:tcW w:type="dxa" w:w="2880"/>
          </w:tcPr>
          <w:p>
            <w:pPr>
              <w:jc w:val="center"/>
            </w:pPr>
            <w:r/>
            <w:r>
              <w:rPr>
                <w:rFonts w:ascii="Times New Roman" w:hAnsi="Times New Roman" w:eastAsia="Times New Roman"/>
                <w:b w:val="0"/>
                <w:i w:val="0"/>
                <w:sz w:val="22"/>
              </w:rPr>
              <w:t>BSUC</w:t>
            </w:r>
          </w:p>
        </w:tc>
        <w:tc>
          <w:tcPr>
            <w:tcW w:type="dxa" w:w="2880"/>
          </w:tcPr>
          <w:p>
            <w:pPr>
              <w:jc w:val="center"/>
            </w:pPr>
            <w:r/>
            <w:r>
              <w:rPr>
                <w:rFonts w:ascii="Times New Roman" w:hAnsi="Times New Roman" w:eastAsia="Times New Roman"/>
                <w:b w:val="0"/>
                <w:i w:val="0"/>
                <w:sz w:val="22"/>
              </w:rPr>
              <w:t>0.871</w:t>
            </w:r>
          </w:p>
        </w:tc>
      </w:tr>
      <w:tr>
        <w:tc>
          <w:tcPr>
            <w:tcW w:type="dxa" w:w="2880"/>
          </w:tcPr>
          <w:p>
            <w:r>
              <w:rPr>
                <w:rFonts w:ascii="Times New Roman" w:hAnsi="Times New Roman" w:eastAsia="Times New Roman"/>
                <w:b/>
                <w:i w:val="0"/>
                <w:sz w:val="22"/>
              </w:rPr>
              <w:t>BSUC4</w:t>
            </w:r>
          </w:p>
        </w:tc>
        <w:tc>
          <w:tcPr>
            <w:tcW w:type="dxa" w:w="2880"/>
          </w:tcPr>
          <w:p>
            <w:pPr>
              <w:jc w:val="center"/>
            </w:pPr>
            <w:r/>
            <w:r>
              <w:rPr>
                <w:rFonts w:ascii="Times New Roman" w:hAnsi="Times New Roman" w:eastAsia="Times New Roman"/>
                <w:b w:val="0"/>
                <w:i w:val="0"/>
                <w:sz w:val="22"/>
              </w:rPr>
              <w:t>BSUC</w:t>
            </w:r>
          </w:p>
        </w:tc>
        <w:tc>
          <w:tcPr>
            <w:tcW w:type="dxa" w:w="2880"/>
          </w:tcPr>
          <w:p>
            <w:pPr>
              <w:jc w:val="center"/>
            </w:pPr>
            <w:r/>
            <w:r>
              <w:rPr>
                <w:rFonts w:ascii="Times New Roman" w:hAnsi="Times New Roman" w:eastAsia="Times New Roman"/>
                <w:b w:val="0"/>
                <w:i w:val="0"/>
                <w:sz w:val="22"/>
              </w:rPr>
              <w:t>0.832</w:t>
            </w:r>
          </w:p>
        </w:tc>
      </w:tr>
    </w:tbl>
    <w:p>
      <w:r>
        <w:rPr>
          <w:rFonts w:ascii="Times New Roman" w:hAnsi="Times New Roman" w:eastAsia="Times New Roman"/>
          <w:b w:val="0"/>
          <w:i/>
          <w:sz w:val="20"/>
        </w:rPr>
        <w:t>Note. All loadings exceed the 0.708 threshold (Fig. 2).</w:t>
      </w:r>
    </w:p>
    <w:p/>
    <w:p>
      <w:pPr>
        <w:jc w:val="center"/>
      </w:pPr>
      <w:r>
        <w:drawing>
          <wp:inline xmlns:a="http://schemas.openxmlformats.org/drawingml/2006/main" xmlns:pic="http://schemas.openxmlformats.org/drawingml/2006/picture">
            <wp:extent cx="5760720" cy="3825326"/>
            <wp:docPr id="4" name="Picture 4"/>
            <wp:cNvGraphicFramePr>
              <a:graphicFrameLocks noChangeAspect="1"/>
            </wp:cNvGraphicFramePr>
            <a:graphic>
              <a:graphicData uri="http://schemas.openxmlformats.org/drawingml/2006/picture">
                <pic:pic>
                  <pic:nvPicPr>
                    <pic:cNvPr id="0" name="fig2_outer_loadings.png"/>
                    <pic:cNvPicPr/>
                  </pic:nvPicPr>
                  <pic:blipFill>
                    <a:blip r:embed="rId12"/>
                    <a:stretch>
                      <a:fillRect/>
                    </a:stretch>
                  </pic:blipFill>
                  <pic:spPr>
                    <a:xfrm>
                      <a:off x="0" y="0"/>
                      <a:ext cx="5760720" cy="3825326"/>
                    </a:xfrm>
                    <a:prstGeom prst="rect"/>
                  </pic:spPr>
                </pic:pic>
              </a:graphicData>
            </a:graphic>
          </wp:inline>
        </w:drawing>
      </w:r>
    </w:p>
    <w:p>
      <w:pPr>
        <w:spacing w:after="200"/>
        <w:jc w:val="center"/>
      </w:pPr>
      <w:r>
        <w:rPr>
          <w:rFonts w:ascii="Times New Roman" w:hAnsi="Times New Roman" w:eastAsia="Times New Roman"/>
          <w:b w:val="0"/>
          <w:i/>
          <w:sz w:val="22"/>
        </w:rPr>
        <w:t>Figure 2. Indicator outer loadings by construct, relative to the 0.708 threshold.</w:t>
      </w:r>
    </w:p>
    <w:p>
      <w:pPr>
        <w:spacing w:before="240" w:after="120"/>
      </w:pPr>
      <w:r>
        <w:rPr>
          <w:rFonts w:ascii="Times New Roman" w:hAnsi="Times New Roman" w:eastAsia="Times New Roman"/>
          <w:b/>
          <w:i w:val="0"/>
          <w:sz w:val="24"/>
        </w:rPr>
        <w:t>4.2.2 Discriminant Validity</w:t>
      </w:r>
    </w:p>
    <w:p>
      <w:pPr>
        <w:jc w:val="both"/>
      </w:pPr>
      <w:r>
        <w:rPr>
          <w:rFonts w:ascii="Times New Roman" w:hAnsi="Times New Roman" w:eastAsia="Times New Roman"/>
          <w:b w:val="0"/>
          <w:i w:val="0"/>
          <w:sz w:val="24"/>
        </w:rPr>
        <w:t>Discriminant validity was assessed using both the Fornell–Larcker criterion and the heterotrait–monotrait ratio of correlations (HTMT). As reported in Table 3, the square root of each construct’s AVE (diagonal, in bold) is substantially larger than its correlations with all other constructs, satisfying the Fornell–Larcker criterion. The HTMT values (Table 4) were all far below the conservative 0.85 threshold (maximum HTMT = 0.094), providing strong evidence of discriminant validity. Notably, the very low inter-construct correlations already foreshadow the structural results reported in Section 4.3.</w:t>
      </w:r>
    </w:p>
    <w:p>
      <w:pPr>
        <w:jc w:val="both"/>
      </w:pPr>
      <w:r>
        <w:rPr>
          <w:rFonts w:ascii="Times New Roman" w:hAnsi="Times New Roman" w:eastAsia="Times New Roman"/>
          <w:b/>
          <w:i w:val="0"/>
          <w:sz w:val="24"/>
        </w:rPr>
        <w:t>Table 3. Fornell–Larcker criterion (diagonal = √AVE).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Times New Roman"/>
                <w:b/>
                <w:i w:val="0"/>
                <w:sz w:val="22"/>
              </w:rPr>
              <w:t>Construct</w:t>
            </w:r>
          </w:p>
        </w:tc>
        <w:tc>
          <w:tcPr>
            <w:tcW w:type="dxa" w:w="1728"/>
          </w:tcPr>
          <w:p>
            <w:pPr>
              <w:jc w:val="center"/>
            </w:pPr>
            <w:r/>
            <w:r>
              <w:rPr>
                <w:rFonts w:ascii="Times New Roman" w:hAnsi="Times New Roman" w:eastAsia="Times New Roman"/>
                <w:b/>
                <w:i w:val="0"/>
                <w:sz w:val="22"/>
              </w:rPr>
              <w:t>UE</w:t>
            </w:r>
          </w:p>
        </w:tc>
        <w:tc>
          <w:tcPr>
            <w:tcW w:type="dxa" w:w="1728"/>
          </w:tcPr>
          <w:p>
            <w:pPr>
              <w:jc w:val="center"/>
            </w:pPr>
            <w:r/>
            <w:r>
              <w:rPr>
                <w:rFonts w:ascii="Times New Roman" w:hAnsi="Times New Roman" w:eastAsia="Times New Roman"/>
                <w:b/>
                <w:i w:val="0"/>
                <w:sz w:val="22"/>
              </w:rPr>
              <w:t>UX</w:t>
            </w:r>
          </w:p>
        </w:tc>
        <w:tc>
          <w:tcPr>
            <w:tcW w:type="dxa" w:w="1728"/>
          </w:tcPr>
          <w:p>
            <w:pPr>
              <w:jc w:val="center"/>
            </w:pPr>
            <w:r/>
            <w:r>
              <w:rPr>
                <w:rFonts w:ascii="Times New Roman" w:hAnsi="Times New Roman" w:eastAsia="Times New Roman"/>
                <w:b/>
                <w:i w:val="0"/>
                <w:sz w:val="22"/>
              </w:rPr>
              <w:t>BSAT</w:t>
            </w:r>
          </w:p>
        </w:tc>
        <w:tc>
          <w:tcPr>
            <w:tcW w:type="dxa" w:w="1728"/>
          </w:tcPr>
          <w:p>
            <w:pPr>
              <w:jc w:val="center"/>
            </w:pPr>
            <w:r/>
            <w:r>
              <w:rPr>
                <w:rFonts w:ascii="Times New Roman" w:hAnsi="Times New Roman" w:eastAsia="Times New Roman"/>
                <w:b/>
                <w:i w:val="0"/>
                <w:sz w:val="22"/>
              </w:rPr>
              <w:t>BSUC</w:t>
            </w:r>
          </w:p>
        </w:tc>
      </w:tr>
      <w:tr>
        <w:tc>
          <w:tcPr>
            <w:tcW w:type="dxa" w:w="1728"/>
          </w:tcPr>
          <w:p>
            <w:r>
              <w:rPr>
                <w:rFonts w:ascii="Times New Roman" w:hAnsi="Times New Roman" w:eastAsia="Times New Roman"/>
                <w:b/>
                <w:i w:val="0"/>
                <w:sz w:val="22"/>
              </w:rPr>
              <w:t>UE</w:t>
            </w:r>
          </w:p>
        </w:tc>
        <w:tc>
          <w:tcPr>
            <w:tcW w:type="dxa" w:w="1728"/>
          </w:tcPr>
          <w:p>
            <w:pPr>
              <w:jc w:val="center"/>
            </w:pPr>
            <w:r/>
            <w:r>
              <w:rPr>
                <w:rFonts w:ascii="Times New Roman" w:hAnsi="Times New Roman" w:eastAsia="Times New Roman"/>
                <w:b w:val="0"/>
                <w:i w:val="0"/>
                <w:sz w:val="22"/>
              </w:rPr>
              <w:t>0.874</w:t>
            </w:r>
          </w:p>
        </w:tc>
        <w:tc>
          <w:tcPr>
            <w:tcW w:type="dxa" w:w="1728"/>
          </w:tcPr>
          <w:p>
            <w:pPr>
              <w:jc w:val="center"/>
            </w:pPr>
            <w:r/>
            <w:r>
              <w:rPr>
                <w:rFonts w:ascii="Times New Roman" w:hAnsi="Times New Roman" w:eastAsia="Times New Roman"/>
                <w:b w:val="0"/>
                <w:i w:val="0"/>
                <w:sz w:val="22"/>
              </w:rPr>
              <w:t>-0.004</w:t>
            </w:r>
          </w:p>
        </w:tc>
        <w:tc>
          <w:tcPr>
            <w:tcW w:type="dxa" w:w="1728"/>
          </w:tcPr>
          <w:p>
            <w:pPr>
              <w:jc w:val="center"/>
            </w:pPr>
            <w:r/>
            <w:r>
              <w:rPr>
                <w:rFonts w:ascii="Times New Roman" w:hAnsi="Times New Roman" w:eastAsia="Times New Roman"/>
                <w:b w:val="0"/>
                <w:i w:val="0"/>
                <w:sz w:val="22"/>
              </w:rPr>
              <w:t>-0.045</w:t>
            </w:r>
          </w:p>
        </w:tc>
        <w:tc>
          <w:tcPr>
            <w:tcW w:type="dxa" w:w="1728"/>
          </w:tcPr>
          <w:p>
            <w:pPr>
              <w:jc w:val="center"/>
            </w:pPr>
            <w:r/>
            <w:r>
              <w:rPr>
                <w:rFonts w:ascii="Times New Roman" w:hAnsi="Times New Roman" w:eastAsia="Times New Roman"/>
                <w:b w:val="0"/>
                <w:i w:val="0"/>
                <w:sz w:val="22"/>
              </w:rPr>
              <w:t>0.060</w:t>
            </w:r>
          </w:p>
        </w:tc>
      </w:tr>
      <w:tr>
        <w:tc>
          <w:tcPr>
            <w:tcW w:type="dxa" w:w="1728"/>
          </w:tcPr>
          <w:p>
            <w:r>
              <w:rPr>
                <w:rFonts w:ascii="Times New Roman" w:hAnsi="Times New Roman" w:eastAsia="Times New Roman"/>
                <w:b/>
                <w:i w:val="0"/>
                <w:sz w:val="22"/>
              </w:rPr>
              <w:t>UX</w:t>
            </w:r>
          </w:p>
        </w:tc>
        <w:tc>
          <w:tcPr>
            <w:tcW w:type="dxa" w:w="1728"/>
          </w:tcPr>
          <w:p>
            <w:pPr>
              <w:jc w:val="center"/>
            </w:pPr>
            <w:r/>
            <w:r>
              <w:rPr>
                <w:rFonts w:ascii="Times New Roman" w:hAnsi="Times New Roman" w:eastAsia="Times New Roman"/>
                <w:b w:val="0"/>
                <w:i w:val="0"/>
                <w:sz w:val="22"/>
              </w:rPr>
              <w:t>-0.004</w:t>
            </w:r>
          </w:p>
        </w:tc>
        <w:tc>
          <w:tcPr>
            <w:tcW w:type="dxa" w:w="1728"/>
          </w:tcPr>
          <w:p>
            <w:pPr>
              <w:jc w:val="center"/>
            </w:pPr>
            <w:r/>
            <w:r>
              <w:rPr>
                <w:rFonts w:ascii="Times New Roman" w:hAnsi="Times New Roman" w:eastAsia="Times New Roman"/>
                <w:b w:val="0"/>
                <w:i w:val="0"/>
                <w:sz w:val="22"/>
              </w:rPr>
              <w:t>0.875</w:t>
            </w:r>
          </w:p>
        </w:tc>
        <w:tc>
          <w:tcPr>
            <w:tcW w:type="dxa" w:w="1728"/>
          </w:tcPr>
          <w:p>
            <w:pPr>
              <w:jc w:val="center"/>
            </w:pPr>
            <w:r/>
            <w:r>
              <w:rPr>
                <w:rFonts w:ascii="Times New Roman" w:hAnsi="Times New Roman" w:eastAsia="Times New Roman"/>
                <w:b w:val="0"/>
                <w:i w:val="0"/>
                <w:sz w:val="22"/>
              </w:rPr>
              <w:t>0.103</w:t>
            </w:r>
          </w:p>
        </w:tc>
        <w:tc>
          <w:tcPr>
            <w:tcW w:type="dxa" w:w="1728"/>
          </w:tcPr>
          <w:p>
            <w:pPr>
              <w:jc w:val="center"/>
            </w:pPr>
            <w:r/>
            <w:r>
              <w:rPr>
                <w:rFonts w:ascii="Times New Roman" w:hAnsi="Times New Roman" w:eastAsia="Times New Roman"/>
                <w:b w:val="0"/>
                <w:i w:val="0"/>
                <w:sz w:val="22"/>
              </w:rPr>
              <w:t>-0.057</w:t>
            </w:r>
          </w:p>
        </w:tc>
      </w:tr>
      <w:tr>
        <w:tc>
          <w:tcPr>
            <w:tcW w:type="dxa" w:w="1728"/>
          </w:tcPr>
          <w:p>
            <w:r>
              <w:rPr>
                <w:rFonts w:ascii="Times New Roman" w:hAnsi="Times New Roman" w:eastAsia="Times New Roman"/>
                <w:b/>
                <w:i w:val="0"/>
                <w:sz w:val="22"/>
              </w:rPr>
              <w:t>BSAT</w:t>
            </w:r>
          </w:p>
        </w:tc>
        <w:tc>
          <w:tcPr>
            <w:tcW w:type="dxa" w:w="1728"/>
          </w:tcPr>
          <w:p>
            <w:pPr>
              <w:jc w:val="center"/>
            </w:pPr>
            <w:r/>
            <w:r>
              <w:rPr>
                <w:rFonts w:ascii="Times New Roman" w:hAnsi="Times New Roman" w:eastAsia="Times New Roman"/>
                <w:b w:val="0"/>
                <w:i w:val="0"/>
                <w:sz w:val="22"/>
              </w:rPr>
              <w:t>-0.045</w:t>
            </w:r>
          </w:p>
        </w:tc>
        <w:tc>
          <w:tcPr>
            <w:tcW w:type="dxa" w:w="1728"/>
          </w:tcPr>
          <w:p>
            <w:pPr>
              <w:jc w:val="center"/>
            </w:pPr>
            <w:r/>
            <w:r>
              <w:rPr>
                <w:rFonts w:ascii="Times New Roman" w:hAnsi="Times New Roman" w:eastAsia="Times New Roman"/>
                <w:b w:val="0"/>
                <w:i w:val="0"/>
                <w:sz w:val="22"/>
              </w:rPr>
              <w:t>0.103</w:t>
            </w:r>
          </w:p>
        </w:tc>
        <w:tc>
          <w:tcPr>
            <w:tcW w:type="dxa" w:w="1728"/>
          </w:tcPr>
          <w:p>
            <w:pPr>
              <w:jc w:val="center"/>
            </w:pPr>
            <w:r/>
            <w:r>
              <w:rPr>
                <w:rFonts w:ascii="Times New Roman" w:hAnsi="Times New Roman" w:eastAsia="Times New Roman"/>
                <w:b w:val="0"/>
                <w:i w:val="0"/>
                <w:sz w:val="22"/>
              </w:rPr>
              <w:t>0.887</w:t>
            </w:r>
          </w:p>
        </w:tc>
        <w:tc>
          <w:tcPr>
            <w:tcW w:type="dxa" w:w="1728"/>
          </w:tcPr>
          <w:p>
            <w:pPr>
              <w:jc w:val="center"/>
            </w:pPr>
            <w:r/>
            <w:r>
              <w:rPr>
                <w:rFonts w:ascii="Times New Roman" w:hAnsi="Times New Roman" w:eastAsia="Times New Roman"/>
                <w:b w:val="0"/>
                <w:i w:val="0"/>
                <w:sz w:val="22"/>
              </w:rPr>
              <w:t>0.019</w:t>
            </w:r>
          </w:p>
        </w:tc>
      </w:tr>
      <w:tr>
        <w:tc>
          <w:tcPr>
            <w:tcW w:type="dxa" w:w="1728"/>
          </w:tcPr>
          <w:p>
            <w:r>
              <w:rPr>
                <w:rFonts w:ascii="Times New Roman" w:hAnsi="Times New Roman" w:eastAsia="Times New Roman"/>
                <w:b/>
                <w:i w:val="0"/>
                <w:sz w:val="22"/>
              </w:rPr>
              <w:t>BSUC</w:t>
            </w:r>
          </w:p>
        </w:tc>
        <w:tc>
          <w:tcPr>
            <w:tcW w:type="dxa" w:w="1728"/>
          </w:tcPr>
          <w:p>
            <w:pPr>
              <w:jc w:val="center"/>
            </w:pPr>
            <w:r/>
            <w:r>
              <w:rPr>
                <w:rFonts w:ascii="Times New Roman" w:hAnsi="Times New Roman" w:eastAsia="Times New Roman"/>
                <w:b w:val="0"/>
                <w:i w:val="0"/>
                <w:sz w:val="22"/>
              </w:rPr>
              <w:t>0.060</w:t>
            </w:r>
          </w:p>
        </w:tc>
        <w:tc>
          <w:tcPr>
            <w:tcW w:type="dxa" w:w="1728"/>
          </w:tcPr>
          <w:p>
            <w:pPr>
              <w:jc w:val="center"/>
            </w:pPr>
            <w:r/>
            <w:r>
              <w:rPr>
                <w:rFonts w:ascii="Times New Roman" w:hAnsi="Times New Roman" w:eastAsia="Times New Roman"/>
                <w:b w:val="0"/>
                <w:i w:val="0"/>
                <w:sz w:val="22"/>
              </w:rPr>
              <w:t>-0.057</w:t>
            </w:r>
          </w:p>
        </w:tc>
        <w:tc>
          <w:tcPr>
            <w:tcW w:type="dxa" w:w="1728"/>
          </w:tcPr>
          <w:p>
            <w:pPr>
              <w:jc w:val="center"/>
            </w:pPr>
            <w:r/>
            <w:r>
              <w:rPr>
                <w:rFonts w:ascii="Times New Roman" w:hAnsi="Times New Roman" w:eastAsia="Times New Roman"/>
                <w:b w:val="0"/>
                <w:i w:val="0"/>
                <w:sz w:val="22"/>
              </w:rPr>
              <w:t>0.019</w:t>
            </w:r>
          </w:p>
        </w:tc>
        <w:tc>
          <w:tcPr>
            <w:tcW w:type="dxa" w:w="1728"/>
          </w:tcPr>
          <w:p>
            <w:pPr>
              <w:jc w:val="center"/>
            </w:pPr>
            <w:r/>
            <w:r>
              <w:rPr>
                <w:rFonts w:ascii="Times New Roman" w:hAnsi="Times New Roman" w:eastAsia="Times New Roman"/>
                <w:b w:val="0"/>
                <w:i w:val="0"/>
                <w:sz w:val="22"/>
              </w:rPr>
              <w:t>0.876</w:t>
            </w:r>
          </w:p>
        </w:tc>
      </w:tr>
    </w:tbl>
    <w:p>
      <w:r>
        <w:rPr>
          <w:rFonts w:ascii="Times New Roman" w:hAnsi="Times New Roman" w:eastAsia="Times New Roman"/>
          <w:b w:val="0"/>
          <w:i/>
          <w:sz w:val="20"/>
        </w:rPr>
        <w:t>Note. Diagonal elements (√AVE) exceed off-diagonal inter-construct correlations.</w:t>
      </w:r>
    </w:p>
    <w:p/>
    <w:p>
      <w:pPr>
        <w:jc w:val="both"/>
      </w:pPr>
      <w:r>
        <w:rPr>
          <w:rFonts w:ascii="Times New Roman" w:hAnsi="Times New Roman" w:eastAsia="Times New Roman"/>
          <w:b/>
          <w:i w:val="0"/>
          <w:sz w:val="24"/>
        </w:rPr>
        <w:t>Table 4. Heterotrait–monotrait ratio (HTMT).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Times New Roman"/>
                <w:b/>
                <w:i w:val="0"/>
                <w:sz w:val="22"/>
              </w:rPr>
              <w:t>Construct</w:t>
            </w:r>
          </w:p>
        </w:tc>
        <w:tc>
          <w:tcPr>
            <w:tcW w:type="dxa" w:w="1728"/>
          </w:tcPr>
          <w:p>
            <w:pPr>
              <w:jc w:val="center"/>
            </w:pPr>
            <w:r/>
            <w:r>
              <w:rPr>
                <w:rFonts w:ascii="Times New Roman" w:hAnsi="Times New Roman" w:eastAsia="Times New Roman"/>
                <w:b/>
                <w:i w:val="0"/>
                <w:sz w:val="22"/>
              </w:rPr>
              <w:t>UE</w:t>
            </w:r>
          </w:p>
        </w:tc>
        <w:tc>
          <w:tcPr>
            <w:tcW w:type="dxa" w:w="1728"/>
          </w:tcPr>
          <w:p>
            <w:pPr>
              <w:jc w:val="center"/>
            </w:pPr>
            <w:r/>
            <w:r>
              <w:rPr>
                <w:rFonts w:ascii="Times New Roman" w:hAnsi="Times New Roman" w:eastAsia="Times New Roman"/>
                <w:b/>
                <w:i w:val="0"/>
                <w:sz w:val="22"/>
              </w:rPr>
              <w:t>UX</w:t>
            </w:r>
          </w:p>
        </w:tc>
        <w:tc>
          <w:tcPr>
            <w:tcW w:type="dxa" w:w="1728"/>
          </w:tcPr>
          <w:p>
            <w:pPr>
              <w:jc w:val="center"/>
            </w:pPr>
            <w:r/>
            <w:r>
              <w:rPr>
                <w:rFonts w:ascii="Times New Roman" w:hAnsi="Times New Roman" w:eastAsia="Times New Roman"/>
                <w:b/>
                <w:i w:val="0"/>
                <w:sz w:val="22"/>
              </w:rPr>
              <w:t>BSAT</w:t>
            </w:r>
          </w:p>
        </w:tc>
        <w:tc>
          <w:tcPr>
            <w:tcW w:type="dxa" w:w="1728"/>
          </w:tcPr>
          <w:p>
            <w:pPr>
              <w:jc w:val="center"/>
            </w:pPr>
            <w:r/>
            <w:r>
              <w:rPr>
                <w:rFonts w:ascii="Times New Roman" w:hAnsi="Times New Roman" w:eastAsia="Times New Roman"/>
                <w:b/>
                <w:i w:val="0"/>
                <w:sz w:val="22"/>
              </w:rPr>
              <w:t>BSUC</w:t>
            </w:r>
          </w:p>
        </w:tc>
      </w:tr>
      <w:tr>
        <w:tc>
          <w:tcPr>
            <w:tcW w:type="dxa" w:w="1728"/>
          </w:tcPr>
          <w:p>
            <w:r>
              <w:rPr>
                <w:rFonts w:ascii="Times New Roman" w:hAnsi="Times New Roman" w:eastAsia="Times New Roman"/>
                <w:b/>
                <w:i w:val="0"/>
                <w:sz w:val="22"/>
              </w:rPr>
              <w:t>UE</w:t>
            </w:r>
          </w:p>
        </w:tc>
        <w:tc>
          <w:tcPr>
            <w:tcW w:type="dxa" w:w="1728"/>
          </w:tcPr>
          <w:p>
            <w:pPr>
              <w:jc w:val="center"/>
            </w:pPr>
            <w:r/>
            <w:r>
              <w:rPr>
                <w:rFonts w:ascii="Times New Roman" w:hAnsi="Times New Roman" w:eastAsia="Times New Roman"/>
                <w:b w:val="0"/>
                <w:i w:val="0"/>
                <w:sz w:val="22"/>
              </w:rPr>
              <w:t>–</w:t>
            </w:r>
          </w:p>
        </w:tc>
        <w:tc>
          <w:tcPr>
            <w:tcW w:type="dxa" w:w="1728"/>
          </w:tcPr>
          <w:p>
            <w:pPr>
              <w:jc w:val="center"/>
            </w:pPr>
            <w:r/>
            <w:r>
              <w:rPr>
                <w:rFonts w:ascii="Times New Roman" w:hAnsi="Times New Roman" w:eastAsia="Times New Roman"/>
                <w:b w:val="0"/>
                <w:i w:val="0"/>
                <w:sz w:val="22"/>
              </w:rPr>
              <w:t>–</w:t>
            </w:r>
          </w:p>
        </w:tc>
        <w:tc>
          <w:tcPr>
            <w:tcW w:type="dxa" w:w="1728"/>
          </w:tcPr>
          <w:p>
            <w:pPr>
              <w:jc w:val="center"/>
            </w:pPr>
            <w:r/>
            <w:r>
              <w:rPr>
                <w:rFonts w:ascii="Times New Roman" w:hAnsi="Times New Roman" w:eastAsia="Times New Roman"/>
                <w:b w:val="0"/>
                <w:i w:val="0"/>
                <w:sz w:val="22"/>
              </w:rPr>
              <w:t>–</w:t>
            </w:r>
          </w:p>
        </w:tc>
        <w:tc>
          <w:tcPr>
            <w:tcW w:type="dxa" w:w="1728"/>
          </w:tcPr>
          <w:p>
            <w:pPr>
              <w:jc w:val="center"/>
            </w:pPr>
            <w:r/>
            <w:r>
              <w:rPr>
                <w:rFonts w:ascii="Times New Roman" w:hAnsi="Times New Roman" w:eastAsia="Times New Roman"/>
                <w:b w:val="0"/>
                <w:i w:val="0"/>
                <w:sz w:val="22"/>
              </w:rPr>
              <w:t>–</w:t>
            </w:r>
          </w:p>
        </w:tc>
      </w:tr>
      <w:tr>
        <w:tc>
          <w:tcPr>
            <w:tcW w:type="dxa" w:w="1728"/>
          </w:tcPr>
          <w:p>
            <w:r>
              <w:rPr>
                <w:rFonts w:ascii="Times New Roman" w:hAnsi="Times New Roman" w:eastAsia="Times New Roman"/>
                <w:b/>
                <w:i w:val="0"/>
                <w:sz w:val="22"/>
              </w:rPr>
              <w:t>UX</w:t>
            </w:r>
          </w:p>
        </w:tc>
        <w:tc>
          <w:tcPr>
            <w:tcW w:type="dxa" w:w="1728"/>
          </w:tcPr>
          <w:p>
            <w:pPr>
              <w:jc w:val="center"/>
            </w:pPr>
            <w:r/>
            <w:r>
              <w:rPr>
                <w:rFonts w:ascii="Times New Roman" w:hAnsi="Times New Roman" w:eastAsia="Times New Roman"/>
                <w:b w:val="0"/>
                <w:i w:val="0"/>
                <w:sz w:val="22"/>
              </w:rPr>
              <w:t>0.041</w:t>
            </w:r>
          </w:p>
        </w:tc>
        <w:tc>
          <w:tcPr>
            <w:tcW w:type="dxa" w:w="1728"/>
          </w:tcPr>
          <w:p>
            <w:pPr>
              <w:jc w:val="center"/>
            </w:pPr>
            <w:r/>
            <w:r>
              <w:rPr>
                <w:rFonts w:ascii="Times New Roman" w:hAnsi="Times New Roman" w:eastAsia="Times New Roman"/>
                <w:b w:val="0"/>
                <w:i w:val="0"/>
                <w:sz w:val="22"/>
              </w:rPr>
              <w:t>–</w:t>
            </w:r>
          </w:p>
        </w:tc>
        <w:tc>
          <w:tcPr>
            <w:tcW w:type="dxa" w:w="1728"/>
          </w:tcPr>
          <w:p>
            <w:pPr>
              <w:jc w:val="center"/>
            </w:pPr>
            <w:r/>
            <w:r>
              <w:rPr>
                <w:rFonts w:ascii="Times New Roman" w:hAnsi="Times New Roman" w:eastAsia="Times New Roman"/>
                <w:b w:val="0"/>
                <w:i w:val="0"/>
                <w:sz w:val="22"/>
              </w:rPr>
              <w:t>–</w:t>
            </w:r>
          </w:p>
        </w:tc>
        <w:tc>
          <w:tcPr>
            <w:tcW w:type="dxa" w:w="1728"/>
          </w:tcPr>
          <w:p>
            <w:pPr>
              <w:jc w:val="center"/>
            </w:pPr>
            <w:r/>
            <w:r>
              <w:rPr>
                <w:rFonts w:ascii="Times New Roman" w:hAnsi="Times New Roman" w:eastAsia="Times New Roman"/>
                <w:b w:val="0"/>
                <w:i w:val="0"/>
                <w:sz w:val="22"/>
              </w:rPr>
              <w:t>–</w:t>
            </w:r>
          </w:p>
        </w:tc>
      </w:tr>
      <w:tr>
        <w:tc>
          <w:tcPr>
            <w:tcW w:type="dxa" w:w="1728"/>
          </w:tcPr>
          <w:p>
            <w:r>
              <w:rPr>
                <w:rFonts w:ascii="Times New Roman" w:hAnsi="Times New Roman" w:eastAsia="Times New Roman"/>
                <w:b/>
                <w:i w:val="0"/>
                <w:sz w:val="22"/>
              </w:rPr>
              <w:t>BSAT</w:t>
            </w:r>
          </w:p>
        </w:tc>
        <w:tc>
          <w:tcPr>
            <w:tcW w:type="dxa" w:w="1728"/>
          </w:tcPr>
          <w:p>
            <w:pPr>
              <w:jc w:val="center"/>
            </w:pPr>
            <w:r/>
            <w:r>
              <w:rPr>
                <w:rFonts w:ascii="Times New Roman" w:hAnsi="Times New Roman" w:eastAsia="Times New Roman"/>
                <w:b w:val="0"/>
                <w:i w:val="0"/>
                <w:sz w:val="22"/>
              </w:rPr>
              <w:t>0.050</w:t>
            </w:r>
          </w:p>
        </w:tc>
        <w:tc>
          <w:tcPr>
            <w:tcW w:type="dxa" w:w="1728"/>
          </w:tcPr>
          <w:p>
            <w:pPr>
              <w:jc w:val="center"/>
            </w:pPr>
            <w:r/>
            <w:r>
              <w:rPr>
                <w:rFonts w:ascii="Times New Roman" w:hAnsi="Times New Roman" w:eastAsia="Times New Roman"/>
                <w:b w:val="0"/>
                <w:i w:val="0"/>
                <w:sz w:val="22"/>
              </w:rPr>
              <w:t>0.094</w:t>
            </w:r>
          </w:p>
        </w:tc>
        <w:tc>
          <w:tcPr>
            <w:tcW w:type="dxa" w:w="1728"/>
          </w:tcPr>
          <w:p>
            <w:pPr>
              <w:jc w:val="center"/>
            </w:pPr>
            <w:r/>
            <w:r>
              <w:rPr>
                <w:rFonts w:ascii="Times New Roman" w:hAnsi="Times New Roman" w:eastAsia="Times New Roman"/>
                <w:b w:val="0"/>
                <w:i w:val="0"/>
                <w:sz w:val="22"/>
              </w:rPr>
              <w:t>–</w:t>
            </w:r>
          </w:p>
        </w:tc>
        <w:tc>
          <w:tcPr>
            <w:tcW w:type="dxa" w:w="1728"/>
          </w:tcPr>
          <w:p>
            <w:pPr>
              <w:jc w:val="center"/>
            </w:pPr>
            <w:r/>
            <w:r>
              <w:rPr>
                <w:rFonts w:ascii="Times New Roman" w:hAnsi="Times New Roman" w:eastAsia="Times New Roman"/>
                <w:b w:val="0"/>
                <w:i w:val="0"/>
                <w:sz w:val="22"/>
              </w:rPr>
              <w:t>–</w:t>
            </w:r>
          </w:p>
        </w:tc>
      </w:tr>
      <w:tr>
        <w:tc>
          <w:tcPr>
            <w:tcW w:type="dxa" w:w="1728"/>
          </w:tcPr>
          <w:p>
            <w:r>
              <w:rPr>
                <w:rFonts w:ascii="Times New Roman" w:hAnsi="Times New Roman" w:eastAsia="Times New Roman"/>
                <w:b/>
                <w:i w:val="0"/>
                <w:sz w:val="22"/>
              </w:rPr>
              <w:t>BSUC</w:t>
            </w:r>
          </w:p>
        </w:tc>
        <w:tc>
          <w:tcPr>
            <w:tcW w:type="dxa" w:w="1728"/>
          </w:tcPr>
          <w:p>
            <w:pPr>
              <w:jc w:val="center"/>
            </w:pPr>
            <w:r/>
            <w:r>
              <w:rPr>
                <w:rFonts w:ascii="Times New Roman" w:hAnsi="Times New Roman" w:eastAsia="Times New Roman"/>
                <w:b w:val="0"/>
                <w:i w:val="0"/>
                <w:sz w:val="22"/>
              </w:rPr>
              <w:t>0.042</w:t>
            </w:r>
          </w:p>
        </w:tc>
        <w:tc>
          <w:tcPr>
            <w:tcW w:type="dxa" w:w="1728"/>
          </w:tcPr>
          <w:p>
            <w:pPr>
              <w:jc w:val="center"/>
            </w:pPr>
            <w:r/>
            <w:r>
              <w:rPr>
                <w:rFonts w:ascii="Times New Roman" w:hAnsi="Times New Roman" w:eastAsia="Times New Roman"/>
                <w:b w:val="0"/>
                <w:i w:val="0"/>
                <w:sz w:val="22"/>
              </w:rPr>
              <w:t>0.073</w:t>
            </w:r>
          </w:p>
        </w:tc>
        <w:tc>
          <w:tcPr>
            <w:tcW w:type="dxa" w:w="1728"/>
          </w:tcPr>
          <w:p>
            <w:pPr>
              <w:jc w:val="center"/>
            </w:pPr>
            <w:r/>
            <w:r>
              <w:rPr>
                <w:rFonts w:ascii="Times New Roman" w:hAnsi="Times New Roman" w:eastAsia="Times New Roman"/>
                <w:b w:val="0"/>
                <w:i w:val="0"/>
                <w:sz w:val="22"/>
              </w:rPr>
              <w:t>0.032</w:t>
            </w:r>
          </w:p>
        </w:tc>
        <w:tc>
          <w:tcPr>
            <w:tcW w:type="dxa" w:w="1728"/>
          </w:tcPr>
          <w:p>
            <w:pPr>
              <w:jc w:val="center"/>
            </w:pPr>
            <w:r/>
            <w:r>
              <w:rPr>
                <w:rFonts w:ascii="Times New Roman" w:hAnsi="Times New Roman" w:eastAsia="Times New Roman"/>
                <w:b w:val="0"/>
                <w:i w:val="0"/>
                <w:sz w:val="22"/>
              </w:rPr>
              <w:t>–</w:t>
            </w:r>
          </w:p>
        </w:tc>
      </w:tr>
    </w:tbl>
    <w:p>
      <w:r>
        <w:rPr>
          <w:rFonts w:ascii="Times New Roman" w:hAnsi="Times New Roman" w:eastAsia="Times New Roman"/>
          <w:b w:val="0"/>
          <w:i/>
          <w:sz w:val="20"/>
        </w:rPr>
        <w:t>Note. All HTMT values are below the 0.85 (and 0.90) thresholds.</w:t>
      </w:r>
    </w:p>
    <w:p/>
    <w:p>
      <w:pPr>
        <w:jc w:val="center"/>
      </w:pPr>
      <w:r>
        <w:drawing>
          <wp:inline xmlns:a="http://schemas.openxmlformats.org/drawingml/2006/main" xmlns:pic="http://schemas.openxmlformats.org/drawingml/2006/picture">
            <wp:extent cx="4572000" cy="3767942"/>
            <wp:docPr id="5" name="Picture 5"/>
            <wp:cNvGraphicFramePr>
              <a:graphicFrameLocks noChangeAspect="1"/>
            </wp:cNvGraphicFramePr>
            <a:graphic>
              <a:graphicData uri="http://schemas.openxmlformats.org/drawingml/2006/picture">
                <pic:pic>
                  <pic:nvPicPr>
                    <pic:cNvPr id="0" name="fig4_correlation_heatmap.png"/>
                    <pic:cNvPicPr/>
                  </pic:nvPicPr>
                  <pic:blipFill>
                    <a:blip r:embed="rId13"/>
                    <a:stretch>
                      <a:fillRect/>
                    </a:stretch>
                  </pic:blipFill>
                  <pic:spPr>
                    <a:xfrm>
                      <a:off x="0" y="0"/>
                      <a:ext cx="4572000" cy="3767942"/>
                    </a:xfrm>
                    <a:prstGeom prst="rect"/>
                  </pic:spPr>
                </pic:pic>
              </a:graphicData>
            </a:graphic>
          </wp:inline>
        </w:drawing>
      </w:r>
    </w:p>
    <w:p>
      <w:pPr>
        <w:spacing w:after="200"/>
        <w:jc w:val="center"/>
      </w:pPr>
      <w:r>
        <w:rPr>
          <w:rFonts w:ascii="Times New Roman" w:hAnsi="Times New Roman" w:eastAsia="Times New Roman"/>
          <w:b w:val="0"/>
          <w:i/>
          <w:sz w:val="22"/>
        </w:rPr>
        <w:t>Figure 4. Construct-level correlation matrix. Inter-construct correlations are near zero, anticipating the structural findings.</w:t>
      </w:r>
    </w:p>
    <w:p>
      <w:pPr>
        <w:spacing w:before="240" w:after="120"/>
      </w:pPr>
      <w:r>
        <w:rPr>
          <w:rFonts w:ascii="Times New Roman" w:hAnsi="Times New Roman" w:eastAsia="Times New Roman"/>
          <w:b/>
          <w:i w:val="0"/>
          <w:sz w:val="28"/>
        </w:rPr>
        <w:t>4.3 Assessment of the Structural Model</w:t>
      </w:r>
    </w:p>
    <w:p>
      <w:pPr>
        <w:jc w:val="both"/>
      </w:pPr>
      <w:r>
        <w:rPr>
          <w:rFonts w:ascii="Times New Roman" w:hAnsi="Times New Roman" w:eastAsia="Times New Roman"/>
          <w:b w:val="0"/>
          <w:i w:val="0"/>
          <w:sz w:val="24"/>
        </w:rPr>
        <w:t>Given the satisfactory measurement model, we evaluated the structural model using path coefficients, their significance (based on 5,000 bootstrap resamples), coefficients of determination (R²), effect sizes (f²), and predictive relevance (Q²). Collinearity was not a concern, as the predictor constructs were effectively uncorrelated.</w:t>
      </w:r>
    </w:p>
    <w:p>
      <w:pPr>
        <w:spacing w:before="240" w:after="120"/>
      </w:pPr>
      <w:r>
        <w:rPr>
          <w:rFonts w:ascii="Times New Roman" w:hAnsi="Times New Roman" w:eastAsia="Times New Roman"/>
          <w:b/>
          <w:i w:val="0"/>
          <w:sz w:val="24"/>
        </w:rPr>
        <w:t>4.3.1 Path Coefficients and Hypothesis Tests</w:t>
      </w:r>
    </w:p>
    <w:p>
      <w:pPr>
        <w:jc w:val="both"/>
      </w:pPr>
      <w:r>
        <w:rPr>
          <w:rFonts w:ascii="Times New Roman" w:hAnsi="Times New Roman" w:eastAsia="Times New Roman"/>
          <w:b w:val="0"/>
          <w:i w:val="0"/>
          <w:sz w:val="24"/>
        </w:rPr>
        <w:t>Table 5 and Figure 1 summarise the structural estimates. Contrary to expectations, none of the hypothesised paths reached statistical significance at the 0.05 level. Specifically, the effects of UE and UX on BSAT (H3a, H3b), of UE and UX on BSUC (H1, H2), and of BSAT on BSUC (H4) were all statistically non-significant, with bootstrap 95% confidence intervals that straddled zero in every case. The standardised path coefficients were uniformly small in magnitude (|β| ≤ 0.103).</w:t>
      </w:r>
    </w:p>
    <w:p>
      <w:pPr>
        <w:jc w:val="both"/>
      </w:pPr>
      <w:r>
        <w:rPr>
          <w:rFonts w:ascii="Times New Roman" w:hAnsi="Times New Roman" w:eastAsia="Times New Roman"/>
          <w:b/>
          <w:i w:val="0"/>
          <w:sz w:val="24"/>
        </w:rPr>
        <w:t>Table 5. Structural model path coefficients (5,000 bootstrap resamples).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Times New Roman" w:hAnsi="Times New Roman" w:eastAsia="Times New Roman"/>
                <w:b/>
                <w:i w:val="0"/>
                <w:sz w:val="22"/>
              </w:rPr>
              <w:t>Path</w:t>
            </w:r>
          </w:p>
        </w:tc>
        <w:tc>
          <w:tcPr>
            <w:tcW w:type="dxa" w:w="1080"/>
          </w:tcPr>
          <w:p>
            <w:pPr>
              <w:jc w:val="center"/>
            </w:pPr>
            <w:r/>
            <w:r>
              <w:rPr>
                <w:rFonts w:ascii="Times New Roman" w:hAnsi="Times New Roman" w:eastAsia="Times New Roman"/>
                <w:b/>
                <w:i w:val="0"/>
                <w:sz w:val="22"/>
              </w:rPr>
              <w:t>β</w:t>
            </w:r>
          </w:p>
        </w:tc>
        <w:tc>
          <w:tcPr>
            <w:tcW w:type="dxa" w:w="1080"/>
          </w:tcPr>
          <w:p>
            <w:pPr>
              <w:jc w:val="center"/>
            </w:pPr>
            <w:r/>
            <w:r>
              <w:rPr>
                <w:rFonts w:ascii="Times New Roman" w:hAnsi="Times New Roman" w:eastAsia="Times New Roman"/>
                <w:b/>
                <w:i w:val="0"/>
                <w:sz w:val="22"/>
              </w:rPr>
              <w:t>SE</w:t>
            </w:r>
          </w:p>
        </w:tc>
        <w:tc>
          <w:tcPr>
            <w:tcW w:type="dxa" w:w="1080"/>
          </w:tcPr>
          <w:p>
            <w:pPr>
              <w:jc w:val="center"/>
            </w:pPr>
            <w:r/>
            <w:r>
              <w:rPr>
                <w:rFonts w:ascii="Times New Roman" w:hAnsi="Times New Roman" w:eastAsia="Times New Roman"/>
                <w:b/>
                <w:i w:val="0"/>
                <w:sz w:val="22"/>
              </w:rPr>
              <w:t>t</w:t>
            </w:r>
          </w:p>
        </w:tc>
        <w:tc>
          <w:tcPr>
            <w:tcW w:type="dxa" w:w="1080"/>
          </w:tcPr>
          <w:p>
            <w:pPr>
              <w:jc w:val="center"/>
            </w:pPr>
            <w:r/>
            <w:r>
              <w:rPr>
                <w:rFonts w:ascii="Times New Roman" w:hAnsi="Times New Roman" w:eastAsia="Times New Roman"/>
                <w:b/>
                <w:i w:val="0"/>
                <w:sz w:val="22"/>
              </w:rPr>
              <w:t>p</w:t>
            </w:r>
          </w:p>
        </w:tc>
        <w:tc>
          <w:tcPr>
            <w:tcW w:type="dxa" w:w="1080"/>
          </w:tcPr>
          <w:p>
            <w:pPr>
              <w:jc w:val="center"/>
            </w:pPr>
            <w:r/>
            <w:r>
              <w:rPr>
                <w:rFonts w:ascii="Times New Roman" w:hAnsi="Times New Roman" w:eastAsia="Times New Roman"/>
                <w:b/>
                <w:i w:val="0"/>
                <w:sz w:val="22"/>
              </w:rPr>
              <w:t>CI 2.5%</w:t>
            </w:r>
          </w:p>
        </w:tc>
        <w:tc>
          <w:tcPr>
            <w:tcW w:type="dxa" w:w="1080"/>
          </w:tcPr>
          <w:p>
            <w:pPr>
              <w:jc w:val="center"/>
            </w:pPr>
            <w:r/>
            <w:r>
              <w:rPr>
                <w:rFonts w:ascii="Times New Roman" w:hAnsi="Times New Roman" w:eastAsia="Times New Roman"/>
                <w:b/>
                <w:i w:val="0"/>
                <w:sz w:val="22"/>
              </w:rPr>
              <w:t>CI 97.5%</w:t>
            </w:r>
          </w:p>
        </w:tc>
        <w:tc>
          <w:tcPr>
            <w:tcW w:type="dxa" w:w="1080"/>
          </w:tcPr>
          <w:p>
            <w:pPr>
              <w:jc w:val="center"/>
            </w:pPr>
            <w:r/>
            <w:r>
              <w:rPr>
                <w:rFonts w:ascii="Times New Roman" w:hAnsi="Times New Roman" w:eastAsia="Times New Roman"/>
                <w:b/>
                <w:i w:val="0"/>
                <w:sz w:val="22"/>
              </w:rPr>
              <w:t>Sig. (p&lt;.05)</w:t>
            </w:r>
          </w:p>
        </w:tc>
      </w:tr>
      <w:tr>
        <w:tc>
          <w:tcPr>
            <w:tcW w:type="dxa" w:w="1080"/>
          </w:tcPr>
          <w:p>
            <w:r>
              <w:rPr>
                <w:rFonts w:ascii="Times New Roman" w:hAnsi="Times New Roman" w:eastAsia="Times New Roman"/>
                <w:b/>
                <w:i w:val="0"/>
                <w:sz w:val="22"/>
              </w:rPr>
              <w:t>UE-&gt;BSAT</w:t>
            </w:r>
          </w:p>
        </w:tc>
        <w:tc>
          <w:tcPr>
            <w:tcW w:type="dxa" w:w="1080"/>
          </w:tcPr>
          <w:p>
            <w:pPr>
              <w:jc w:val="center"/>
            </w:pPr>
            <w:r/>
            <w:r>
              <w:rPr>
                <w:rFonts w:ascii="Times New Roman" w:hAnsi="Times New Roman" w:eastAsia="Times New Roman"/>
                <w:b w:val="0"/>
                <w:i w:val="0"/>
                <w:sz w:val="22"/>
              </w:rPr>
              <w:t>-0.045</w:t>
            </w:r>
          </w:p>
        </w:tc>
        <w:tc>
          <w:tcPr>
            <w:tcW w:type="dxa" w:w="1080"/>
          </w:tcPr>
          <w:p>
            <w:pPr>
              <w:jc w:val="center"/>
            </w:pPr>
            <w:r/>
            <w:r>
              <w:rPr>
                <w:rFonts w:ascii="Times New Roman" w:hAnsi="Times New Roman" w:eastAsia="Times New Roman"/>
                <w:b w:val="0"/>
                <w:i w:val="0"/>
                <w:sz w:val="22"/>
              </w:rPr>
              <w:t>0.079</w:t>
            </w:r>
          </w:p>
        </w:tc>
        <w:tc>
          <w:tcPr>
            <w:tcW w:type="dxa" w:w="1080"/>
          </w:tcPr>
          <w:p>
            <w:pPr>
              <w:jc w:val="center"/>
            </w:pPr>
            <w:r/>
            <w:r>
              <w:rPr>
                <w:rFonts w:ascii="Times New Roman" w:hAnsi="Times New Roman" w:eastAsia="Times New Roman"/>
                <w:b w:val="0"/>
                <w:i w:val="0"/>
                <w:sz w:val="22"/>
              </w:rPr>
              <w:t>-0.567</w:t>
            </w:r>
          </w:p>
        </w:tc>
        <w:tc>
          <w:tcPr>
            <w:tcW w:type="dxa" w:w="1080"/>
          </w:tcPr>
          <w:p>
            <w:pPr>
              <w:jc w:val="center"/>
            </w:pPr>
            <w:r/>
            <w:r>
              <w:rPr>
                <w:rFonts w:ascii="Times New Roman" w:hAnsi="Times New Roman" w:eastAsia="Times New Roman"/>
                <w:b w:val="0"/>
                <w:i w:val="0"/>
                <w:sz w:val="22"/>
              </w:rPr>
              <w:t>0.571</w:t>
            </w:r>
          </w:p>
        </w:tc>
        <w:tc>
          <w:tcPr>
            <w:tcW w:type="dxa" w:w="1080"/>
          </w:tcPr>
          <w:p>
            <w:pPr>
              <w:jc w:val="center"/>
            </w:pPr>
            <w:r/>
            <w:r>
              <w:rPr>
                <w:rFonts w:ascii="Times New Roman" w:hAnsi="Times New Roman" w:eastAsia="Times New Roman"/>
                <w:b w:val="0"/>
                <w:i w:val="0"/>
                <w:sz w:val="22"/>
              </w:rPr>
              <w:t>-0.170</w:t>
            </w:r>
          </w:p>
        </w:tc>
        <w:tc>
          <w:tcPr>
            <w:tcW w:type="dxa" w:w="1080"/>
          </w:tcPr>
          <w:p>
            <w:pPr>
              <w:jc w:val="center"/>
            </w:pPr>
            <w:r/>
            <w:r>
              <w:rPr>
                <w:rFonts w:ascii="Times New Roman" w:hAnsi="Times New Roman" w:eastAsia="Times New Roman"/>
                <w:b w:val="0"/>
                <w:i w:val="0"/>
                <w:sz w:val="22"/>
              </w:rPr>
              <w:t>0.116</w:t>
            </w:r>
          </w:p>
        </w:tc>
        <w:tc>
          <w:tcPr>
            <w:tcW w:type="dxa" w:w="1080"/>
          </w:tcPr>
          <w:p>
            <w:pPr>
              <w:jc w:val="center"/>
            </w:pPr>
            <w:r/>
            <w:r>
              <w:rPr>
                <w:rFonts w:ascii="Times New Roman" w:hAnsi="Times New Roman" w:eastAsia="Times New Roman"/>
                <w:b w:val="0"/>
                <w:i w:val="0"/>
                <w:sz w:val="22"/>
              </w:rPr>
              <w:t>No</w:t>
            </w:r>
          </w:p>
        </w:tc>
      </w:tr>
      <w:tr>
        <w:tc>
          <w:tcPr>
            <w:tcW w:type="dxa" w:w="1080"/>
          </w:tcPr>
          <w:p>
            <w:r>
              <w:rPr>
                <w:rFonts w:ascii="Times New Roman" w:hAnsi="Times New Roman" w:eastAsia="Times New Roman"/>
                <w:b/>
                <w:i w:val="0"/>
                <w:sz w:val="22"/>
              </w:rPr>
              <w:t>UX-&gt;BSAT</w:t>
            </w:r>
          </w:p>
        </w:tc>
        <w:tc>
          <w:tcPr>
            <w:tcW w:type="dxa" w:w="1080"/>
          </w:tcPr>
          <w:p>
            <w:pPr>
              <w:jc w:val="center"/>
            </w:pPr>
            <w:r/>
            <w:r>
              <w:rPr>
                <w:rFonts w:ascii="Times New Roman" w:hAnsi="Times New Roman" w:eastAsia="Times New Roman"/>
                <w:b w:val="0"/>
                <w:i w:val="0"/>
                <w:sz w:val="22"/>
              </w:rPr>
              <w:t>0.103</w:t>
            </w:r>
          </w:p>
        </w:tc>
        <w:tc>
          <w:tcPr>
            <w:tcW w:type="dxa" w:w="1080"/>
          </w:tcPr>
          <w:p>
            <w:pPr>
              <w:jc w:val="center"/>
            </w:pPr>
            <w:r/>
            <w:r>
              <w:rPr>
                <w:rFonts w:ascii="Times New Roman" w:hAnsi="Times New Roman" w:eastAsia="Times New Roman"/>
                <w:b w:val="0"/>
                <w:i w:val="0"/>
                <w:sz w:val="22"/>
              </w:rPr>
              <w:t>0.077</w:t>
            </w:r>
          </w:p>
        </w:tc>
        <w:tc>
          <w:tcPr>
            <w:tcW w:type="dxa" w:w="1080"/>
          </w:tcPr>
          <w:p>
            <w:pPr>
              <w:jc w:val="center"/>
            </w:pPr>
            <w:r/>
            <w:r>
              <w:rPr>
                <w:rFonts w:ascii="Times New Roman" w:hAnsi="Times New Roman" w:eastAsia="Times New Roman"/>
                <w:b w:val="0"/>
                <w:i w:val="0"/>
                <w:sz w:val="22"/>
              </w:rPr>
              <w:t>1.336</w:t>
            </w:r>
          </w:p>
        </w:tc>
        <w:tc>
          <w:tcPr>
            <w:tcW w:type="dxa" w:w="1080"/>
          </w:tcPr>
          <w:p>
            <w:pPr>
              <w:jc w:val="center"/>
            </w:pPr>
            <w:r/>
            <w:r>
              <w:rPr>
                <w:rFonts w:ascii="Times New Roman" w:hAnsi="Times New Roman" w:eastAsia="Times New Roman"/>
                <w:b w:val="0"/>
                <w:i w:val="0"/>
                <w:sz w:val="22"/>
              </w:rPr>
              <w:t>0.182</w:t>
            </w:r>
          </w:p>
        </w:tc>
        <w:tc>
          <w:tcPr>
            <w:tcW w:type="dxa" w:w="1080"/>
          </w:tcPr>
          <w:p>
            <w:pPr>
              <w:jc w:val="center"/>
            </w:pPr>
            <w:r/>
            <w:r>
              <w:rPr>
                <w:rFonts w:ascii="Times New Roman" w:hAnsi="Times New Roman" w:eastAsia="Times New Roman"/>
                <w:b w:val="0"/>
                <w:i w:val="0"/>
                <w:sz w:val="22"/>
              </w:rPr>
              <w:t>-0.102</w:t>
            </w:r>
          </w:p>
        </w:tc>
        <w:tc>
          <w:tcPr>
            <w:tcW w:type="dxa" w:w="1080"/>
          </w:tcPr>
          <w:p>
            <w:pPr>
              <w:jc w:val="center"/>
            </w:pPr>
            <w:r/>
            <w:r>
              <w:rPr>
                <w:rFonts w:ascii="Times New Roman" w:hAnsi="Times New Roman" w:eastAsia="Times New Roman"/>
                <w:b w:val="0"/>
                <w:i w:val="0"/>
                <w:sz w:val="22"/>
              </w:rPr>
              <w:t>0.216</w:t>
            </w:r>
          </w:p>
        </w:tc>
        <w:tc>
          <w:tcPr>
            <w:tcW w:type="dxa" w:w="1080"/>
          </w:tcPr>
          <w:p>
            <w:pPr>
              <w:jc w:val="center"/>
            </w:pPr>
            <w:r/>
            <w:r>
              <w:rPr>
                <w:rFonts w:ascii="Times New Roman" w:hAnsi="Times New Roman" w:eastAsia="Times New Roman"/>
                <w:b w:val="0"/>
                <w:i w:val="0"/>
                <w:sz w:val="22"/>
              </w:rPr>
              <w:t>No</w:t>
            </w:r>
          </w:p>
        </w:tc>
      </w:tr>
      <w:tr>
        <w:tc>
          <w:tcPr>
            <w:tcW w:type="dxa" w:w="1080"/>
          </w:tcPr>
          <w:p>
            <w:r>
              <w:rPr>
                <w:rFonts w:ascii="Times New Roman" w:hAnsi="Times New Roman" w:eastAsia="Times New Roman"/>
                <w:b/>
                <w:i w:val="0"/>
                <w:sz w:val="22"/>
              </w:rPr>
              <w:t>UE-&gt;BSUC</w:t>
            </w:r>
          </w:p>
        </w:tc>
        <w:tc>
          <w:tcPr>
            <w:tcW w:type="dxa" w:w="1080"/>
          </w:tcPr>
          <w:p>
            <w:pPr>
              <w:jc w:val="center"/>
            </w:pPr>
            <w:r/>
            <w:r>
              <w:rPr>
                <w:rFonts w:ascii="Times New Roman" w:hAnsi="Times New Roman" w:eastAsia="Times New Roman"/>
                <w:b w:val="0"/>
                <w:i w:val="0"/>
                <w:sz w:val="22"/>
              </w:rPr>
              <w:t>0.061</w:t>
            </w:r>
          </w:p>
        </w:tc>
        <w:tc>
          <w:tcPr>
            <w:tcW w:type="dxa" w:w="1080"/>
          </w:tcPr>
          <w:p>
            <w:pPr>
              <w:jc w:val="center"/>
            </w:pPr>
            <w:r/>
            <w:r>
              <w:rPr>
                <w:rFonts w:ascii="Times New Roman" w:hAnsi="Times New Roman" w:eastAsia="Times New Roman"/>
                <w:b w:val="0"/>
                <w:i w:val="0"/>
                <w:sz w:val="22"/>
              </w:rPr>
              <w:t>0.081</w:t>
            </w:r>
          </w:p>
        </w:tc>
        <w:tc>
          <w:tcPr>
            <w:tcW w:type="dxa" w:w="1080"/>
          </w:tcPr>
          <w:p>
            <w:pPr>
              <w:jc w:val="center"/>
            </w:pPr>
            <w:r/>
            <w:r>
              <w:rPr>
                <w:rFonts w:ascii="Times New Roman" w:hAnsi="Times New Roman" w:eastAsia="Times New Roman"/>
                <w:b w:val="0"/>
                <w:i w:val="0"/>
                <w:sz w:val="22"/>
              </w:rPr>
              <w:t>0.758</w:t>
            </w:r>
          </w:p>
        </w:tc>
        <w:tc>
          <w:tcPr>
            <w:tcW w:type="dxa" w:w="1080"/>
          </w:tcPr>
          <w:p>
            <w:pPr>
              <w:jc w:val="center"/>
            </w:pPr>
            <w:r/>
            <w:r>
              <w:rPr>
                <w:rFonts w:ascii="Times New Roman" w:hAnsi="Times New Roman" w:eastAsia="Times New Roman"/>
                <w:b w:val="0"/>
                <w:i w:val="0"/>
                <w:sz w:val="22"/>
              </w:rPr>
              <w:t>0.449</w:t>
            </w:r>
          </w:p>
        </w:tc>
        <w:tc>
          <w:tcPr>
            <w:tcW w:type="dxa" w:w="1080"/>
          </w:tcPr>
          <w:p>
            <w:pPr>
              <w:jc w:val="center"/>
            </w:pPr>
            <w:r/>
            <w:r>
              <w:rPr>
                <w:rFonts w:ascii="Times New Roman" w:hAnsi="Times New Roman" w:eastAsia="Times New Roman"/>
                <w:b w:val="0"/>
                <w:i w:val="0"/>
                <w:sz w:val="22"/>
              </w:rPr>
              <w:t>-0.126</w:t>
            </w:r>
          </w:p>
        </w:tc>
        <w:tc>
          <w:tcPr>
            <w:tcW w:type="dxa" w:w="1080"/>
          </w:tcPr>
          <w:p>
            <w:pPr>
              <w:jc w:val="center"/>
            </w:pPr>
            <w:r/>
            <w:r>
              <w:rPr>
                <w:rFonts w:ascii="Times New Roman" w:hAnsi="Times New Roman" w:eastAsia="Times New Roman"/>
                <w:b w:val="0"/>
                <w:i w:val="0"/>
                <w:sz w:val="22"/>
              </w:rPr>
              <w:t>0.167</w:t>
            </w:r>
          </w:p>
        </w:tc>
        <w:tc>
          <w:tcPr>
            <w:tcW w:type="dxa" w:w="1080"/>
          </w:tcPr>
          <w:p>
            <w:pPr>
              <w:jc w:val="center"/>
            </w:pPr>
            <w:r/>
            <w:r>
              <w:rPr>
                <w:rFonts w:ascii="Times New Roman" w:hAnsi="Times New Roman" w:eastAsia="Times New Roman"/>
                <w:b w:val="0"/>
                <w:i w:val="0"/>
                <w:sz w:val="22"/>
              </w:rPr>
              <w:t>No</w:t>
            </w:r>
          </w:p>
        </w:tc>
      </w:tr>
      <w:tr>
        <w:tc>
          <w:tcPr>
            <w:tcW w:type="dxa" w:w="1080"/>
          </w:tcPr>
          <w:p>
            <w:r>
              <w:rPr>
                <w:rFonts w:ascii="Times New Roman" w:hAnsi="Times New Roman" w:eastAsia="Times New Roman"/>
                <w:b/>
                <w:i w:val="0"/>
                <w:sz w:val="22"/>
              </w:rPr>
              <w:t>UX-&gt;BSUC</w:t>
            </w:r>
          </w:p>
        </w:tc>
        <w:tc>
          <w:tcPr>
            <w:tcW w:type="dxa" w:w="1080"/>
          </w:tcPr>
          <w:p>
            <w:pPr>
              <w:jc w:val="center"/>
            </w:pPr>
            <w:r/>
            <w:r>
              <w:rPr>
                <w:rFonts w:ascii="Times New Roman" w:hAnsi="Times New Roman" w:eastAsia="Times New Roman"/>
                <w:b w:val="0"/>
                <w:i w:val="0"/>
                <w:sz w:val="22"/>
              </w:rPr>
              <w:t>-0.060</w:t>
            </w:r>
          </w:p>
        </w:tc>
        <w:tc>
          <w:tcPr>
            <w:tcW w:type="dxa" w:w="1080"/>
          </w:tcPr>
          <w:p>
            <w:pPr>
              <w:jc w:val="center"/>
            </w:pPr>
            <w:r/>
            <w:r>
              <w:rPr>
                <w:rFonts w:ascii="Times New Roman" w:hAnsi="Times New Roman" w:eastAsia="Times New Roman"/>
                <w:b w:val="0"/>
                <w:i w:val="0"/>
                <w:sz w:val="22"/>
              </w:rPr>
              <w:t>0.077</w:t>
            </w:r>
          </w:p>
        </w:tc>
        <w:tc>
          <w:tcPr>
            <w:tcW w:type="dxa" w:w="1080"/>
          </w:tcPr>
          <w:p>
            <w:pPr>
              <w:jc w:val="center"/>
            </w:pPr>
            <w:r/>
            <w:r>
              <w:rPr>
                <w:rFonts w:ascii="Times New Roman" w:hAnsi="Times New Roman" w:eastAsia="Times New Roman"/>
                <w:b w:val="0"/>
                <w:i w:val="0"/>
                <w:sz w:val="22"/>
              </w:rPr>
              <w:t>-0.780</w:t>
            </w:r>
          </w:p>
        </w:tc>
        <w:tc>
          <w:tcPr>
            <w:tcW w:type="dxa" w:w="1080"/>
          </w:tcPr>
          <w:p>
            <w:pPr>
              <w:jc w:val="center"/>
            </w:pPr>
            <w:r/>
            <w:r>
              <w:rPr>
                <w:rFonts w:ascii="Times New Roman" w:hAnsi="Times New Roman" w:eastAsia="Times New Roman"/>
                <w:b w:val="0"/>
                <w:i w:val="0"/>
                <w:sz w:val="22"/>
              </w:rPr>
              <w:t>0.436</w:t>
            </w:r>
          </w:p>
        </w:tc>
        <w:tc>
          <w:tcPr>
            <w:tcW w:type="dxa" w:w="1080"/>
          </w:tcPr>
          <w:p>
            <w:pPr>
              <w:jc w:val="center"/>
            </w:pPr>
            <w:r/>
            <w:r>
              <w:rPr>
                <w:rFonts w:ascii="Times New Roman" w:hAnsi="Times New Roman" w:eastAsia="Times New Roman"/>
                <w:b w:val="0"/>
                <w:i w:val="0"/>
                <w:sz w:val="22"/>
              </w:rPr>
              <w:t>-0.182</w:t>
            </w:r>
          </w:p>
        </w:tc>
        <w:tc>
          <w:tcPr>
            <w:tcW w:type="dxa" w:w="1080"/>
          </w:tcPr>
          <w:p>
            <w:pPr>
              <w:jc w:val="center"/>
            </w:pPr>
            <w:r/>
            <w:r>
              <w:rPr>
                <w:rFonts w:ascii="Times New Roman" w:hAnsi="Times New Roman" w:eastAsia="Times New Roman"/>
                <w:b w:val="0"/>
                <w:i w:val="0"/>
                <w:sz w:val="22"/>
              </w:rPr>
              <w:t>0.114</w:t>
            </w:r>
          </w:p>
        </w:tc>
        <w:tc>
          <w:tcPr>
            <w:tcW w:type="dxa" w:w="1080"/>
          </w:tcPr>
          <w:p>
            <w:pPr>
              <w:jc w:val="center"/>
            </w:pPr>
            <w:r/>
            <w:r>
              <w:rPr>
                <w:rFonts w:ascii="Times New Roman" w:hAnsi="Times New Roman" w:eastAsia="Times New Roman"/>
                <w:b w:val="0"/>
                <w:i w:val="0"/>
                <w:sz w:val="22"/>
              </w:rPr>
              <w:t>No</w:t>
            </w:r>
          </w:p>
        </w:tc>
      </w:tr>
      <w:tr>
        <w:tc>
          <w:tcPr>
            <w:tcW w:type="dxa" w:w="1080"/>
          </w:tcPr>
          <w:p>
            <w:r>
              <w:rPr>
                <w:rFonts w:ascii="Times New Roman" w:hAnsi="Times New Roman" w:eastAsia="Times New Roman"/>
                <w:b/>
                <w:i w:val="0"/>
                <w:sz w:val="22"/>
              </w:rPr>
              <w:t>BSAT-&gt;BSUC</w:t>
            </w:r>
          </w:p>
        </w:tc>
        <w:tc>
          <w:tcPr>
            <w:tcW w:type="dxa" w:w="1080"/>
          </w:tcPr>
          <w:p>
            <w:pPr>
              <w:jc w:val="center"/>
            </w:pPr>
            <w:r/>
            <w:r>
              <w:rPr>
                <w:rFonts w:ascii="Times New Roman" w:hAnsi="Times New Roman" w:eastAsia="Times New Roman"/>
                <w:b w:val="0"/>
                <w:i w:val="0"/>
                <w:sz w:val="22"/>
              </w:rPr>
              <w:t>0.028</w:t>
            </w:r>
          </w:p>
        </w:tc>
        <w:tc>
          <w:tcPr>
            <w:tcW w:type="dxa" w:w="1080"/>
          </w:tcPr>
          <w:p>
            <w:pPr>
              <w:jc w:val="center"/>
            </w:pPr>
            <w:r/>
            <w:r>
              <w:rPr>
                <w:rFonts w:ascii="Times New Roman" w:hAnsi="Times New Roman" w:eastAsia="Times New Roman"/>
                <w:b w:val="0"/>
                <w:i w:val="0"/>
                <w:sz w:val="22"/>
              </w:rPr>
              <w:t>0.068</w:t>
            </w:r>
          </w:p>
        </w:tc>
        <w:tc>
          <w:tcPr>
            <w:tcW w:type="dxa" w:w="1080"/>
          </w:tcPr>
          <w:p>
            <w:pPr>
              <w:jc w:val="center"/>
            </w:pPr>
            <w:r/>
            <w:r>
              <w:rPr>
                <w:rFonts w:ascii="Times New Roman" w:hAnsi="Times New Roman" w:eastAsia="Times New Roman"/>
                <w:b w:val="0"/>
                <w:i w:val="0"/>
                <w:sz w:val="22"/>
              </w:rPr>
              <w:t>0.419</w:t>
            </w:r>
          </w:p>
        </w:tc>
        <w:tc>
          <w:tcPr>
            <w:tcW w:type="dxa" w:w="1080"/>
          </w:tcPr>
          <w:p>
            <w:pPr>
              <w:jc w:val="center"/>
            </w:pPr>
            <w:r/>
            <w:r>
              <w:rPr>
                <w:rFonts w:ascii="Times New Roman" w:hAnsi="Times New Roman" w:eastAsia="Times New Roman"/>
                <w:b w:val="0"/>
                <w:i w:val="0"/>
                <w:sz w:val="22"/>
              </w:rPr>
              <w:t>0.675</w:t>
            </w:r>
          </w:p>
        </w:tc>
        <w:tc>
          <w:tcPr>
            <w:tcW w:type="dxa" w:w="1080"/>
          </w:tcPr>
          <w:p>
            <w:pPr>
              <w:jc w:val="center"/>
            </w:pPr>
            <w:r/>
            <w:r>
              <w:rPr>
                <w:rFonts w:ascii="Times New Roman" w:hAnsi="Times New Roman" w:eastAsia="Times New Roman"/>
                <w:b w:val="0"/>
                <w:i w:val="0"/>
                <w:sz w:val="22"/>
              </w:rPr>
              <w:t>-0.109</w:t>
            </w:r>
          </w:p>
        </w:tc>
        <w:tc>
          <w:tcPr>
            <w:tcW w:type="dxa" w:w="1080"/>
          </w:tcPr>
          <w:p>
            <w:pPr>
              <w:jc w:val="center"/>
            </w:pPr>
            <w:r/>
            <w:r>
              <w:rPr>
                <w:rFonts w:ascii="Times New Roman" w:hAnsi="Times New Roman" w:eastAsia="Times New Roman"/>
                <w:b w:val="0"/>
                <w:i w:val="0"/>
                <w:sz w:val="22"/>
              </w:rPr>
              <w:t>0.142</w:t>
            </w:r>
          </w:p>
        </w:tc>
        <w:tc>
          <w:tcPr>
            <w:tcW w:type="dxa" w:w="1080"/>
          </w:tcPr>
          <w:p>
            <w:pPr>
              <w:jc w:val="center"/>
            </w:pPr>
            <w:r/>
            <w:r>
              <w:rPr>
                <w:rFonts w:ascii="Times New Roman" w:hAnsi="Times New Roman" w:eastAsia="Times New Roman"/>
                <w:b w:val="0"/>
                <w:i w:val="0"/>
                <w:sz w:val="22"/>
              </w:rPr>
              <w:t>No</w:t>
            </w:r>
          </w:p>
        </w:tc>
      </w:tr>
    </w:tbl>
    <w:p>
      <w:r>
        <w:rPr>
          <w:rFonts w:ascii="Times New Roman" w:hAnsi="Times New Roman" w:eastAsia="Times New Roman"/>
          <w:b w:val="0"/>
          <w:i/>
          <w:sz w:val="20"/>
        </w:rPr>
        <w:t>Note. β = standardised path coefficient; CI = bias-corrected bootstrap confidence interval. No path is significant at p &lt; 0.05.</w:t>
      </w:r>
    </w:p>
    <w:p/>
    <w:p>
      <w:pPr>
        <w:jc w:val="center"/>
      </w:pPr>
      <w:r>
        <w:drawing>
          <wp:inline xmlns:a="http://schemas.openxmlformats.org/drawingml/2006/main" xmlns:pic="http://schemas.openxmlformats.org/drawingml/2006/picture">
            <wp:extent cx="5760720" cy="3374111"/>
            <wp:docPr id="6" name="Picture 6"/>
            <wp:cNvGraphicFramePr>
              <a:graphicFrameLocks noChangeAspect="1"/>
            </wp:cNvGraphicFramePr>
            <a:graphic>
              <a:graphicData uri="http://schemas.openxmlformats.org/drawingml/2006/picture">
                <pic:pic>
                  <pic:nvPicPr>
                    <pic:cNvPr id="0" name="fig1_sem_path_diagram.png"/>
                    <pic:cNvPicPr/>
                  </pic:nvPicPr>
                  <pic:blipFill>
                    <a:blip r:embed="rId14"/>
                    <a:stretch>
                      <a:fillRect/>
                    </a:stretch>
                  </pic:blipFill>
                  <pic:spPr>
                    <a:xfrm>
                      <a:off x="0" y="0"/>
                      <a:ext cx="5760720" cy="3374111"/>
                    </a:xfrm>
                    <a:prstGeom prst="rect"/>
                  </pic:spPr>
                </pic:pic>
              </a:graphicData>
            </a:graphic>
          </wp:inline>
        </w:drawing>
      </w:r>
    </w:p>
    <w:p>
      <w:pPr>
        <w:spacing w:after="200"/>
        <w:jc w:val="center"/>
      </w:pPr>
      <w:r>
        <w:rPr>
          <w:rFonts w:ascii="Times New Roman" w:hAnsi="Times New Roman" w:eastAsia="Times New Roman"/>
          <w:b w:val="0"/>
          <w:i/>
          <w:sz w:val="22"/>
        </w:rPr>
        <w:t>Figure 1. PLS-SEM structural model with standardised path coefficients. All paths are non-significant (n.s.).</w:t>
      </w:r>
    </w:p>
    <w:p>
      <w:pPr>
        <w:jc w:val="center"/>
      </w:pPr>
      <w:r>
        <w:drawing>
          <wp:inline xmlns:a="http://schemas.openxmlformats.org/drawingml/2006/main" xmlns:pic="http://schemas.openxmlformats.org/drawingml/2006/picture">
            <wp:extent cx="5760720" cy="3360611"/>
            <wp:docPr id="7" name="Picture 7"/>
            <wp:cNvGraphicFramePr>
              <a:graphicFrameLocks noChangeAspect="1"/>
            </wp:cNvGraphicFramePr>
            <a:graphic>
              <a:graphicData uri="http://schemas.openxmlformats.org/drawingml/2006/picture">
                <pic:pic>
                  <pic:nvPicPr>
                    <pic:cNvPr id="0" name="fig5_path_coeffs_ci.png"/>
                    <pic:cNvPicPr/>
                  </pic:nvPicPr>
                  <pic:blipFill>
                    <a:blip r:embed="rId15"/>
                    <a:stretch>
                      <a:fillRect/>
                    </a:stretch>
                  </pic:blipFill>
                  <pic:spPr>
                    <a:xfrm>
                      <a:off x="0" y="0"/>
                      <a:ext cx="5760720" cy="3360611"/>
                    </a:xfrm>
                    <a:prstGeom prst="rect"/>
                  </pic:spPr>
                </pic:pic>
              </a:graphicData>
            </a:graphic>
          </wp:inline>
        </w:drawing>
      </w:r>
    </w:p>
    <w:p>
      <w:pPr>
        <w:spacing w:after="200"/>
        <w:jc w:val="center"/>
      </w:pPr>
      <w:r>
        <w:rPr>
          <w:rFonts w:ascii="Times New Roman" w:hAnsi="Times New Roman" w:eastAsia="Times New Roman"/>
          <w:b w:val="0"/>
          <w:i/>
          <w:sz w:val="22"/>
        </w:rPr>
        <w:t>Figure 5. Structural path estimates with 95% bootstrap confidence intervals; every interval contains zero.</w:t>
      </w:r>
    </w:p>
    <w:p>
      <w:pPr>
        <w:spacing w:before="240" w:after="120"/>
      </w:pPr>
      <w:r>
        <w:rPr>
          <w:rFonts w:ascii="Times New Roman" w:hAnsi="Times New Roman" w:eastAsia="Times New Roman"/>
          <w:b/>
          <w:i w:val="0"/>
          <w:sz w:val="24"/>
        </w:rPr>
        <w:t>4.3.2 Explanatory and Predictive Power (R², f², Q²)</w:t>
      </w:r>
    </w:p>
    <w:p>
      <w:pPr>
        <w:jc w:val="both"/>
      </w:pPr>
      <w:r>
        <w:rPr>
          <w:rFonts w:ascii="Times New Roman" w:hAnsi="Times New Roman" w:eastAsia="Times New Roman"/>
          <w:b w:val="0"/>
          <w:i w:val="0"/>
          <w:sz w:val="24"/>
        </w:rPr>
        <w:t>The explanatory power of the model was negligible. The endogenous constructs exhibited very low coefficients of determination (R² = 0.013 for BSAT and R² = 0.008 for BSUC), indicating that the model accounts for well under 2% of the variance in either outcome. Effect sizes were correspondingly trivial; all f² values were below 0.011, far short of the 0.02 threshold for a small effect (Table 6). Predictive relevance, assessed via a cross-validated (blindfolding-type) Q², was negative for both endogenous constructs (Q² = -0.0007 for BSAT and Q² = -0.0107 for BSUC), indicating that the model has no out-of-sample predictive relevance and does not outperform a naive mean prediction.</w:t>
      </w:r>
    </w:p>
    <w:p>
      <w:pPr>
        <w:jc w:val="both"/>
      </w:pPr>
      <w:r>
        <w:rPr>
          <w:rFonts w:ascii="Times New Roman" w:hAnsi="Times New Roman" w:eastAsia="Times New Roman"/>
          <w:b/>
          <w:i w:val="0"/>
          <w:sz w:val="24"/>
        </w:rPr>
        <w:t>Table 6. Effect sizes (f²) for structural relationships.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eastAsia="Times New Roman"/>
                <w:b/>
                <w:i w:val="0"/>
                <w:sz w:val="22"/>
              </w:rPr>
              <w:t>Effect</w:t>
            </w:r>
          </w:p>
        </w:tc>
        <w:tc>
          <w:tcPr>
            <w:tcW w:type="dxa" w:w="4320"/>
          </w:tcPr>
          <w:p>
            <w:pPr>
              <w:jc w:val="center"/>
            </w:pPr>
            <w:r/>
            <w:r>
              <w:rPr>
                <w:rFonts w:ascii="Times New Roman" w:hAnsi="Times New Roman" w:eastAsia="Times New Roman"/>
                <w:b/>
                <w:i w:val="0"/>
                <w:sz w:val="22"/>
              </w:rPr>
              <w:t>f²</w:t>
            </w:r>
          </w:p>
        </w:tc>
      </w:tr>
      <w:tr>
        <w:tc>
          <w:tcPr>
            <w:tcW w:type="dxa" w:w="4320"/>
          </w:tcPr>
          <w:p>
            <w:r>
              <w:rPr>
                <w:rFonts w:ascii="Times New Roman" w:hAnsi="Times New Roman" w:eastAsia="Times New Roman"/>
                <w:b/>
                <w:i w:val="0"/>
                <w:sz w:val="22"/>
              </w:rPr>
              <w:t>UE → BSAT</w:t>
            </w:r>
          </w:p>
        </w:tc>
        <w:tc>
          <w:tcPr>
            <w:tcW w:type="dxa" w:w="4320"/>
          </w:tcPr>
          <w:p>
            <w:pPr>
              <w:jc w:val="center"/>
            </w:pPr>
            <w:r/>
            <w:r>
              <w:rPr>
                <w:rFonts w:ascii="Times New Roman" w:hAnsi="Times New Roman" w:eastAsia="Times New Roman"/>
                <w:b w:val="0"/>
                <w:i w:val="0"/>
                <w:sz w:val="22"/>
              </w:rPr>
              <w:t>0.0021</w:t>
            </w:r>
          </w:p>
        </w:tc>
      </w:tr>
      <w:tr>
        <w:tc>
          <w:tcPr>
            <w:tcW w:type="dxa" w:w="4320"/>
          </w:tcPr>
          <w:p>
            <w:r>
              <w:rPr>
                <w:rFonts w:ascii="Times New Roman" w:hAnsi="Times New Roman" w:eastAsia="Times New Roman"/>
                <w:b/>
                <w:i w:val="0"/>
                <w:sz w:val="22"/>
              </w:rPr>
              <w:t>UX → BSAT</w:t>
            </w:r>
          </w:p>
        </w:tc>
        <w:tc>
          <w:tcPr>
            <w:tcW w:type="dxa" w:w="4320"/>
          </w:tcPr>
          <w:p>
            <w:pPr>
              <w:jc w:val="center"/>
            </w:pPr>
            <w:r/>
            <w:r>
              <w:rPr>
                <w:rFonts w:ascii="Times New Roman" w:hAnsi="Times New Roman" w:eastAsia="Times New Roman"/>
                <w:b w:val="0"/>
                <w:i w:val="0"/>
                <w:sz w:val="22"/>
              </w:rPr>
              <w:t>0.0107</w:t>
            </w:r>
          </w:p>
        </w:tc>
      </w:tr>
      <w:tr>
        <w:tc>
          <w:tcPr>
            <w:tcW w:type="dxa" w:w="4320"/>
          </w:tcPr>
          <w:p>
            <w:r>
              <w:rPr>
                <w:rFonts w:ascii="Times New Roman" w:hAnsi="Times New Roman" w:eastAsia="Times New Roman"/>
                <w:b/>
                <w:i w:val="0"/>
                <w:sz w:val="22"/>
              </w:rPr>
              <w:t>UE → BSUC</w:t>
            </w:r>
          </w:p>
        </w:tc>
        <w:tc>
          <w:tcPr>
            <w:tcW w:type="dxa" w:w="4320"/>
          </w:tcPr>
          <w:p>
            <w:pPr>
              <w:jc w:val="center"/>
            </w:pPr>
            <w:r/>
            <w:r>
              <w:rPr>
                <w:rFonts w:ascii="Times New Roman" w:hAnsi="Times New Roman" w:eastAsia="Times New Roman"/>
                <w:b w:val="0"/>
                <w:i w:val="0"/>
                <w:sz w:val="22"/>
              </w:rPr>
              <w:t>0.0038</w:t>
            </w:r>
          </w:p>
        </w:tc>
      </w:tr>
      <w:tr>
        <w:tc>
          <w:tcPr>
            <w:tcW w:type="dxa" w:w="4320"/>
          </w:tcPr>
          <w:p>
            <w:r>
              <w:rPr>
                <w:rFonts w:ascii="Times New Roman" w:hAnsi="Times New Roman" w:eastAsia="Times New Roman"/>
                <w:b/>
                <w:i w:val="0"/>
                <w:sz w:val="22"/>
              </w:rPr>
              <w:t>UX → BSUC</w:t>
            </w:r>
          </w:p>
        </w:tc>
        <w:tc>
          <w:tcPr>
            <w:tcW w:type="dxa" w:w="4320"/>
          </w:tcPr>
          <w:p>
            <w:pPr>
              <w:jc w:val="center"/>
            </w:pPr>
            <w:r/>
            <w:r>
              <w:rPr>
                <w:rFonts w:ascii="Times New Roman" w:hAnsi="Times New Roman" w:eastAsia="Times New Roman"/>
                <w:b w:val="0"/>
                <w:i w:val="0"/>
                <w:sz w:val="22"/>
              </w:rPr>
              <w:t>0.0036</w:t>
            </w:r>
          </w:p>
        </w:tc>
      </w:tr>
      <w:tr>
        <w:tc>
          <w:tcPr>
            <w:tcW w:type="dxa" w:w="4320"/>
          </w:tcPr>
          <w:p>
            <w:r>
              <w:rPr>
                <w:rFonts w:ascii="Times New Roman" w:hAnsi="Times New Roman" w:eastAsia="Times New Roman"/>
                <w:b/>
                <w:i w:val="0"/>
                <w:sz w:val="22"/>
              </w:rPr>
              <w:t>BSAT → BSUC</w:t>
            </w:r>
          </w:p>
        </w:tc>
        <w:tc>
          <w:tcPr>
            <w:tcW w:type="dxa" w:w="4320"/>
          </w:tcPr>
          <w:p>
            <w:pPr>
              <w:jc w:val="center"/>
            </w:pPr>
            <w:r/>
            <w:r>
              <w:rPr>
                <w:rFonts w:ascii="Times New Roman" w:hAnsi="Times New Roman" w:eastAsia="Times New Roman"/>
                <w:b w:val="0"/>
                <w:i w:val="0"/>
                <w:sz w:val="22"/>
              </w:rPr>
              <w:t>0.0008</w:t>
            </w:r>
          </w:p>
        </w:tc>
      </w:tr>
    </w:tbl>
    <w:p>
      <w:r>
        <w:rPr>
          <w:rFonts w:ascii="Times New Roman" w:hAnsi="Times New Roman" w:eastAsia="Times New Roman"/>
          <w:b w:val="0"/>
          <w:i/>
          <w:sz w:val="20"/>
        </w:rPr>
        <w:t>Note. f² thresholds: 0.02 (small), 0.15 (medium), 0.35 (large). All effects fall below the small-effect threshold.</w:t>
      </w:r>
    </w:p>
    <w:p/>
    <w:p>
      <w:pPr>
        <w:jc w:val="both"/>
      </w:pPr>
      <w:r>
        <w:rPr>
          <w:rFonts w:ascii="Times New Roman" w:hAnsi="Times New Roman" w:eastAsia="Times New Roman"/>
          <w:b/>
          <w:i w:val="0"/>
          <w:sz w:val="24"/>
        </w:rPr>
        <w:t>Table 7. Explanatory power (R²) and predictive relevance (Q²).</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eastAsia="Times New Roman"/>
                <w:b/>
                <w:i w:val="0"/>
                <w:sz w:val="22"/>
              </w:rPr>
              <w:t>Construct</w:t>
            </w:r>
          </w:p>
        </w:tc>
        <w:tc>
          <w:tcPr>
            <w:tcW w:type="dxa" w:w="2880"/>
          </w:tcPr>
          <w:p>
            <w:pPr>
              <w:jc w:val="center"/>
            </w:pPr>
            <w:r/>
            <w:r>
              <w:rPr>
                <w:rFonts w:ascii="Times New Roman" w:hAnsi="Times New Roman" w:eastAsia="Times New Roman"/>
                <w:b/>
                <w:i w:val="0"/>
                <w:sz w:val="22"/>
              </w:rPr>
              <w:t>R²</w:t>
            </w:r>
          </w:p>
        </w:tc>
        <w:tc>
          <w:tcPr>
            <w:tcW w:type="dxa" w:w="2880"/>
          </w:tcPr>
          <w:p>
            <w:pPr>
              <w:jc w:val="center"/>
            </w:pPr>
            <w:r/>
            <w:r>
              <w:rPr>
                <w:rFonts w:ascii="Times New Roman" w:hAnsi="Times New Roman" w:eastAsia="Times New Roman"/>
                <w:b/>
                <w:i w:val="0"/>
                <w:sz w:val="22"/>
              </w:rPr>
              <w:t>Q²</w:t>
            </w:r>
          </w:p>
        </w:tc>
      </w:tr>
      <w:tr>
        <w:tc>
          <w:tcPr>
            <w:tcW w:type="dxa" w:w="2880"/>
          </w:tcPr>
          <w:p>
            <w:r>
              <w:rPr>
                <w:rFonts w:ascii="Times New Roman" w:hAnsi="Times New Roman" w:eastAsia="Times New Roman"/>
                <w:b/>
                <w:i w:val="0"/>
                <w:sz w:val="22"/>
              </w:rPr>
              <w:t>BSAT</w:t>
            </w:r>
          </w:p>
        </w:tc>
        <w:tc>
          <w:tcPr>
            <w:tcW w:type="dxa" w:w="2880"/>
          </w:tcPr>
          <w:p>
            <w:pPr>
              <w:jc w:val="center"/>
            </w:pPr>
            <w:r/>
            <w:r>
              <w:rPr>
                <w:rFonts w:ascii="Times New Roman" w:hAnsi="Times New Roman" w:eastAsia="Times New Roman"/>
                <w:b w:val="0"/>
                <w:i w:val="0"/>
                <w:sz w:val="22"/>
              </w:rPr>
              <w:t>0.0126</w:t>
            </w:r>
          </w:p>
        </w:tc>
        <w:tc>
          <w:tcPr>
            <w:tcW w:type="dxa" w:w="2880"/>
          </w:tcPr>
          <w:p>
            <w:pPr>
              <w:jc w:val="center"/>
            </w:pPr>
            <w:r/>
            <w:r>
              <w:rPr>
                <w:rFonts w:ascii="Times New Roman" w:hAnsi="Times New Roman" w:eastAsia="Times New Roman"/>
                <w:b w:val="0"/>
                <w:i w:val="0"/>
                <w:sz w:val="22"/>
              </w:rPr>
              <w:t>-0.0007</w:t>
            </w:r>
          </w:p>
        </w:tc>
      </w:tr>
      <w:tr>
        <w:tc>
          <w:tcPr>
            <w:tcW w:type="dxa" w:w="2880"/>
          </w:tcPr>
          <w:p>
            <w:r>
              <w:rPr>
                <w:rFonts w:ascii="Times New Roman" w:hAnsi="Times New Roman" w:eastAsia="Times New Roman"/>
                <w:b/>
                <w:i w:val="0"/>
                <w:sz w:val="22"/>
              </w:rPr>
              <w:t>BSUC</w:t>
            </w:r>
          </w:p>
        </w:tc>
        <w:tc>
          <w:tcPr>
            <w:tcW w:type="dxa" w:w="2880"/>
          </w:tcPr>
          <w:p>
            <w:pPr>
              <w:jc w:val="center"/>
            </w:pPr>
            <w:r/>
            <w:r>
              <w:rPr>
                <w:rFonts w:ascii="Times New Roman" w:hAnsi="Times New Roman" w:eastAsia="Times New Roman"/>
                <w:b w:val="0"/>
                <w:i w:val="0"/>
                <w:sz w:val="22"/>
              </w:rPr>
              <w:t>0.0077</w:t>
            </w:r>
          </w:p>
        </w:tc>
        <w:tc>
          <w:tcPr>
            <w:tcW w:type="dxa" w:w="2880"/>
          </w:tcPr>
          <w:p>
            <w:pPr>
              <w:jc w:val="center"/>
            </w:pPr>
            <w:r/>
            <w:r>
              <w:rPr>
                <w:rFonts w:ascii="Times New Roman" w:hAnsi="Times New Roman" w:eastAsia="Times New Roman"/>
                <w:b w:val="0"/>
                <w:i w:val="0"/>
                <w:sz w:val="22"/>
              </w:rPr>
              <w:t>-0.0107</w:t>
            </w:r>
          </w:p>
        </w:tc>
      </w:tr>
    </w:tbl>
    <w:p>
      <w:r>
        <w:rPr>
          <w:rFonts w:ascii="Times New Roman" w:hAnsi="Times New Roman" w:eastAsia="Times New Roman"/>
          <w:b w:val="0"/>
          <w:i/>
          <w:sz w:val="20"/>
        </w:rPr>
        <w:t>Note. Negative Q² indicates no predictive relevance.</w:t>
      </w:r>
    </w:p>
    <w:p/>
    <w:p>
      <w:pPr>
        <w:spacing w:before="240" w:after="120"/>
      </w:pPr>
      <w:r>
        <w:rPr>
          <w:rFonts w:ascii="Times New Roman" w:hAnsi="Times New Roman" w:eastAsia="Times New Roman"/>
          <w:b/>
          <w:i w:val="0"/>
          <w:sz w:val="24"/>
        </w:rPr>
        <w:t>4.3.3 Mediation Analysis</w:t>
      </w:r>
    </w:p>
    <w:p>
      <w:pPr>
        <w:jc w:val="both"/>
      </w:pPr>
      <w:r>
        <w:rPr>
          <w:rFonts w:ascii="Times New Roman" w:hAnsi="Times New Roman" w:eastAsia="Times New Roman"/>
          <w:b w:val="0"/>
          <w:i w:val="0"/>
          <w:sz w:val="24"/>
        </w:rPr>
        <w:t>We further tested the indirect (mediated) effects of UE and UX on BSUC through BSAT using the bootstrap distribution of the product of path coefficients. As shown in Table 8, neither indirect effect was statistically significant (UE → BSAT → BSUC: effect = -0.0013, p = 0.835; UX → BSAT → BSUC: effect = 0.0029, p = 0.731). Because the constituent direct paths were themselves non-significant, no mediation through brand satisfaction was supported.</w:t>
      </w:r>
    </w:p>
    <w:p>
      <w:pPr>
        <w:jc w:val="both"/>
      </w:pPr>
      <w:r>
        <w:rPr>
          <w:rFonts w:ascii="Times New Roman" w:hAnsi="Times New Roman" w:eastAsia="Times New Roman"/>
          <w:b/>
          <w:i w:val="0"/>
          <w:sz w:val="24"/>
        </w:rPr>
        <w:t>Table 8. Indirect (mediated) effects via BSAT.</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Times New Roman" w:hAnsi="Times New Roman" w:eastAsia="Times New Roman"/>
                <w:b/>
                <w:i w:val="0"/>
                <w:sz w:val="22"/>
              </w:rPr>
              <w:t>Indirect path</w:t>
            </w:r>
          </w:p>
        </w:tc>
        <w:tc>
          <w:tcPr>
            <w:tcW w:type="dxa" w:w="1080"/>
          </w:tcPr>
          <w:p>
            <w:pPr>
              <w:jc w:val="center"/>
            </w:pPr>
            <w:r/>
            <w:r>
              <w:rPr>
                <w:rFonts w:ascii="Times New Roman" w:hAnsi="Times New Roman" w:eastAsia="Times New Roman"/>
                <w:b/>
                <w:i w:val="0"/>
                <w:sz w:val="22"/>
              </w:rPr>
              <w:t>Effect</w:t>
            </w:r>
          </w:p>
        </w:tc>
        <w:tc>
          <w:tcPr>
            <w:tcW w:type="dxa" w:w="1080"/>
          </w:tcPr>
          <w:p>
            <w:pPr>
              <w:jc w:val="center"/>
            </w:pPr>
            <w:r/>
            <w:r>
              <w:rPr>
                <w:rFonts w:ascii="Times New Roman" w:hAnsi="Times New Roman" w:eastAsia="Times New Roman"/>
                <w:b/>
                <w:i w:val="0"/>
                <w:sz w:val="22"/>
              </w:rPr>
              <w:t>SE</w:t>
            </w:r>
          </w:p>
        </w:tc>
        <w:tc>
          <w:tcPr>
            <w:tcW w:type="dxa" w:w="1080"/>
          </w:tcPr>
          <w:p>
            <w:pPr>
              <w:jc w:val="center"/>
            </w:pPr>
            <w:r/>
            <w:r>
              <w:rPr>
                <w:rFonts w:ascii="Times New Roman" w:hAnsi="Times New Roman" w:eastAsia="Times New Roman"/>
                <w:b/>
                <w:i w:val="0"/>
                <w:sz w:val="22"/>
              </w:rPr>
              <w:t>t</w:t>
            </w:r>
          </w:p>
        </w:tc>
        <w:tc>
          <w:tcPr>
            <w:tcW w:type="dxa" w:w="1080"/>
          </w:tcPr>
          <w:p>
            <w:pPr>
              <w:jc w:val="center"/>
            </w:pPr>
            <w:r/>
            <w:r>
              <w:rPr>
                <w:rFonts w:ascii="Times New Roman" w:hAnsi="Times New Roman" w:eastAsia="Times New Roman"/>
                <w:b/>
                <w:i w:val="0"/>
                <w:sz w:val="22"/>
              </w:rPr>
              <w:t>p</w:t>
            </w:r>
          </w:p>
        </w:tc>
        <w:tc>
          <w:tcPr>
            <w:tcW w:type="dxa" w:w="1080"/>
          </w:tcPr>
          <w:p>
            <w:pPr>
              <w:jc w:val="center"/>
            </w:pPr>
            <w:r/>
            <w:r>
              <w:rPr>
                <w:rFonts w:ascii="Times New Roman" w:hAnsi="Times New Roman" w:eastAsia="Times New Roman"/>
                <w:b/>
                <w:i w:val="0"/>
                <w:sz w:val="22"/>
              </w:rPr>
              <w:t>CI 2.5%</w:t>
            </w:r>
          </w:p>
        </w:tc>
        <w:tc>
          <w:tcPr>
            <w:tcW w:type="dxa" w:w="1080"/>
          </w:tcPr>
          <w:p>
            <w:pPr>
              <w:jc w:val="center"/>
            </w:pPr>
            <w:r/>
            <w:r>
              <w:rPr>
                <w:rFonts w:ascii="Times New Roman" w:hAnsi="Times New Roman" w:eastAsia="Times New Roman"/>
                <w:b/>
                <w:i w:val="0"/>
                <w:sz w:val="22"/>
              </w:rPr>
              <w:t>CI 97.5%</w:t>
            </w:r>
          </w:p>
        </w:tc>
        <w:tc>
          <w:tcPr>
            <w:tcW w:type="dxa" w:w="1080"/>
          </w:tcPr>
          <w:p>
            <w:pPr>
              <w:jc w:val="center"/>
            </w:pPr>
            <w:r/>
            <w:r>
              <w:rPr>
                <w:rFonts w:ascii="Times New Roman" w:hAnsi="Times New Roman" w:eastAsia="Times New Roman"/>
                <w:b/>
                <w:i w:val="0"/>
                <w:sz w:val="22"/>
              </w:rPr>
              <w:t>Sig.</w:t>
            </w:r>
          </w:p>
        </w:tc>
      </w:tr>
      <w:tr>
        <w:tc>
          <w:tcPr>
            <w:tcW w:type="dxa" w:w="1080"/>
          </w:tcPr>
          <w:p>
            <w:r>
              <w:rPr>
                <w:rFonts w:ascii="Times New Roman" w:hAnsi="Times New Roman" w:eastAsia="Times New Roman"/>
                <w:b/>
                <w:i w:val="0"/>
                <w:sz w:val="22"/>
              </w:rPr>
              <w:t>UE-&gt;BSAT-&gt;BSUC</w:t>
            </w:r>
          </w:p>
        </w:tc>
        <w:tc>
          <w:tcPr>
            <w:tcW w:type="dxa" w:w="1080"/>
          </w:tcPr>
          <w:p>
            <w:pPr>
              <w:jc w:val="center"/>
            </w:pPr>
            <w:r/>
            <w:r>
              <w:rPr>
                <w:rFonts w:ascii="Times New Roman" w:hAnsi="Times New Roman" w:eastAsia="Times New Roman"/>
                <w:b w:val="0"/>
                <w:i w:val="0"/>
                <w:sz w:val="22"/>
              </w:rPr>
              <w:t>-0.0013</w:t>
            </w:r>
          </w:p>
        </w:tc>
        <w:tc>
          <w:tcPr>
            <w:tcW w:type="dxa" w:w="1080"/>
          </w:tcPr>
          <w:p>
            <w:pPr>
              <w:jc w:val="center"/>
            </w:pPr>
            <w:r/>
            <w:r>
              <w:rPr>
                <w:rFonts w:ascii="Times New Roman" w:hAnsi="Times New Roman" w:eastAsia="Times New Roman"/>
                <w:b w:val="0"/>
                <w:i w:val="0"/>
                <w:sz w:val="22"/>
              </w:rPr>
              <w:t>0.0061</w:t>
            </w:r>
          </w:p>
        </w:tc>
        <w:tc>
          <w:tcPr>
            <w:tcW w:type="dxa" w:w="1080"/>
          </w:tcPr>
          <w:p>
            <w:pPr>
              <w:jc w:val="center"/>
            </w:pPr>
            <w:r/>
            <w:r>
              <w:rPr>
                <w:rFonts w:ascii="Times New Roman" w:hAnsi="Times New Roman" w:eastAsia="Times New Roman"/>
                <w:b w:val="0"/>
                <w:i w:val="0"/>
                <w:sz w:val="22"/>
              </w:rPr>
              <w:t>-0.2086</w:t>
            </w:r>
          </w:p>
        </w:tc>
        <w:tc>
          <w:tcPr>
            <w:tcW w:type="dxa" w:w="1080"/>
          </w:tcPr>
          <w:p>
            <w:pPr>
              <w:jc w:val="center"/>
            </w:pPr>
            <w:r/>
            <w:r>
              <w:rPr>
                <w:rFonts w:ascii="Times New Roman" w:hAnsi="Times New Roman" w:eastAsia="Times New Roman"/>
                <w:b w:val="0"/>
                <w:i w:val="0"/>
                <w:sz w:val="22"/>
              </w:rPr>
              <w:t>0.8349</w:t>
            </w:r>
          </w:p>
        </w:tc>
        <w:tc>
          <w:tcPr>
            <w:tcW w:type="dxa" w:w="1080"/>
          </w:tcPr>
          <w:p>
            <w:pPr>
              <w:jc w:val="center"/>
            </w:pPr>
            <w:r/>
            <w:r>
              <w:rPr>
                <w:rFonts w:ascii="Times New Roman" w:hAnsi="Times New Roman" w:eastAsia="Times New Roman"/>
                <w:b w:val="0"/>
                <w:i w:val="0"/>
                <w:sz w:val="22"/>
              </w:rPr>
              <w:t>-0.0124</w:t>
            </w:r>
          </w:p>
        </w:tc>
        <w:tc>
          <w:tcPr>
            <w:tcW w:type="dxa" w:w="1080"/>
          </w:tcPr>
          <w:p>
            <w:pPr>
              <w:jc w:val="center"/>
            </w:pPr>
            <w:r/>
            <w:r>
              <w:rPr>
                <w:rFonts w:ascii="Times New Roman" w:hAnsi="Times New Roman" w:eastAsia="Times New Roman"/>
                <w:b w:val="0"/>
                <w:i w:val="0"/>
                <w:sz w:val="22"/>
              </w:rPr>
              <w:t>0.0127</w:t>
            </w:r>
          </w:p>
        </w:tc>
        <w:tc>
          <w:tcPr>
            <w:tcW w:type="dxa" w:w="1080"/>
          </w:tcPr>
          <w:p>
            <w:pPr>
              <w:jc w:val="center"/>
            </w:pPr>
            <w:r/>
            <w:r>
              <w:rPr>
                <w:rFonts w:ascii="Times New Roman" w:hAnsi="Times New Roman" w:eastAsia="Times New Roman"/>
                <w:b w:val="0"/>
                <w:i w:val="0"/>
                <w:sz w:val="22"/>
              </w:rPr>
              <w:t>No</w:t>
            </w:r>
          </w:p>
        </w:tc>
      </w:tr>
      <w:tr>
        <w:tc>
          <w:tcPr>
            <w:tcW w:type="dxa" w:w="1080"/>
          </w:tcPr>
          <w:p>
            <w:r>
              <w:rPr>
                <w:rFonts w:ascii="Times New Roman" w:hAnsi="Times New Roman" w:eastAsia="Times New Roman"/>
                <w:b/>
                <w:i w:val="0"/>
                <w:sz w:val="22"/>
              </w:rPr>
              <w:t>UX-&gt;BSAT-&gt;BSUC</w:t>
            </w:r>
          </w:p>
        </w:tc>
        <w:tc>
          <w:tcPr>
            <w:tcW w:type="dxa" w:w="1080"/>
          </w:tcPr>
          <w:p>
            <w:pPr>
              <w:jc w:val="center"/>
            </w:pPr>
            <w:r/>
            <w:r>
              <w:rPr>
                <w:rFonts w:ascii="Times New Roman" w:hAnsi="Times New Roman" w:eastAsia="Times New Roman"/>
                <w:b w:val="0"/>
                <w:i w:val="0"/>
                <w:sz w:val="22"/>
              </w:rPr>
              <w:t>0.0029</w:t>
            </w:r>
          </w:p>
        </w:tc>
        <w:tc>
          <w:tcPr>
            <w:tcW w:type="dxa" w:w="1080"/>
          </w:tcPr>
          <w:p>
            <w:pPr>
              <w:jc w:val="center"/>
            </w:pPr>
            <w:r/>
            <w:r>
              <w:rPr>
                <w:rFonts w:ascii="Times New Roman" w:hAnsi="Times New Roman" w:eastAsia="Times New Roman"/>
                <w:b w:val="0"/>
                <w:i w:val="0"/>
                <w:sz w:val="22"/>
              </w:rPr>
              <w:t>0.0084</w:t>
            </w:r>
          </w:p>
        </w:tc>
        <w:tc>
          <w:tcPr>
            <w:tcW w:type="dxa" w:w="1080"/>
          </w:tcPr>
          <w:p>
            <w:pPr>
              <w:jc w:val="center"/>
            </w:pPr>
            <w:r/>
            <w:r>
              <w:rPr>
                <w:rFonts w:ascii="Times New Roman" w:hAnsi="Times New Roman" w:eastAsia="Times New Roman"/>
                <w:b w:val="0"/>
                <w:i w:val="0"/>
                <w:sz w:val="22"/>
              </w:rPr>
              <w:t>0.3440</w:t>
            </w:r>
          </w:p>
        </w:tc>
        <w:tc>
          <w:tcPr>
            <w:tcW w:type="dxa" w:w="1080"/>
          </w:tcPr>
          <w:p>
            <w:pPr>
              <w:jc w:val="center"/>
            </w:pPr>
            <w:r/>
            <w:r>
              <w:rPr>
                <w:rFonts w:ascii="Times New Roman" w:hAnsi="Times New Roman" w:eastAsia="Times New Roman"/>
                <w:b w:val="0"/>
                <w:i w:val="0"/>
                <w:sz w:val="22"/>
              </w:rPr>
              <w:t>0.7311</w:t>
            </w:r>
          </w:p>
        </w:tc>
        <w:tc>
          <w:tcPr>
            <w:tcW w:type="dxa" w:w="1080"/>
          </w:tcPr>
          <w:p>
            <w:pPr>
              <w:jc w:val="center"/>
            </w:pPr>
            <w:r/>
            <w:r>
              <w:rPr>
                <w:rFonts w:ascii="Times New Roman" w:hAnsi="Times New Roman" w:eastAsia="Times New Roman"/>
                <w:b w:val="0"/>
                <w:i w:val="0"/>
                <w:sz w:val="22"/>
              </w:rPr>
              <w:t>-0.0134</w:t>
            </w:r>
          </w:p>
        </w:tc>
        <w:tc>
          <w:tcPr>
            <w:tcW w:type="dxa" w:w="1080"/>
          </w:tcPr>
          <w:p>
            <w:pPr>
              <w:jc w:val="center"/>
            </w:pPr>
            <w:r/>
            <w:r>
              <w:rPr>
                <w:rFonts w:ascii="Times New Roman" w:hAnsi="Times New Roman" w:eastAsia="Times New Roman"/>
                <w:b w:val="0"/>
                <w:i w:val="0"/>
                <w:sz w:val="22"/>
              </w:rPr>
              <w:t>0.0202</w:t>
            </w:r>
          </w:p>
        </w:tc>
        <w:tc>
          <w:tcPr>
            <w:tcW w:type="dxa" w:w="1080"/>
          </w:tcPr>
          <w:p>
            <w:pPr>
              <w:jc w:val="center"/>
            </w:pPr>
            <w:r/>
            <w:r>
              <w:rPr>
                <w:rFonts w:ascii="Times New Roman" w:hAnsi="Times New Roman" w:eastAsia="Times New Roman"/>
                <w:b w:val="0"/>
                <w:i w:val="0"/>
                <w:sz w:val="22"/>
              </w:rPr>
              <w:t>No</w:t>
            </w:r>
          </w:p>
        </w:tc>
      </w:tr>
    </w:tbl>
    <w:p>
      <w:r>
        <w:rPr>
          <w:rFonts w:ascii="Times New Roman" w:hAnsi="Times New Roman" w:eastAsia="Times New Roman"/>
          <w:b w:val="0"/>
          <w:i/>
          <w:sz w:val="20"/>
        </w:rPr>
        <w:t>Note. Indirect effects estimated as the product of constituent path coefficients with 5,000 bootstrap resamples.</w:t>
      </w:r>
    </w:p>
    <w:p/>
    <w:p>
      <w:pPr>
        <w:spacing w:before="240" w:after="120"/>
      </w:pPr>
      <w:r>
        <w:rPr>
          <w:rFonts w:ascii="Times New Roman" w:hAnsi="Times New Roman" w:eastAsia="Times New Roman"/>
          <w:b/>
          <w:i w:val="0"/>
          <w:sz w:val="28"/>
        </w:rPr>
        <w:t>4.4 Configurational Analysis (fsQCA)</w:t>
      </w:r>
    </w:p>
    <w:p>
      <w:pPr>
        <w:jc w:val="both"/>
      </w:pPr>
      <w:r>
        <w:rPr>
          <w:rFonts w:ascii="Times New Roman" w:hAnsi="Times New Roman" w:eastAsia="Times New Roman"/>
          <w:b w:val="0"/>
          <w:i w:val="0"/>
          <w:sz w:val="24"/>
        </w:rPr>
        <w:t>Because PLS-SEM estimates only net, symmetric effects, we complemented it with fsQCA to examine whether specific combinations of UE, UX, and BSAT are necessary or sufficient for high BSUC. Construct scores were computed as the mean of their indicators and calibrated into fuzzy-set membership scores using the direct method, with the 95th, 50th, and 5th percentiles serving as the full-membership, crossover, and full-non-membership anchors, respectively (Table 9). An illustrative calibration is shown in Figure 9.</w:t>
      </w:r>
    </w:p>
    <w:p>
      <w:pPr>
        <w:jc w:val="both"/>
      </w:pPr>
      <w:r>
        <w:rPr>
          <w:rFonts w:ascii="Times New Roman" w:hAnsi="Times New Roman" w:eastAsia="Times New Roman"/>
          <w:b/>
          <w:i w:val="0"/>
          <w:sz w:val="24"/>
        </w:rPr>
        <w:t>Table 9. fsQCA calibration anchors.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Times New Roman"/>
                <w:b/>
                <w:i w:val="0"/>
                <w:sz w:val="22"/>
              </w:rPr>
              <w:t>Variable</w:t>
            </w:r>
          </w:p>
        </w:tc>
        <w:tc>
          <w:tcPr>
            <w:tcW w:type="dxa" w:w="2160"/>
          </w:tcPr>
          <w:p>
            <w:pPr>
              <w:jc w:val="center"/>
            </w:pPr>
            <w:r/>
            <w:r>
              <w:rPr>
                <w:rFonts w:ascii="Times New Roman" w:hAnsi="Times New Roman" w:eastAsia="Times New Roman"/>
                <w:b/>
                <w:i w:val="0"/>
                <w:sz w:val="22"/>
              </w:rPr>
              <w:t>Full-in (p95)</w:t>
            </w:r>
          </w:p>
        </w:tc>
        <w:tc>
          <w:tcPr>
            <w:tcW w:type="dxa" w:w="2160"/>
          </w:tcPr>
          <w:p>
            <w:pPr>
              <w:jc w:val="center"/>
            </w:pPr>
            <w:r/>
            <w:r>
              <w:rPr>
                <w:rFonts w:ascii="Times New Roman" w:hAnsi="Times New Roman" w:eastAsia="Times New Roman"/>
                <w:b/>
                <w:i w:val="0"/>
                <w:sz w:val="22"/>
              </w:rPr>
              <w:t>Crossover (p50)</w:t>
            </w:r>
          </w:p>
        </w:tc>
        <w:tc>
          <w:tcPr>
            <w:tcW w:type="dxa" w:w="2160"/>
          </w:tcPr>
          <w:p>
            <w:pPr>
              <w:jc w:val="center"/>
            </w:pPr>
            <w:r/>
            <w:r>
              <w:rPr>
                <w:rFonts w:ascii="Times New Roman" w:hAnsi="Times New Roman" w:eastAsia="Times New Roman"/>
                <w:b/>
                <w:i w:val="0"/>
                <w:sz w:val="22"/>
              </w:rPr>
              <w:t>Full-out (p5)</w:t>
            </w:r>
          </w:p>
        </w:tc>
      </w:tr>
      <w:tr>
        <w:tc>
          <w:tcPr>
            <w:tcW w:type="dxa" w:w="2160"/>
          </w:tcPr>
          <w:p>
            <w:r>
              <w:rPr>
                <w:rFonts w:ascii="Times New Roman" w:hAnsi="Times New Roman" w:eastAsia="Times New Roman"/>
                <w:b/>
                <w:i w:val="0"/>
                <w:sz w:val="22"/>
              </w:rPr>
              <w:t>UE</w:t>
            </w:r>
          </w:p>
        </w:tc>
        <w:tc>
          <w:tcPr>
            <w:tcW w:type="dxa" w:w="2160"/>
          </w:tcPr>
          <w:p>
            <w:pPr>
              <w:jc w:val="center"/>
            </w:pPr>
            <w:r/>
            <w:r>
              <w:rPr>
                <w:rFonts w:ascii="Times New Roman" w:hAnsi="Times New Roman" w:eastAsia="Times New Roman"/>
                <w:b w:val="0"/>
                <w:i w:val="0"/>
                <w:sz w:val="22"/>
              </w:rPr>
              <w:t>6.600</w:t>
            </w:r>
          </w:p>
        </w:tc>
        <w:tc>
          <w:tcPr>
            <w:tcW w:type="dxa" w:w="2160"/>
          </w:tcPr>
          <w:p>
            <w:pPr>
              <w:jc w:val="center"/>
            </w:pPr>
            <w:r/>
            <w:r>
              <w:rPr>
                <w:rFonts w:ascii="Times New Roman" w:hAnsi="Times New Roman" w:eastAsia="Times New Roman"/>
                <w:b w:val="0"/>
                <w:i w:val="0"/>
                <w:sz w:val="22"/>
              </w:rPr>
              <w:t>4.000</w:t>
            </w:r>
          </w:p>
        </w:tc>
        <w:tc>
          <w:tcPr>
            <w:tcW w:type="dxa" w:w="2160"/>
          </w:tcPr>
          <w:p>
            <w:pPr>
              <w:jc w:val="center"/>
            </w:pPr>
            <w:r/>
            <w:r>
              <w:rPr>
                <w:rFonts w:ascii="Times New Roman" w:hAnsi="Times New Roman" w:eastAsia="Times New Roman"/>
                <w:b w:val="0"/>
                <w:i w:val="0"/>
                <w:sz w:val="22"/>
              </w:rPr>
              <w:t>1.400</w:t>
            </w:r>
          </w:p>
        </w:tc>
      </w:tr>
      <w:tr>
        <w:tc>
          <w:tcPr>
            <w:tcW w:type="dxa" w:w="2160"/>
          </w:tcPr>
          <w:p>
            <w:r>
              <w:rPr>
                <w:rFonts w:ascii="Times New Roman" w:hAnsi="Times New Roman" w:eastAsia="Times New Roman"/>
                <w:b/>
                <w:i w:val="0"/>
                <w:sz w:val="22"/>
              </w:rPr>
              <w:t>UX</w:t>
            </w:r>
          </w:p>
        </w:tc>
        <w:tc>
          <w:tcPr>
            <w:tcW w:type="dxa" w:w="2160"/>
          </w:tcPr>
          <w:p>
            <w:pPr>
              <w:jc w:val="center"/>
            </w:pPr>
            <w:r/>
            <w:r>
              <w:rPr>
                <w:rFonts w:ascii="Times New Roman" w:hAnsi="Times New Roman" w:eastAsia="Times New Roman"/>
                <w:b w:val="0"/>
                <w:i w:val="0"/>
                <w:sz w:val="22"/>
              </w:rPr>
              <w:t>6.400</w:t>
            </w:r>
          </w:p>
        </w:tc>
        <w:tc>
          <w:tcPr>
            <w:tcW w:type="dxa" w:w="2160"/>
          </w:tcPr>
          <w:p>
            <w:pPr>
              <w:jc w:val="center"/>
            </w:pPr>
            <w:r/>
            <w:r>
              <w:rPr>
                <w:rFonts w:ascii="Times New Roman" w:hAnsi="Times New Roman" w:eastAsia="Times New Roman"/>
                <w:b w:val="0"/>
                <w:i w:val="0"/>
                <w:sz w:val="22"/>
              </w:rPr>
              <w:t>4.000</w:t>
            </w:r>
          </w:p>
        </w:tc>
        <w:tc>
          <w:tcPr>
            <w:tcW w:type="dxa" w:w="2160"/>
          </w:tcPr>
          <w:p>
            <w:pPr>
              <w:jc w:val="center"/>
            </w:pPr>
            <w:r/>
            <w:r>
              <w:rPr>
                <w:rFonts w:ascii="Times New Roman" w:hAnsi="Times New Roman" w:eastAsia="Times New Roman"/>
                <w:b w:val="0"/>
                <w:i w:val="0"/>
                <w:sz w:val="22"/>
              </w:rPr>
              <w:t>1.400</w:t>
            </w:r>
          </w:p>
        </w:tc>
      </w:tr>
      <w:tr>
        <w:tc>
          <w:tcPr>
            <w:tcW w:type="dxa" w:w="2160"/>
          </w:tcPr>
          <w:p>
            <w:r>
              <w:rPr>
                <w:rFonts w:ascii="Times New Roman" w:hAnsi="Times New Roman" w:eastAsia="Times New Roman"/>
                <w:b/>
                <w:i w:val="0"/>
                <w:sz w:val="22"/>
              </w:rPr>
              <w:t>BSAT</w:t>
            </w:r>
          </w:p>
        </w:tc>
        <w:tc>
          <w:tcPr>
            <w:tcW w:type="dxa" w:w="2160"/>
          </w:tcPr>
          <w:p>
            <w:pPr>
              <w:jc w:val="center"/>
            </w:pPr>
            <w:r/>
            <w:r>
              <w:rPr>
                <w:rFonts w:ascii="Times New Roman" w:hAnsi="Times New Roman" w:eastAsia="Times New Roman"/>
                <w:b w:val="0"/>
                <w:i w:val="0"/>
                <w:sz w:val="22"/>
              </w:rPr>
              <w:t>6.612</w:t>
            </w:r>
          </w:p>
        </w:tc>
        <w:tc>
          <w:tcPr>
            <w:tcW w:type="dxa" w:w="2160"/>
          </w:tcPr>
          <w:p>
            <w:pPr>
              <w:jc w:val="center"/>
            </w:pPr>
            <w:r/>
            <w:r>
              <w:rPr>
                <w:rFonts w:ascii="Times New Roman" w:hAnsi="Times New Roman" w:eastAsia="Times New Roman"/>
                <w:b w:val="0"/>
                <w:i w:val="0"/>
                <w:sz w:val="22"/>
              </w:rPr>
              <w:t>4.125</w:t>
            </w:r>
          </w:p>
        </w:tc>
        <w:tc>
          <w:tcPr>
            <w:tcW w:type="dxa" w:w="2160"/>
          </w:tcPr>
          <w:p>
            <w:pPr>
              <w:jc w:val="center"/>
            </w:pPr>
            <w:r/>
            <w:r>
              <w:rPr>
                <w:rFonts w:ascii="Times New Roman" w:hAnsi="Times New Roman" w:eastAsia="Times New Roman"/>
                <w:b w:val="0"/>
                <w:i w:val="0"/>
                <w:sz w:val="22"/>
              </w:rPr>
              <w:t>1.500</w:t>
            </w:r>
          </w:p>
        </w:tc>
      </w:tr>
      <w:tr>
        <w:tc>
          <w:tcPr>
            <w:tcW w:type="dxa" w:w="2160"/>
          </w:tcPr>
          <w:p>
            <w:r>
              <w:rPr>
                <w:rFonts w:ascii="Times New Roman" w:hAnsi="Times New Roman" w:eastAsia="Times New Roman"/>
                <w:b/>
                <w:i w:val="0"/>
                <w:sz w:val="22"/>
              </w:rPr>
              <w:t>BSUC</w:t>
            </w:r>
          </w:p>
        </w:tc>
        <w:tc>
          <w:tcPr>
            <w:tcW w:type="dxa" w:w="2160"/>
          </w:tcPr>
          <w:p>
            <w:pPr>
              <w:jc w:val="center"/>
            </w:pPr>
            <w:r/>
            <w:r>
              <w:rPr>
                <w:rFonts w:ascii="Times New Roman" w:hAnsi="Times New Roman" w:eastAsia="Times New Roman"/>
                <w:b w:val="0"/>
                <w:i w:val="0"/>
                <w:sz w:val="22"/>
              </w:rPr>
              <w:t>6.500</w:t>
            </w:r>
          </w:p>
        </w:tc>
        <w:tc>
          <w:tcPr>
            <w:tcW w:type="dxa" w:w="2160"/>
          </w:tcPr>
          <w:p>
            <w:pPr>
              <w:jc w:val="center"/>
            </w:pPr>
            <w:r/>
            <w:r>
              <w:rPr>
                <w:rFonts w:ascii="Times New Roman" w:hAnsi="Times New Roman" w:eastAsia="Times New Roman"/>
                <w:b w:val="0"/>
                <w:i w:val="0"/>
                <w:sz w:val="22"/>
              </w:rPr>
              <w:t>4.250</w:t>
            </w:r>
          </w:p>
        </w:tc>
        <w:tc>
          <w:tcPr>
            <w:tcW w:type="dxa" w:w="2160"/>
          </w:tcPr>
          <w:p>
            <w:pPr>
              <w:jc w:val="center"/>
            </w:pPr>
            <w:r/>
            <w:r>
              <w:rPr>
                <w:rFonts w:ascii="Times New Roman" w:hAnsi="Times New Roman" w:eastAsia="Times New Roman"/>
                <w:b w:val="0"/>
                <w:i w:val="0"/>
                <w:sz w:val="22"/>
              </w:rPr>
              <w:t>1.500</w:t>
            </w:r>
          </w:p>
        </w:tc>
      </w:tr>
    </w:tbl>
    <w:p>
      <w:r>
        <w:rPr>
          <w:rFonts w:ascii="Times New Roman" w:hAnsi="Times New Roman" w:eastAsia="Times New Roman"/>
          <w:b w:val="0"/>
          <w:i/>
          <w:sz w:val="20"/>
        </w:rPr>
        <w:t>Note. Direct-method calibration using percentile anchors of each seven-point construct.</w:t>
      </w:r>
    </w:p>
    <w:p/>
    <w:p>
      <w:pPr>
        <w:jc w:val="center"/>
      </w:pPr>
      <w:r>
        <w:drawing>
          <wp:inline xmlns:a="http://schemas.openxmlformats.org/drawingml/2006/main" xmlns:pic="http://schemas.openxmlformats.org/drawingml/2006/picture">
            <wp:extent cx="4389120" cy="2721849"/>
            <wp:docPr id="8" name="Picture 8"/>
            <wp:cNvGraphicFramePr>
              <a:graphicFrameLocks noChangeAspect="1"/>
            </wp:cNvGraphicFramePr>
            <a:graphic>
              <a:graphicData uri="http://schemas.openxmlformats.org/drawingml/2006/picture">
                <pic:pic>
                  <pic:nvPicPr>
                    <pic:cNvPr id="0" name="fig9_calibration_bsuc.png"/>
                    <pic:cNvPicPr/>
                  </pic:nvPicPr>
                  <pic:blipFill>
                    <a:blip r:embed="rId16"/>
                    <a:stretch>
                      <a:fillRect/>
                    </a:stretch>
                  </pic:blipFill>
                  <pic:spPr>
                    <a:xfrm>
                      <a:off x="0" y="0"/>
                      <a:ext cx="4389120" cy="2721849"/>
                    </a:xfrm>
                    <a:prstGeom prst="rect"/>
                  </pic:spPr>
                </pic:pic>
              </a:graphicData>
            </a:graphic>
          </wp:inline>
        </w:drawing>
      </w:r>
    </w:p>
    <w:p>
      <w:pPr>
        <w:spacing w:after="200"/>
        <w:jc w:val="center"/>
      </w:pPr>
      <w:r>
        <w:rPr>
          <w:rFonts w:ascii="Times New Roman" w:hAnsi="Times New Roman" w:eastAsia="Times New Roman"/>
          <w:b w:val="0"/>
          <w:i/>
          <w:sz w:val="22"/>
        </w:rPr>
        <w:t>Figure 9. Direct-method calibration of BSUC into fuzzy-set membership (illustrative).</w:t>
      </w:r>
    </w:p>
    <w:p>
      <w:pPr>
        <w:spacing w:before="240" w:after="120"/>
      </w:pPr>
      <w:r>
        <w:rPr>
          <w:rFonts w:ascii="Times New Roman" w:hAnsi="Times New Roman" w:eastAsia="Times New Roman"/>
          <w:b/>
          <w:i w:val="0"/>
          <w:sz w:val="24"/>
        </w:rPr>
        <w:t>4.4.1 Analysis of Necessary Conditions</w:t>
      </w:r>
    </w:p>
    <w:p>
      <w:pPr>
        <w:jc w:val="both"/>
      </w:pPr>
      <w:r>
        <w:rPr>
          <w:rFonts w:ascii="Times New Roman" w:hAnsi="Times New Roman" w:eastAsia="Times New Roman"/>
          <w:b w:val="0"/>
          <w:i w:val="0"/>
          <w:sz w:val="24"/>
        </w:rPr>
        <w:t>We first tested whether any condition (or its negation) is necessary for high BSUC. A condition is typically deemed necessary when its consistency exceeds 0.90. As reported in Table 10 and Figure 7, the consistency of every condition and its negation ranged only from 0.552 to 0.596, all far below the 0.90 benchmark (maximum = 0.596). Accordingly, none of UE, UX, or BSAT — in either its presence or its absence — constitutes a necessary condition for achieving high brand success / continuance.</w:t>
      </w:r>
    </w:p>
    <w:p>
      <w:pPr>
        <w:jc w:val="both"/>
      </w:pPr>
      <w:r>
        <w:rPr>
          <w:rFonts w:ascii="Times New Roman" w:hAnsi="Times New Roman" w:eastAsia="Times New Roman"/>
          <w:b/>
          <w:i w:val="0"/>
          <w:sz w:val="24"/>
        </w:rPr>
        <w:t>Table 10. Analysis of necessary conditions for high BSUC.</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eastAsia="Times New Roman"/>
                <w:b/>
                <w:i w:val="0"/>
                <w:sz w:val="22"/>
              </w:rPr>
              <w:t>Condition</w:t>
            </w:r>
          </w:p>
        </w:tc>
        <w:tc>
          <w:tcPr>
            <w:tcW w:type="dxa" w:w="2880"/>
          </w:tcPr>
          <w:p>
            <w:pPr>
              <w:jc w:val="center"/>
            </w:pPr>
            <w:r/>
            <w:r>
              <w:rPr>
                <w:rFonts w:ascii="Times New Roman" w:hAnsi="Times New Roman" w:eastAsia="Times New Roman"/>
                <w:b/>
                <w:i w:val="0"/>
                <w:sz w:val="22"/>
              </w:rPr>
              <w:t>Consistency</w:t>
            </w:r>
          </w:p>
        </w:tc>
        <w:tc>
          <w:tcPr>
            <w:tcW w:type="dxa" w:w="2880"/>
          </w:tcPr>
          <w:p>
            <w:pPr>
              <w:jc w:val="center"/>
            </w:pPr>
            <w:r/>
            <w:r>
              <w:rPr>
                <w:rFonts w:ascii="Times New Roman" w:hAnsi="Times New Roman" w:eastAsia="Times New Roman"/>
                <w:b/>
                <w:i w:val="0"/>
                <w:sz w:val="22"/>
              </w:rPr>
              <w:t>Coverage</w:t>
            </w:r>
          </w:p>
        </w:tc>
      </w:tr>
      <w:tr>
        <w:tc>
          <w:tcPr>
            <w:tcW w:type="dxa" w:w="2880"/>
          </w:tcPr>
          <w:p>
            <w:r>
              <w:rPr>
                <w:rFonts w:ascii="Times New Roman" w:hAnsi="Times New Roman" w:eastAsia="Times New Roman"/>
                <w:b/>
                <w:i w:val="0"/>
                <w:sz w:val="22"/>
              </w:rPr>
              <w:t>UE</w:t>
            </w:r>
          </w:p>
        </w:tc>
        <w:tc>
          <w:tcPr>
            <w:tcW w:type="dxa" w:w="2880"/>
          </w:tcPr>
          <w:p>
            <w:pPr>
              <w:jc w:val="center"/>
            </w:pPr>
            <w:r/>
            <w:r>
              <w:rPr>
                <w:rFonts w:ascii="Times New Roman" w:hAnsi="Times New Roman" w:eastAsia="Times New Roman"/>
                <w:b w:val="0"/>
                <w:i w:val="0"/>
                <w:sz w:val="22"/>
              </w:rPr>
              <w:t>0.581</w:t>
            </w:r>
          </w:p>
        </w:tc>
        <w:tc>
          <w:tcPr>
            <w:tcW w:type="dxa" w:w="2880"/>
          </w:tcPr>
          <w:p>
            <w:pPr>
              <w:jc w:val="center"/>
            </w:pPr>
            <w:r/>
            <w:r>
              <w:rPr>
                <w:rFonts w:ascii="Times New Roman" w:hAnsi="Times New Roman" w:eastAsia="Times New Roman"/>
                <w:b w:val="0"/>
                <w:i w:val="0"/>
                <w:sz w:val="22"/>
              </w:rPr>
              <w:t>0.581</w:t>
            </w:r>
          </w:p>
        </w:tc>
      </w:tr>
      <w:tr>
        <w:tc>
          <w:tcPr>
            <w:tcW w:type="dxa" w:w="2880"/>
          </w:tcPr>
          <w:p>
            <w:r>
              <w:rPr>
                <w:rFonts w:ascii="Times New Roman" w:hAnsi="Times New Roman" w:eastAsia="Times New Roman"/>
                <w:b/>
                <w:i w:val="0"/>
                <w:sz w:val="22"/>
              </w:rPr>
              <w:t>~UE</w:t>
            </w:r>
          </w:p>
        </w:tc>
        <w:tc>
          <w:tcPr>
            <w:tcW w:type="dxa" w:w="2880"/>
          </w:tcPr>
          <w:p>
            <w:pPr>
              <w:jc w:val="center"/>
            </w:pPr>
            <w:r/>
            <w:r>
              <w:rPr>
                <w:rFonts w:ascii="Times New Roman" w:hAnsi="Times New Roman" w:eastAsia="Times New Roman"/>
                <w:b w:val="0"/>
                <w:i w:val="0"/>
                <w:sz w:val="22"/>
              </w:rPr>
              <w:t>0.566</w:t>
            </w:r>
          </w:p>
        </w:tc>
        <w:tc>
          <w:tcPr>
            <w:tcW w:type="dxa" w:w="2880"/>
          </w:tcPr>
          <w:p>
            <w:pPr>
              <w:jc w:val="center"/>
            </w:pPr>
            <w:r/>
            <w:r>
              <w:rPr>
                <w:rFonts w:ascii="Times New Roman" w:hAnsi="Times New Roman" w:eastAsia="Times New Roman"/>
                <w:b w:val="0"/>
                <w:i w:val="0"/>
                <w:sz w:val="22"/>
              </w:rPr>
              <w:t>0.568</w:t>
            </w:r>
          </w:p>
        </w:tc>
      </w:tr>
      <w:tr>
        <w:tc>
          <w:tcPr>
            <w:tcW w:type="dxa" w:w="2880"/>
          </w:tcPr>
          <w:p>
            <w:r>
              <w:rPr>
                <w:rFonts w:ascii="Times New Roman" w:hAnsi="Times New Roman" w:eastAsia="Times New Roman"/>
                <w:b/>
                <w:i w:val="0"/>
                <w:sz w:val="22"/>
              </w:rPr>
              <w:t>UX</w:t>
            </w:r>
          </w:p>
        </w:tc>
        <w:tc>
          <w:tcPr>
            <w:tcW w:type="dxa" w:w="2880"/>
          </w:tcPr>
          <w:p>
            <w:pPr>
              <w:jc w:val="center"/>
            </w:pPr>
            <w:r/>
            <w:r>
              <w:rPr>
                <w:rFonts w:ascii="Times New Roman" w:hAnsi="Times New Roman" w:eastAsia="Times New Roman"/>
                <w:b w:val="0"/>
                <w:i w:val="0"/>
                <w:sz w:val="22"/>
              </w:rPr>
              <w:t>0.552</w:t>
            </w:r>
          </w:p>
        </w:tc>
        <w:tc>
          <w:tcPr>
            <w:tcW w:type="dxa" w:w="2880"/>
          </w:tcPr>
          <w:p>
            <w:pPr>
              <w:jc w:val="center"/>
            </w:pPr>
            <w:r/>
            <w:r>
              <w:rPr>
                <w:rFonts w:ascii="Times New Roman" w:hAnsi="Times New Roman" w:eastAsia="Times New Roman"/>
                <w:b w:val="0"/>
                <w:i w:val="0"/>
                <w:sz w:val="22"/>
              </w:rPr>
              <w:t>0.554</w:t>
            </w:r>
          </w:p>
        </w:tc>
      </w:tr>
      <w:tr>
        <w:tc>
          <w:tcPr>
            <w:tcW w:type="dxa" w:w="2880"/>
          </w:tcPr>
          <w:p>
            <w:r>
              <w:rPr>
                <w:rFonts w:ascii="Times New Roman" w:hAnsi="Times New Roman" w:eastAsia="Times New Roman"/>
                <w:b/>
                <w:i w:val="0"/>
                <w:sz w:val="22"/>
              </w:rPr>
              <w:t>~UX</w:t>
            </w:r>
          </w:p>
        </w:tc>
        <w:tc>
          <w:tcPr>
            <w:tcW w:type="dxa" w:w="2880"/>
          </w:tcPr>
          <w:p>
            <w:pPr>
              <w:jc w:val="center"/>
            </w:pPr>
            <w:r/>
            <w:r>
              <w:rPr>
                <w:rFonts w:ascii="Times New Roman" w:hAnsi="Times New Roman" w:eastAsia="Times New Roman"/>
                <w:b w:val="0"/>
                <w:i w:val="0"/>
                <w:sz w:val="22"/>
              </w:rPr>
              <w:t>0.596</w:t>
            </w:r>
          </w:p>
        </w:tc>
        <w:tc>
          <w:tcPr>
            <w:tcW w:type="dxa" w:w="2880"/>
          </w:tcPr>
          <w:p>
            <w:pPr>
              <w:jc w:val="center"/>
            </w:pPr>
            <w:r/>
            <w:r>
              <w:rPr>
                <w:rFonts w:ascii="Times New Roman" w:hAnsi="Times New Roman" w:eastAsia="Times New Roman"/>
                <w:b w:val="0"/>
                <w:i w:val="0"/>
                <w:sz w:val="22"/>
              </w:rPr>
              <w:t>0.596</w:t>
            </w:r>
          </w:p>
        </w:tc>
      </w:tr>
      <w:tr>
        <w:tc>
          <w:tcPr>
            <w:tcW w:type="dxa" w:w="2880"/>
          </w:tcPr>
          <w:p>
            <w:r>
              <w:rPr>
                <w:rFonts w:ascii="Times New Roman" w:hAnsi="Times New Roman" w:eastAsia="Times New Roman"/>
                <w:b/>
                <w:i w:val="0"/>
                <w:sz w:val="22"/>
              </w:rPr>
              <w:t>BSAT</w:t>
            </w:r>
          </w:p>
        </w:tc>
        <w:tc>
          <w:tcPr>
            <w:tcW w:type="dxa" w:w="2880"/>
          </w:tcPr>
          <w:p>
            <w:pPr>
              <w:jc w:val="center"/>
            </w:pPr>
            <w:r/>
            <w:r>
              <w:rPr>
                <w:rFonts w:ascii="Times New Roman" w:hAnsi="Times New Roman" w:eastAsia="Times New Roman"/>
                <w:b w:val="0"/>
                <w:i w:val="0"/>
                <w:sz w:val="22"/>
              </w:rPr>
              <w:t>0.567</w:t>
            </w:r>
          </w:p>
        </w:tc>
        <w:tc>
          <w:tcPr>
            <w:tcW w:type="dxa" w:w="2880"/>
          </w:tcPr>
          <w:p>
            <w:pPr>
              <w:jc w:val="center"/>
            </w:pPr>
            <w:r/>
            <w:r>
              <w:rPr>
                <w:rFonts w:ascii="Times New Roman" w:hAnsi="Times New Roman" w:eastAsia="Times New Roman"/>
                <w:b w:val="0"/>
                <w:i w:val="0"/>
                <w:sz w:val="22"/>
              </w:rPr>
              <w:t>0.561</w:t>
            </w:r>
          </w:p>
        </w:tc>
      </w:tr>
      <w:tr>
        <w:tc>
          <w:tcPr>
            <w:tcW w:type="dxa" w:w="2880"/>
          </w:tcPr>
          <w:p>
            <w:r>
              <w:rPr>
                <w:rFonts w:ascii="Times New Roman" w:hAnsi="Times New Roman" w:eastAsia="Times New Roman"/>
                <w:b/>
                <w:i w:val="0"/>
                <w:sz w:val="22"/>
              </w:rPr>
              <w:t>~BSAT</w:t>
            </w:r>
          </w:p>
        </w:tc>
        <w:tc>
          <w:tcPr>
            <w:tcW w:type="dxa" w:w="2880"/>
          </w:tcPr>
          <w:p>
            <w:pPr>
              <w:jc w:val="center"/>
            </w:pPr>
            <w:r/>
            <w:r>
              <w:rPr>
                <w:rFonts w:ascii="Times New Roman" w:hAnsi="Times New Roman" w:eastAsia="Times New Roman"/>
                <w:b w:val="0"/>
                <w:i w:val="0"/>
                <w:sz w:val="22"/>
              </w:rPr>
              <w:t>0.570</w:t>
            </w:r>
          </w:p>
        </w:tc>
        <w:tc>
          <w:tcPr>
            <w:tcW w:type="dxa" w:w="2880"/>
          </w:tcPr>
          <w:p>
            <w:pPr>
              <w:jc w:val="center"/>
            </w:pPr>
            <w:r/>
            <w:r>
              <w:rPr>
                <w:rFonts w:ascii="Times New Roman" w:hAnsi="Times New Roman" w:eastAsia="Times New Roman"/>
                <w:b w:val="0"/>
                <w:i w:val="0"/>
                <w:sz w:val="22"/>
              </w:rPr>
              <w:t>0.577</w:t>
            </w:r>
          </w:p>
        </w:tc>
      </w:tr>
    </w:tbl>
    <w:p>
      <w:r>
        <w:rPr>
          <w:rFonts w:ascii="Times New Roman" w:hAnsi="Times New Roman" w:eastAsia="Times New Roman"/>
          <w:b w:val="0"/>
          <w:i/>
          <w:sz w:val="20"/>
        </w:rPr>
        <w:t>Note. “~” denotes the absence (negation) of a condition. Necessity threshold = 0.90.</w:t>
      </w:r>
    </w:p>
    <w:p/>
    <w:p>
      <w:pPr>
        <w:jc w:val="center"/>
      </w:pPr>
      <w:r>
        <w:drawing>
          <wp:inline xmlns:a="http://schemas.openxmlformats.org/drawingml/2006/main" xmlns:pic="http://schemas.openxmlformats.org/drawingml/2006/picture">
            <wp:extent cx="5760720" cy="3361949"/>
            <wp:docPr id="9" name="Picture 9"/>
            <wp:cNvGraphicFramePr>
              <a:graphicFrameLocks noChangeAspect="1"/>
            </wp:cNvGraphicFramePr>
            <a:graphic>
              <a:graphicData uri="http://schemas.openxmlformats.org/drawingml/2006/picture">
                <pic:pic>
                  <pic:nvPicPr>
                    <pic:cNvPr id="0" name="fig7_fsqca_necessity.png"/>
                    <pic:cNvPicPr/>
                  </pic:nvPicPr>
                  <pic:blipFill>
                    <a:blip r:embed="rId17"/>
                    <a:stretch>
                      <a:fillRect/>
                    </a:stretch>
                  </pic:blipFill>
                  <pic:spPr>
                    <a:xfrm>
                      <a:off x="0" y="0"/>
                      <a:ext cx="5760720" cy="3361949"/>
                    </a:xfrm>
                    <a:prstGeom prst="rect"/>
                  </pic:spPr>
                </pic:pic>
              </a:graphicData>
            </a:graphic>
          </wp:inline>
        </w:drawing>
      </w:r>
    </w:p>
    <w:p>
      <w:pPr>
        <w:spacing w:after="200"/>
        <w:jc w:val="center"/>
      </w:pPr>
      <w:r>
        <w:rPr>
          <w:rFonts w:ascii="Times New Roman" w:hAnsi="Times New Roman" w:eastAsia="Times New Roman"/>
          <w:b w:val="0"/>
          <w:i/>
          <w:sz w:val="22"/>
        </w:rPr>
        <w:t>Figure 7. Necessity consistencies for high BSUC; none approaches the 0.90 threshold.</w:t>
      </w:r>
    </w:p>
    <w:p>
      <w:pPr>
        <w:spacing w:before="240" w:after="120"/>
      </w:pPr>
      <w:r>
        <w:rPr>
          <w:rFonts w:ascii="Times New Roman" w:hAnsi="Times New Roman" w:eastAsia="Times New Roman"/>
          <w:b/>
          <w:i w:val="0"/>
          <w:sz w:val="24"/>
        </w:rPr>
        <w:t>4.4.2 Analysis of Sufficient Configurations</w:t>
      </w:r>
    </w:p>
    <w:p>
      <w:pPr>
        <w:jc w:val="both"/>
      </w:pPr>
      <w:r>
        <w:rPr>
          <w:rFonts w:ascii="Times New Roman" w:hAnsi="Times New Roman" w:eastAsia="Times New Roman"/>
          <w:b w:val="0"/>
          <w:i w:val="0"/>
          <w:sz w:val="24"/>
        </w:rPr>
        <w:t>Next, we constructed the truth table of all 2³ = 8 possible configurations of the three conditions and evaluated their sufficiency for high BSUC, applying conventional thresholds of a minimum frequency of three cases and a minimum raw consistency of 0.80. As shown in Table 11 and Figure 8, although all eight configurations were well populated, the highest raw consistency attained by any configuration was only 0.739, below the 0.80 sufficiency cut-off. Consequently, no configuration qualified as a sufficient condition for high BSUC, and the sufficiency solution is empty (solution coverage and consistency are undefined). In other words, no combination of high or low UE, UX, and BSAT reliably produces high brand success.</w:t>
      </w:r>
    </w:p>
    <w:p>
      <w:pPr>
        <w:jc w:val="both"/>
      </w:pPr>
      <w:r>
        <w:rPr>
          <w:rFonts w:ascii="Times New Roman" w:hAnsi="Times New Roman" w:eastAsia="Times New Roman"/>
          <w:b/>
          <w:i w:val="0"/>
          <w:sz w:val="24"/>
        </w:rPr>
        <w:t>Table 11. Truth table of configurations for high BSUC.</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eastAsia="Times New Roman"/>
                <w:b/>
                <w:i w:val="0"/>
                <w:sz w:val="22"/>
              </w:rPr>
              <w:t>Configuration</w:t>
            </w:r>
          </w:p>
        </w:tc>
        <w:tc>
          <w:tcPr>
            <w:tcW w:type="dxa" w:w="2880"/>
          </w:tcPr>
          <w:p>
            <w:pPr>
              <w:jc w:val="center"/>
            </w:pPr>
            <w:r/>
            <w:r>
              <w:rPr>
                <w:rFonts w:ascii="Times New Roman" w:hAnsi="Times New Roman" w:eastAsia="Times New Roman"/>
                <w:b/>
                <w:i w:val="0"/>
                <w:sz w:val="22"/>
              </w:rPr>
              <w:t>Cases (m&gt;0.5)</w:t>
            </w:r>
          </w:p>
        </w:tc>
        <w:tc>
          <w:tcPr>
            <w:tcW w:type="dxa" w:w="2880"/>
          </w:tcPr>
          <w:p>
            <w:pPr>
              <w:jc w:val="center"/>
            </w:pPr>
            <w:r/>
            <w:r>
              <w:rPr>
                <w:rFonts w:ascii="Times New Roman" w:hAnsi="Times New Roman" w:eastAsia="Times New Roman"/>
                <w:b/>
                <w:i w:val="0"/>
                <w:sz w:val="22"/>
              </w:rPr>
              <w:t>Raw consistency</w:t>
            </w:r>
          </w:p>
        </w:tc>
      </w:tr>
      <w:tr>
        <w:tc>
          <w:tcPr>
            <w:tcW w:type="dxa" w:w="2880"/>
          </w:tcPr>
          <w:p>
            <w:r>
              <w:rPr>
                <w:rFonts w:ascii="Times New Roman" w:hAnsi="Times New Roman" w:eastAsia="Times New Roman"/>
                <w:b/>
                <w:i w:val="0"/>
                <w:sz w:val="22"/>
              </w:rPr>
              <w:t>UE * ~UX * BSAT</w:t>
            </w:r>
          </w:p>
        </w:tc>
        <w:tc>
          <w:tcPr>
            <w:tcW w:type="dxa" w:w="2880"/>
          </w:tcPr>
          <w:p>
            <w:pPr>
              <w:jc w:val="center"/>
            </w:pPr>
            <w:r/>
            <w:r>
              <w:rPr>
                <w:rFonts w:ascii="Times New Roman" w:hAnsi="Times New Roman" w:eastAsia="Times New Roman"/>
                <w:b w:val="0"/>
                <w:i w:val="0"/>
                <w:sz w:val="22"/>
              </w:rPr>
              <w:t>34</w:t>
            </w:r>
          </w:p>
        </w:tc>
        <w:tc>
          <w:tcPr>
            <w:tcW w:type="dxa" w:w="2880"/>
          </w:tcPr>
          <w:p>
            <w:pPr>
              <w:jc w:val="center"/>
            </w:pPr>
            <w:r/>
            <w:r>
              <w:rPr>
                <w:rFonts w:ascii="Times New Roman" w:hAnsi="Times New Roman" w:eastAsia="Times New Roman"/>
                <w:b w:val="0"/>
                <w:i w:val="0"/>
                <w:sz w:val="22"/>
              </w:rPr>
              <w:t>0.739</w:t>
            </w:r>
          </w:p>
        </w:tc>
      </w:tr>
      <w:tr>
        <w:tc>
          <w:tcPr>
            <w:tcW w:type="dxa" w:w="2880"/>
          </w:tcPr>
          <w:p>
            <w:r>
              <w:rPr>
                <w:rFonts w:ascii="Times New Roman" w:hAnsi="Times New Roman" w:eastAsia="Times New Roman"/>
                <w:b/>
                <w:i w:val="0"/>
                <w:sz w:val="22"/>
              </w:rPr>
              <w:t>~UE * ~UX * ~BSAT</w:t>
            </w:r>
          </w:p>
        </w:tc>
        <w:tc>
          <w:tcPr>
            <w:tcW w:type="dxa" w:w="2880"/>
          </w:tcPr>
          <w:p>
            <w:pPr>
              <w:jc w:val="center"/>
            </w:pPr>
            <w:r/>
            <w:r>
              <w:rPr>
                <w:rFonts w:ascii="Times New Roman" w:hAnsi="Times New Roman" w:eastAsia="Times New Roman"/>
                <w:b w:val="0"/>
                <w:i w:val="0"/>
                <w:sz w:val="22"/>
              </w:rPr>
              <w:t>42</w:t>
            </w:r>
          </w:p>
        </w:tc>
        <w:tc>
          <w:tcPr>
            <w:tcW w:type="dxa" w:w="2880"/>
          </w:tcPr>
          <w:p>
            <w:pPr>
              <w:jc w:val="center"/>
            </w:pPr>
            <w:r/>
            <w:r>
              <w:rPr>
                <w:rFonts w:ascii="Times New Roman" w:hAnsi="Times New Roman" w:eastAsia="Times New Roman"/>
                <w:b w:val="0"/>
                <w:i w:val="0"/>
                <w:sz w:val="22"/>
              </w:rPr>
              <w:t>0.700</w:t>
            </w:r>
          </w:p>
        </w:tc>
      </w:tr>
      <w:tr>
        <w:tc>
          <w:tcPr>
            <w:tcW w:type="dxa" w:w="2880"/>
          </w:tcPr>
          <w:p>
            <w:r>
              <w:rPr>
                <w:rFonts w:ascii="Times New Roman" w:hAnsi="Times New Roman" w:eastAsia="Times New Roman"/>
                <w:b/>
                <w:i w:val="0"/>
                <w:sz w:val="22"/>
              </w:rPr>
              <w:t>UE * ~UX * ~BSAT</w:t>
            </w:r>
          </w:p>
        </w:tc>
        <w:tc>
          <w:tcPr>
            <w:tcW w:type="dxa" w:w="2880"/>
          </w:tcPr>
          <w:p>
            <w:pPr>
              <w:jc w:val="center"/>
            </w:pPr>
            <w:r/>
            <w:r>
              <w:rPr>
                <w:rFonts w:ascii="Times New Roman" w:hAnsi="Times New Roman" w:eastAsia="Times New Roman"/>
                <w:b w:val="0"/>
                <w:i w:val="0"/>
                <w:sz w:val="22"/>
              </w:rPr>
              <w:t>34</w:t>
            </w:r>
          </w:p>
        </w:tc>
        <w:tc>
          <w:tcPr>
            <w:tcW w:type="dxa" w:w="2880"/>
          </w:tcPr>
          <w:p>
            <w:pPr>
              <w:jc w:val="center"/>
            </w:pPr>
            <w:r/>
            <w:r>
              <w:rPr>
                <w:rFonts w:ascii="Times New Roman" w:hAnsi="Times New Roman" w:eastAsia="Times New Roman"/>
                <w:b w:val="0"/>
                <w:i w:val="0"/>
                <w:sz w:val="22"/>
              </w:rPr>
              <w:t>0.683</w:t>
            </w:r>
          </w:p>
        </w:tc>
      </w:tr>
      <w:tr>
        <w:tc>
          <w:tcPr>
            <w:tcW w:type="dxa" w:w="2880"/>
          </w:tcPr>
          <w:p>
            <w:r>
              <w:rPr>
                <w:rFonts w:ascii="Times New Roman" w:hAnsi="Times New Roman" w:eastAsia="Times New Roman"/>
                <w:b/>
                <w:i w:val="0"/>
                <w:sz w:val="22"/>
              </w:rPr>
              <w:t>~UE * UX * ~BSAT</w:t>
            </w:r>
          </w:p>
        </w:tc>
        <w:tc>
          <w:tcPr>
            <w:tcW w:type="dxa" w:w="2880"/>
          </w:tcPr>
          <w:p>
            <w:pPr>
              <w:jc w:val="center"/>
            </w:pPr>
            <w:r/>
            <w:r>
              <w:rPr>
                <w:rFonts w:ascii="Times New Roman" w:hAnsi="Times New Roman" w:eastAsia="Times New Roman"/>
                <w:b w:val="0"/>
                <w:i w:val="0"/>
                <w:sz w:val="22"/>
              </w:rPr>
              <w:t>34</w:t>
            </w:r>
          </w:p>
        </w:tc>
        <w:tc>
          <w:tcPr>
            <w:tcW w:type="dxa" w:w="2880"/>
          </w:tcPr>
          <w:p>
            <w:pPr>
              <w:jc w:val="center"/>
            </w:pPr>
            <w:r/>
            <w:r>
              <w:rPr>
                <w:rFonts w:ascii="Times New Roman" w:hAnsi="Times New Roman" w:eastAsia="Times New Roman"/>
                <w:b w:val="0"/>
                <w:i w:val="0"/>
                <w:sz w:val="22"/>
              </w:rPr>
              <w:t>0.680</w:t>
            </w:r>
          </w:p>
        </w:tc>
      </w:tr>
      <w:tr>
        <w:tc>
          <w:tcPr>
            <w:tcW w:type="dxa" w:w="2880"/>
          </w:tcPr>
          <w:p>
            <w:r>
              <w:rPr>
                <w:rFonts w:ascii="Times New Roman" w:hAnsi="Times New Roman" w:eastAsia="Times New Roman"/>
                <w:b/>
                <w:i w:val="0"/>
                <w:sz w:val="22"/>
              </w:rPr>
              <w:t>~UE * ~UX * BSAT</w:t>
            </w:r>
          </w:p>
        </w:tc>
        <w:tc>
          <w:tcPr>
            <w:tcW w:type="dxa" w:w="2880"/>
          </w:tcPr>
          <w:p>
            <w:pPr>
              <w:jc w:val="center"/>
            </w:pPr>
            <w:r/>
            <w:r>
              <w:rPr>
                <w:rFonts w:ascii="Times New Roman" w:hAnsi="Times New Roman" w:eastAsia="Times New Roman"/>
                <w:b w:val="0"/>
                <w:i w:val="0"/>
                <w:sz w:val="22"/>
              </w:rPr>
              <w:t>32</w:t>
            </w:r>
          </w:p>
        </w:tc>
        <w:tc>
          <w:tcPr>
            <w:tcW w:type="dxa" w:w="2880"/>
          </w:tcPr>
          <w:p>
            <w:pPr>
              <w:jc w:val="center"/>
            </w:pPr>
            <w:r/>
            <w:r>
              <w:rPr>
                <w:rFonts w:ascii="Times New Roman" w:hAnsi="Times New Roman" w:eastAsia="Times New Roman"/>
                <w:b w:val="0"/>
                <w:i w:val="0"/>
                <w:sz w:val="22"/>
              </w:rPr>
              <w:t>0.676</w:t>
            </w:r>
          </w:p>
        </w:tc>
      </w:tr>
      <w:tr>
        <w:tc>
          <w:tcPr>
            <w:tcW w:type="dxa" w:w="2880"/>
          </w:tcPr>
          <w:p>
            <w:r>
              <w:rPr>
                <w:rFonts w:ascii="Times New Roman" w:hAnsi="Times New Roman" w:eastAsia="Times New Roman"/>
                <w:b/>
                <w:i w:val="0"/>
                <w:sz w:val="22"/>
              </w:rPr>
              <w:t>UE * UX * BSAT</w:t>
            </w:r>
          </w:p>
        </w:tc>
        <w:tc>
          <w:tcPr>
            <w:tcW w:type="dxa" w:w="2880"/>
          </w:tcPr>
          <w:p>
            <w:pPr>
              <w:jc w:val="center"/>
            </w:pPr>
            <w:r/>
            <w:r>
              <w:rPr>
                <w:rFonts w:ascii="Times New Roman" w:hAnsi="Times New Roman" w:eastAsia="Times New Roman"/>
                <w:b w:val="0"/>
                <w:i w:val="0"/>
                <w:sz w:val="22"/>
              </w:rPr>
              <w:t>42</w:t>
            </w:r>
          </w:p>
        </w:tc>
        <w:tc>
          <w:tcPr>
            <w:tcW w:type="dxa" w:w="2880"/>
          </w:tcPr>
          <w:p>
            <w:pPr>
              <w:jc w:val="center"/>
            </w:pPr>
            <w:r/>
            <w:r>
              <w:rPr>
                <w:rFonts w:ascii="Times New Roman" w:hAnsi="Times New Roman" w:eastAsia="Times New Roman"/>
                <w:b w:val="0"/>
                <w:i w:val="0"/>
                <w:sz w:val="22"/>
              </w:rPr>
              <w:t>0.676</w:t>
            </w:r>
          </w:p>
        </w:tc>
      </w:tr>
      <w:tr>
        <w:tc>
          <w:tcPr>
            <w:tcW w:type="dxa" w:w="2880"/>
          </w:tcPr>
          <w:p>
            <w:r>
              <w:rPr>
                <w:rFonts w:ascii="Times New Roman" w:hAnsi="Times New Roman" w:eastAsia="Times New Roman"/>
                <w:b/>
                <w:i w:val="0"/>
                <w:sz w:val="22"/>
              </w:rPr>
              <w:t>~UE * UX * BSAT</w:t>
            </w:r>
          </w:p>
        </w:tc>
        <w:tc>
          <w:tcPr>
            <w:tcW w:type="dxa" w:w="2880"/>
          </w:tcPr>
          <w:p>
            <w:pPr>
              <w:jc w:val="center"/>
            </w:pPr>
            <w:r/>
            <w:r>
              <w:rPr>
                <w:rFonts w:ascii="Times New Roman" w:hAnsi="Times New Roman" w:eastAsia="Times New Roman"/>
                <w:b w:val="0"/>
                <w:i w:val="0"/>
                <w:sz w:val="22"/>
              </w:rPr>
              <w:t>38</w:t>
            </w:r>
          </w:p>
        </w:tc>
        <w:tc>
          <w:tcPr>
            <w:tcW w:type="dxa" w:w="2880"/>
          </w:tcPr>
          <w:p>
            <w:pPr>
              <w:jc w:val="center"/>
            </w:pPr>
            <w:r/>
            <w:r>
              <w:rPr>
                <w:rFonts w:ascii="Times New Roman" w:hAnsi="Times New Roman" w:eastAsia="Times New Roman"/>
                <w:b w:val="0"/>
                <w:i w:val="0"/>
                <w:sz w:val="22"/>
              </w:rPr>
              <w:t>0.649</w:t>
            </w:r>
          </w:p>
        </w:tc>
      </w:tr>
      <w:tr>
        <w:tc>
          <w:tcPr>
            <w:tcW w:type="dxa" w:w="2880"/>
          </w:tcPr>
          <w:p>
            <w:r>
              <w:rPr>
                <w:rFonts w:ascii="Times New Roman" w:hAnsi="Times New Roman" w:eastAsia="Times New Roman"/>
                <w:b/>
                <w:i w:val="0"/>
                <w:sz w:val="22"/>
              </w:rPr>
              <w:t>UE * UX * ~BSAT</w:t>
            </w:r>
          </w:p>
        </w:tc>
        <w:tc>
          <w:tcPr>
            <w:tcW w:type="dxa" w:w="2880"/>
          </w:tcPr>
          <w:p>
            <w:pPr>
              <w:jc w:val="center"/>
            </w:pPr>
            <w:r/>
            <w:r>
              <w:rPr>
                <w:rFonts w:ascii="Times New Roman" w:hAnsi="Times New Roman" w:eastAsia="Times New Roman"/>
                <w:b w:val="0"/>
                <w:i w:val="0"/>
                <w:sz w:val="22"/>
              </w:rPr>
              <w:t>33</w:t>
            </w:r>
          </w:p>
        </w:tc>
        <w:tc>
          <w:tcPr>
            <w:tcW w:type="dxa" w:w="2880"/>
          </w:tcPr>
          <w:p>
            <w:pPr>
              <w:jc w:val="center"/>
            </w:pPr>
            <w:r/>
            <w:r>
              <w:rPr>
                <w:rFonts w:ascii="Times New Roman" w:hAnsi="Times New Roman" w:eastAsia="Times New Roman"/>
                <w:b w:val="0"/>
                <w:i w:val="0"/>
                <w:sz w:val="22"/>
              </w:rPr>
              <w:t>0.647</w:t>
            </w:r>
          </w:p>
        </w:tc>
      </w:tr>
    </w:tbl>
    <w:p>
      <w:r>
        <w:rPr>
          <w:rFonts w:ascii="Times New Roman" w:hAnsi="Times New Roman" w:eastAsia="Times New Roman"/>
          <w:b w:val="0"/>
          <w:i/>
          <w:sz w:val="20"/>
        </w:rPr>
        <w:t>Note. “*” denotes logical AND; “~” denotes negation. Sufficiency thresholds: frequency ≥ 3, consistency ≥ 0.80. No row meets the consistency cut-off.</w:t>
      </w:r>
    </w:p>
    <w:p/>
    <w:p>
      <w:pPr>
        <w:jc w:val="center"/>
      </w:pPr>
      <w:r>
        <w:drawing>
          <wp:inline xmlns:a="http://schemas.openxmlformats.org/drawingml/2006/main" xmlns:pic="http://schemas.openxmlformats.org/drawingml/2006/picture">
            <wp:extent cx="5760720" cy="3497966"/>
            <wp:docPr id="10" name="Picture 10"/>
            <wp:cNvGraphicFramePr>
              <a:graphicFrameLocks noChangeAspect="1"/>
            </wp:cNvGraphicFramePr>
            <a:graphic>
              <a:graphicData uri="http://schemas.openxmlformats.org/drawingml/2006/picture">
                <pic:pic>
                  <pic:nvPicPr>
                    <pic:cNvPr id="0" name="fig8_fsqca_truthtable.png"/>
                    <pic:cNvPicPr/>
                  </pic:nvPicPr>
                  <pic:blipFill>
                    <a:blip r:embed="rId18"/>
                    <a:stretch>
                      <a:fillRect/>
                    </a:stretch>
                  </pic:blipFill>
                  <pic:spPr>
                    <a:xfrm>
                      <a:off x="0" y="0"/>
                      <a:ext cx="5760720" cy="3497966"/>
                    </a:xfrm>
                    <a:prstGeom prst="rect"/>
                  </pic:spPr>
                </pic:pic>
              </a:graphicData>
            </a:graphic>
          </wp:inline>
        </w:drawing>
      </w:r>
    </w:p>
    <w:p>
      <w:pPr>
        <w:spacing w:after="200"/>
        <w:jc w:val="center"/>
      </w:pPr>
      <w:r>
        <w:rPr>
          <w:rFonts w:ascii="Times New Roman" w:hAnsi="Times New Roman" w:eastAsia="Times New Roman"/>
          <w:b w:val="0"/>
          <w:i/>
          <w:sz w:val="22"/>
        </w:rPr>
        <w:t>Figure 8. Truth-table configurations ranked by raw consistency; all fall below the 0.80 sufficiency threshold.</w:t>
      </w:r>
    </w:p>
    <w:p>
      <w:pPr>
        <w:spacing w:before="240" w:after="120"/>
      </w:pPr>
      <w:r>
        <w:rPr>
          <w:rFonts w:ascii="Times New Roman" w:hAnsi="Times New Roman" w:eastAsia="Times New Roman"/>
          <w:b/>
          <w:i w:val="0"/>
          <w:sz w:val="28"/>
        </w:rPr>
        <w:t>4.5 Summary of Results</w:t>
      </w:r>
    </w:p>
    <w:p>
      <w:pPr>
        <w:jc w:val="both"/>
      </w:pPr>
      <w:r>
        <w:rPr>
          <w:rFonts w:ascii="Times New Roman" w:hAnsi="Times New Roman" w:eastAsia="Times New Roman"/>
          <w:b w:val="0"/>
          <w:i w:val="0"/>
          <w:sz w:val="24"/>
        </w:rPr>
        <w:t>Taken together, the two analytical approaches converge on a consistent and unambiguous conclusion. The reflective measurement model is psychometrically sound: all constructs exhibit high indicator loadings, strong internal-consistency reliability, adequate convergent validity, and clear discriminant validity. However, the structural model reveals that the four constructs are statistically independent of one another. The symmetric PLS-SEM analysis found no significant direct or mediated paths, negligible R² (&lt; 0.02), trivial effect sizes (f² &lt; 0.011), and negative predictive relevance (Q² &lt; 0). The asymmetric fsQCA analysis corroborated this pattern, identifying neither necessary conditions (all necessity consistencies ≈ 0.55–0.60) nor sufficient configurations (maximum sufficiency consistency = 0.739) for high brand success / continuance. Table 12 summarises the status of each hypothesis.</w:t>
      </w:r>
    </w:p>
    <w:p>
      <w:pPr>
        <w:jc w:val="both"/>
      </w:pPr>
      <w:r>
        <w:rPr>
          <w:rFonts w:ascii="Times New Roman" w:hAnsi="Times New Roman" w:eastAsia="Times New Roman"/>
          <w:b/>
          <w:i w:val="0"/>
          <w:sz w:val="24"/>
        </w:rPr>
        <w:t>Table 12. Summary of hypothesis testing.</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eastAsia="Times New Roman"/>
                <w:b/>
                <w:i w:val="0"/>
                <w:sz w:val="22"/>
              </w:rPr>
              <w:t>Path / Proposition</w:t>
            </w:r>
          </w:p>
        </w:tc>
        <w:tc>
          <w:tcPr>
            <w:tcW w:type="dxa" w:w="4320"/>
          </w:tcPr>
          <w:p>
            <w:pPr>
              <w:jc w:val="center"/>
            </w:pPr>
            <w:r/>
            <w:r>
              <w:rPr>
                <w:rFonts w:ascii="Times New Roman" w:hAnsi="Times New Roman" w:eastAsia="Times New Roman"/>
                <w:b/>
                <w:i w:val="0"/>
                <w:sz w:val="22"/>
              </w:rPr>
              <w:t>Result</w:t>
            </w:r>
          </w:p>
        </w:tc>
      </w:tr>
      <w:tr>
        <w:tc>
          <w:tcPr>
            <w:tcW w:type="dxa" w:w="4320"/>
          </w:tcPr>
          <w:p>
            <w:r>
              <w:rPr>
                <w:rFonts w:ascii="Times New Roman" w:hAnsi="Times New Roman" w:eastAsia="Times New Roman"/>
                <w:b w:val="0"/>
                <w:i w:val="0"/>
                <w:sz w:val="22"/>
              </w:rPr>
              <w:t>H1: UE → BSUC</w:t>
            </w:r>
          </w:p>
        </w:tc>
        <w:tc>
          <w:tcPr>
            <w:tcW w:type="dxa" w:w="4320"/>
          </w:tcPr>
          <w:p>
            <w:pPr>
              <w:jc w:val="center"/>
            </w:pPr>
            <w:r/>
            <w:r>
              <w:rPr>
                <w:rFonts w:ascii="Times New Roman" w:hAnsi="Times New Roman" w:eastAsia="Times New Roman"/>
                <w:b w:val="0"/>
                <w:i w:val="0"/>
                <w:sz w:val="22"/>
              </w:rPr>
              <w:t>Not supported</w:t>
            </w:r>
          </w:p>
        </w:tc>
      </w:tr>
      <w:tr>
        <w:tc>
          <w:tcPr>
            <w:tcW w:type="dxa" w:w="4320"/>
          </w:tcPr>
          <w:p>
            <w:r>
              <w:rPr>
                <w:rFonts w:ascii="Times New Roman" w:hAnsi="Times New Roman" w:eastAsia="Times New Roman"/>
                <w:b w:val="0"/>
                <w:i w:val="0"/>
                <w:sz w:val="22"/>
              </w:rPr>
              <w:t>H2: UX → BSUC</w:t>
            </w:r>
          </w:p>
        </w:tc>
        <w:tc>
          <w:tcPr>
            <w:tcW w:type="dxa" w:w="4320"/>
          </w:tcPr>
          <w:p>
            <w:pPr>
              <w:jc w:val="center"/>
            </w:pPr>
            <w:r/>
            <w:r>
              <w:rPr>
                <w:rFonts w:ascii="Times New Roman" w:hAnsi="Times New Roman" w:eastAsia="Times New Roman"/>
                <w:b w:val="0"/>
                <w:i w:val="0"/>
                <w:sz w:val="22"/>
              </w:rPr>
              <w:t>Not supported</w:t>
            </w:r>
          </w:p>
        </w:tc>
      </w:tr>
      <w:tr>
        <w:tc>
          <w:tcPr>
            <w:tcW w:type="dxa" w:w="4320"/>
          </w:tcPr>
          <w:p>
            <w:r>
              <w:rPr>
                <w:rFonts w:ascii="Times New Roman" w:hAnsi="Times New Roman" w:eastAsia="Times New Roman"/>
                <w:b w:val="0"/>
                <w:i w:val="0"/>
                <w:sz w:val="22"/>
              </w:rPr>
              <w:t>H3a: UE → BSAT</w:t>
            </w:r>
          </w:p>
        </w:tc>
        <w:tc>
          <w:tcPr>
            <w:tcW w:type="dxa" w:w="4320"/>
          </w:tcPr>
          <w:p>
            <w:pPr>
              <w:jc w:val="center"/>
            </w:pPr>
            <w:r/>
            <w:r>
              <w:rPr>
                <w:rFonts w:ascii="Times New Roman" w:hAnsi="Times New Roman" w:eastAsia="Times New Roman"/>
                <w:b w:val="0"/>
                <w:i w:val="0"/>
                <w:sz w:val="22"/>
              </w:rPr>
              <w:t>Not supported</w:t>
            </w:r>
          </w:p>
        </w:tc>
      </w:tr>
      <w:tr>
        <w:tc>
          <w:tcPr>
            <w:tcW w:type="dxa" w:w="4320"/>
          </w:tcPr>
          <w:p>
            <w:r>
              <w:rPr>
                <w:rFonts w:ascii="Times New Roman" w:hAnsi="Times New Roman" w:eastAsia="Times New Roman"/>
                <w:b w:val="0"/>
                <w:i w:val="0"/>
                <w:sz w:val="22"/>
              </w:rPr>
              <w:t>H3b: UX → BSAT</w:t>
            </w:r>
          </w:p>
        </w:tc>
        <w:tc>
          <w:tcPr>
            <w:tcW w:type="dxa" w:w="4320"/>
          </w:tcPr>
          <w:p>
            <w:pPr>
              <w:jc w:val="center"/>
            </w:pPr>
            <w:r/>
            <w:r>
              <w:rPr>
                <w:rFonts w:ascii="Times New Roman" w:hAnsi="Times New Roman" w:eastAsia="Times New Roman"/>
                <w:b w:val="0"/>
                <w:i w:val="0"/>
                <w:sz w:val="22"/>
              </w:rPr>
              <w:t>Not supported</w:t>
            </w:r>
          </w:p>
        </w:tc>
      </w:tr>
      <w:tr>
        <w:tc>
          <w:tcPr>
            <w:tcW w:type="dxa" w:w="4320"/>
          </w:tcPr>
          <w:p>
            <w:r>
              <w:rPr>
                <w:rFonts w:ascii="Times New Roman" w:hAnsi="Times New Roman" w:eastAsia="Times New Roman"/>
                <w:b w:val="0"/>
                <w:i w:val="0"/>
                <w:sz w:val="22"/>
              </w:rPr>
              <w:t>H4: BSAT → BSUC</w:t>
            </w:r>
          </w:p>
        </w:tc>
        <w:tc>
          <w:tcPr>
            <w:tcW w:type="dxa" w:w="4320"/>
          </w:tcPr>
          <w:p>
            <w:pPr>
              <w:jc w:val="center"/>
            </w:pPr>
            <w:r/>
            <w:r>
              <w:rPr>
                <w:rFonts w:ascii="Times New Roman" w:hAnsi="Times New Roman" w:eastAsia="Times New Roman"/>
                <w:b w:val="0"/>
                <w:i w:val="0"/>
                <w:sz w:val="22"/>
              </w:rPr>
              <w:t>Not supported</w:t>
            </w:r>
          </w:p>
        </w:tc>
      </w:tr>
      <w:tr>
        <w:tc>
          <w:tcPr>
            <w:tcW w:type="dxa" w:w="4320"/>
          </w:tcPr>
          <w:p>
            <w:r>
              <w:rPr>
                <w:rFonts w:ascii="Times New Roman" w:hAnsi="Times New Roman" w:eastAsia="Times New Roman"/>
                <w:b w:val="0"/>
                <w:i w:val="0"/>
                <w:sz w:val="22"/>
              </w:rPr>
              <w:t>Mediation: UE/UX → BSAT → BSUC</w:t>
            </w:r>
          </w:p>
        </w:tc>
        <w:tc>
          <w:tcPr>
            <w:tcW w:type="dxa" w:w="4320"/>
          </w:tcPr>
          <w:p>
            <w:pPr>
              <w:jc w:val="center"/>
            </w:pPr>
            <w:r/>
            <w:r>
              <w:rPr>
                <w:rFonts w:ascii="Times New Roman" w:hAnsi="Times New Roman" w:eastAsia="Times New Roman"/>
                <w:b w:val="0"/>
                <w:i w:val="0"/>
                <w:sz w:val="22"/>
              </w:rPr>
              <w:t>Not supported</w:t>
            </w:r>
          </w:p>
        </w:tc>
      </w:tr>
      <w:tr>
        <w:tc>
          <w:tcPr>
            <w:tcW w:type="dxa" w:w="4320"/>
          </w:tcPr>
          <w:p>
            <w:r>
              <w:rPr>
                <w:rFonts w:ascii="Times New Roman" w:hAnsi="Times New Roman" w:eastAsia="Times New Roman"/>
                <w:b w:val="0"/>
                <w:i w:val="0"/>
                <w:sz w:val="22"/>
              </w:rPr>
              <w:t>P1: Sufficient configurations for high BSUC</w:t>
            </w:r>
          </w:p>
        </w:tc>
        <w:tc>
          <w:tcPr>
            <w:tcW w:type="dxa" w:w="4320"/>
          </w:tcPr>
          <w:p>
            <w:pPr>
              <w:jc w:val="center"/>
            </w:pPr>
            <w:r/>
            <w:r>
              <w:rPr>
                <w:rFonts w:ascii="Times New Roman" w:hAnsi="Times New Roman" w:eastAsia="Times New Roman"/>
                <w:b w:val="0"/>
                <w:i w:val="0"/>
                <w:sz w:val="22"/>
              </w:rPr>
              <w:t>Not supported</w:t>
            </w:r>
          </w:p>
        </w:tc>
      </w:tr>
    </w:tbl>
    <w:p>
      <w:r>
        <w:rPr>
          <w:rFonts w:ascii="Times New Roman" w:hAnsi="Times New Roman" w:eastAsia="Times New Roman"/>
          <w:b w:val="0"/>
          <w:i/>
          <w:sz w:val="20"/>
        </w:rPr>
        <w:t>Note. See Sections 4.3 and 4.4 for the corresponding statistics.</w:t>
      </w:r>
    </w:p>
    <w:p/>
    <w:p>
      <w:pPr>
        <w:jc w:val="both"/>
      </w:pPr>
      <w:r>
        <w:rPr>
          <w:rFonts w:ascii="Times New Roman" w:hAnsi="Times New Roman" w:eastAsia="Times New Roman"/>
          <w:b w:val="0"/>
          <w:i w:val="0"/>
          <w:sz w:val="24"/>
        </w:rPr>
        <w:t>These convergent null results are reported transparently and in full. They indicate that, within the present sample, engagement, experience, satisfaction, and brand success operate as statistically independent dimensions rather than as a causal chain. The implications of this finding — including data-quality and measurement considerations and directions for subsequent data collection — are discussed in Section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