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t xml:space="preserve">Preliminary findings of this study suggest that User Engagement (UE) and User Experience (UX) within the metaverse environment are pivotal antecedents to Brand Satisfaction (BSAT) in virtual ecosystems. This satisfaction, in turn, emerges as a critical determinant of Brand Success (BSUC) in the metaverse. The relationship is not only sequential but also systemic, as enhanced engagement and experiential value coalesce to form a comprehensive user-brand interaction framework. These dynamics collectively contribute to the evolution of a brand-oriented metaverse environment. These findings highlight the key importance of virtual identity-building, emotional connections, and digital asset value collectively enhance brand resonance and long-term ROI (Hennig-Thurau et al., 2023; Dwivedi et al., 2023). By offering an immersive 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 These marketing strategies 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All constructs were measured on seven-point Likert scales anchored from 1 (strongly disagree) to 7 (strongly agree). The ten-item engagement and experience scales are adapted subsets</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In the present study, the primary analysis used PLS-SEM to confirm the reliability and consistency of the constructs; the output indicates that the measurement scales demonstrated satisfactory reliability and consistency. The measurement model was evaluated through standardized factor loadings, Cronbach’s α, composite reliability (CR) and average variance extracted (AVE). The standardized factor loadings ranged from 0.699 to 0.741 for Brand Satisfaction, 0.670 to 0.707 for User Engagement, 0.677 to 0.714 for User Experience, and 0.661 to 0.682 for Brand Success, all exceeding the 0.60 minimum (Bagozzi and Yi, 1988). The corresponding z-values were all significant (p &lt; .001), supporting convergent evidence for the items (Table 2).</w:t>
      </w:r>
    </w:p>
    <w:p w14:paraId="4C6AEE07" w14:textId="44D0C3B2" w:rsidR="002B4CA4" w:rsidRPr="002B4CA4" w:rsidRDefault="002B4CA4" w:rsidP="002B4CA4">
      <w:pPr>
        <w:spacing w:line="360" w:lineRule="auto"/>
        <w:jc w:val="both"/>
        <w:rPr>
          <w:color w:val="000000" w:themeColor="text1"/>
        </w:rPr>
      </w:pPr>
      <w:r>
        <w:t>Reliability was assessed using Cronbach’s α and composite reliability computed from the standardized loadings. Cronbach’s α values were 0.84 for Brand Satisfaction, 0.90 for User Engagement, 0.90 for User Experience and 0.77 for Brand Success, all above the 0.70 minimum (Nunnally and Bernstein, 1994). The corresponding composite reliability values were 0.84, 0.90, 0.90 and 0.77, each exceeding the 0.70 cut-off (Hair et al., 2019). These results indicate that the items consistently measure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standardized factor loadings, composite reliability (CR) and average variance extracted (AVE; Table 2). All loadings were positive and significant (p &lt; .001), and composite reliability ranged from 0.77 to 0.90, supporting convergent validity (Hair et al., 2019). The AVE values were 0.51 (Brand Satisfaction), 0.48 (User Engagement), 0.48 (User Experience) and 0.45 (Brand Success). Although three constructs fell marginally below the 0.50 guideline, convergent validity is supported by the significant loadings and adequate composite reliability, consistent with Fornell and Larcker (1981), who note that composite reliability can compensate when AVE is slightly below 0.50.</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a stringent criterion recommended in variance-based SEM research (Hair et al., 2019; Henseler et al., 2015). HTMT values below 0.85 indicate satisfactory discriminant validity. As presented in Table 2a, all HTMT values in the present study fall below the 0.85 threshold (maximum = 0.814 for the engagement–experience pair), confirming that each construct is empirically distinct. Combined with the Harman single-factor result, these checks indicate that neither common method bias nor a lack of discriminant validity poses a material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r>
              <w:t>0.841</w:t>
            </w:r>
          </w:p>
        </w:tc>
        <w:tc>
          <w:tcPr>
            <w:tcW w:w="525" w:type="pct"/>
            <w:vMerge w:val="restart"/>
            <w:tcBorders>
              <w:top w:val="nil"/>
              <w:left w:val="nil"/>
              <w:right w:val="nil"/>
            </w:tcBorders>
            <w:tcMar>
              <w:top w:w="120" w:type="dxa"/>
              <w:left w:w="120" w:type="dxa"/>
              <w:bottom w:w="30" w:type="dxa"/>
              <w:right w:w="300" w:type="dxa"/>
            </w:tcMar>
          </w:tcPr>
          <w:p>
            <w:r>
              <w:t>0.514</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r>
              <w:t>0.903</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r>
              <w:t>0.902</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r>
              <w:t>0.765</w:t>
            </w:r>
          </w:p>
        </w:tc>
        <w:tc>
          <w:tcPr>
            <w:tcW w:w="525" w:type="pct"/>
            <w:tcBorders>
              <w:top w:val="nil"/>
              <w:left w:val="nil"/>
              <w:bottom w:val="nil"/>
              <w:right w:val="nil"/>
            </w:tcBorders>
            <w:tcMar>
              <w:top w:w="120" w:type="dxa"/>
              <w:left w:w="120" w:type="dxa"/>
              <w:bottom w:w="30" w:type="dxa"/>
              <w:right w:w="300" w:type="dxa"/>
            </w:tcMar>
          </w:tcPr>
          <w:p>
            <w:r>
              <w:t>0.448</w:t>
            </w: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r>
              <w:t>0.448</w:t>
            </w: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t>Cronbach’s alpha and composite reliability exceeded the 0.70 threshold for all constructs, indicating acceptable to good internal consistency (Brand Satisfaction α = 0.84, CR = 0.84; Brand Success α = 0.77, CR = 0.77; User Experience α = 0.90, CR = 0.90; User Engagement α = 0.90, CR = 0.90).</w:t>
      </w:r>
    </w:p>
    <w:p w14:paraId="0F24E97F" w14:textId="63C3BE5B" w:rsidR="004D6242" w:rsidRPr="00FD5EFD" w:rsidRDefault="00FD5EFD" w:rsidP="00FD5EFD">
      <w:pPr>
        <w:tabs>
          <w:tab w:val="left" w:pos="426"/>
        </w:tabs>
        <w:spacing w:line="360" w:lineRule="auto"/>
        <w:jc w:val="both"/>
        <w:rPr>
          <w:color w:val="000000" w:themeColor="text1"/>
        </w:rPr>
      </w:pPr>
      <w:r>
        <w:t>All standardized item loadings were positive and significant, and the correlation heatmaps in Figure 3 show positive, statistically significant inter-item correlations within each construct (panels a–d for Brand Satisfaction, Brand Success, User Experience and User Engagement, respectively), consistent with unidimensional measurement. No inter-item correlation approached the multicollinearity ceiling of 0.95, indicating that each item contributed unique information to its construct.</w:t>
      </w:r>
    </w:p>
    <w:p>
      <w:r>
        <w:t>The square root of the AVE for each construct (0.72 for Brand Satisfaction, 0.69 for User Engagement, 0.69 for User Experience and 0.67 for Brand Success) is close to the construct intercorrelations, reflecting the conceptual proximity of these experiential constructs. Discriminant validity is therefore established primarily through the HTMT criterion (Table 2a), where every ratio is below the conservative 0.85 threshold (maximum = 0.814 for the engagement–experience pair), confirming that the constructs are empirically distinct.</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303750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cx="5634072" cy="3037500">
                          <a14:useLocalDpi xmlns:a14="http://schemas.microsoft.com/office/drawing/2010/main" val="0"/>
                        </a:ext>
                      </a:extLst>
                    </a:blip>
                    <a:srcRect l="5806" t="12062" r="9284" b="16114"/>
                    <a:stretch>
                      <a:fillRect/>
                    </a:stretch>
                  </pic:blipFill>
                  <pic:spPr bwMode="auto">
                    <a:xfrm>
                      <a:off x="0" y="0"/>
                      <a:ext cx="5634072" cy="3037500"/>
                    </a:xfrm>
                    <a:prstGeom prst="rect">
                      <a:avLst/>
                    </a:prstGeom>
                    <a:ln w="9525" cap="flat" cmpd="sng" algn="ctr">
                      <a:solidFill>
                        <a:sysClr val="windowText" lastClr="000000"/>
                      </a:solidFill>
                      <a:prstDash val="solid"/>
                      <a:round/>
                      <a:headEnd type="none" w="med" len="med"/>
                      <a:tailEnd type="none" w="med" len="med"/>
                      <a:extLst>
                        <a:ext uri="{C807C97D-BFC1-408E-A445-0C87EB9F89A2}" cx="5634072" cy="3037500">
                          <ask:lineSketchStyleProps xmlns:ask="http://schemas.microsoft.com/office/drawing/2018/sketchyshapes" sd="0">
                            <a:custGeom>
                              <a:avLst/>
                              <a:gdLst/>
                              <a:ahLst/>
                              <a:cxnLst/>
                              <a:rect l="0" t="0" r="0" b="0"/>
                              <a:pathLst/>
                            </a:custGeom>
                            <ask:type/>
                          </ask:lineSketchStyleProps>
                        </a:ext>
                      </a:extLst>
                    </a:ln>
                    <a:extLst>
                      <a:ext uri="{53640926-AAD7-44D8-BBD7-CCE9431645EC}" cx="5634072" cy="3037500">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Figure 4. Conceptual model and hypotheses (H1–H3): user engagement (UE) and user experience (UX) as antecedents, brand satisfaction (BSAT) as mediator, and brand success (BSUC) as the outcome, framed by Flow Theory and Self-Determination Theory.</w:t>
        <w:tab/>
        <w:tab/>
      </w:r>
      <w:r w:rsidR="008871CF" w:rsidRPr="0043234C">
        <w:rPr>
          <w:b/>
          <w:bCs/>
          <w:i/>
          <w:iCs/>
          <w:color w:val="000000" w:themeColor="text1"/>
        </w:rPr>
      </w:r>
      <w:r w:rsidRPr="0043234C">
        <w:rPr>
          <w:b/>
          <w:bCs/>
          <w:i/>
          <w:iCs/>
          <w:color w:val="000000" w:themeColor="text1"/>
        </w:rPr>
      </w:r>
      <w:r w:rsidR="00EE5E3D" w:rsidRPr="0043234C">
        <w:rPr>
          <w:b/>
          <w:bCs/>
          <w:i/>
          <w:iCs/>
          <w:color w:val="000000" w:themeColor="text1"/>
        </w:rPr>
      </w:r>
      <w:r w:rsidRPr="0043234C">
        <w:rPr>
          <w:b/>
          <w:bCs/>
          <w:i/>
          <w:iCs/>
          <w:color w:val="000000" w:themeColor="text1"/>
        </w:rPr>
      </w:r>
      <w:r w:rsidR="00FF1A69" w:rsidRPr="0043234C">
        <w:rPr>
          <w:b/>
          <w:bCs/>
          <w:i/>
          <w:iCs/>
          <w:color w:val="000000" w:themeColor="text1"/>
        </w:rPr>
      </w:r>
      <w:r w:rsidR="00ED17BF" w:rsidRPr="0043234C">
        <w:rPr>
          <w:i/>
          <w:iCs/>
          <w:color w:val="000000" w:themeColor="text1"/>
        </w:rPr>
      </w:r>
      <w:r w:rsidR="00ED17BF" w:rsidRPr="0043234C">
        <w:rPr>
          <w:i/>
          <w:iCs/>
          <w:color w:val="000000" w:themeColor="text1"/>
        </w:rPr>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 xml:space="preserve">       The combination of user brand satisfaction (BSAT) and user experience (UX) emerged as a significant driver of brand success, with a consistency value of 0.6499 and raw coverage of 20.84%. 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and Muralidharan, 2023; Hennig-Thurau et al., 2023). These findings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(Thaichon et al., 2022). Brands should prioritize designing seamless and immersive virtual experiences that align with user preferences to amplify satisfaction and engagement. Although immersive experiences enhance user engagement, they also raise ethical concerns, including data privacy risks and potential addiction. NFT-related challenges also emerged as significant barriers to user engagement and satisfaction. Issues such as interoperability across platforms limit users' ability to transfer assets seamlessly, while a lack of transparency in NFT minting processes undermines trust (Alshater et al., 2024). For example, high transaction fees and inefficiencies in blockchain technology deter users from engaging with NFTs despite their potential benefits (Malik 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t>While slightly lower in consistency (0.6003), the combination of UX and UE still contributed positively to brand outcomes, with raw coverage at 21.90%. 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 These findings suggests that user engagement is most effective when paired with high-quality experiences, even if satisfaction is not explicitly measured in these interactions. This aligns with findings by Shin, (2019),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 xml:space="preserve">The analysis using FsQCA yields one-of-a-kind understandings of the relationships among brand satisfaction (BSAT), user experience (UX), user engagement (UE),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