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A3B911" w14:textId="77777777" w:rsidR="00833D40" w:rsidRDefault="00833D40" w:rsidP="00833D40">
      <w:pPr>
        <w:pStyle w:val="NormalWeb"/>
        <w:shd w:val="clear" w:color="auto" w:fill="FFFFFF"/>
        <w:jc w:val="center"/>
        <w:rPr>
          <w:rFonts w:eastAsia="Arial"/>
          <w:b/>
          <w:bCs/>
          <w:i/>
          <w:iCs/>
          <w:color w:val="000000" w:themeColor="text1"/>
        </w:rPr>
      </w:pPr>
      <w:r w:rsidRPr="00646E69">
        <w:rPr>
          <w:rFonts w:eastAsia="Arial"/>
          <w:b/>
          <w:bCs/>
          <w:i/>
          <w:iCs/>
          <w:color w:val="000000" w:themeColor="text1"/>
        </w:rPr>
        <w:t>When Does the Metaverse Pay Off for Brands? A Mixed-Method Test in an Emerging Market</w:t>
      </w:r>
    </w:p>
    <w:p w14:paraId="0BFF800B" w14:textId="77777777" w:rsidR="00833D40" w:rsidRPr="005E20DD" w:rsidRDefault="00833D40" w:rsidP="00833D40">
      <w:pPr>
        <w:pStyle w:val="NormalWeb"/>
        <w:shd w:val="clear" w:color="auto" w:fill="FFFFFF"/>
        <w:jc w:val="center"/>
      </w:pPr>
      <w:r w:rsidRPr="005E20DD">
        <w:t>Mohit Gundwal</w:t>
      </w:r>
    </w:p>
    <w:p w14:paraId="63DFE8AE" w14:textId="77777777" w:rsidR="00833D40" w:rsidRPr="005E20DD" w:rsidRDefault="00833D40" w:rsidP="00833D40">
      <w:pPr>
        <w:pStyle w:val="NormalWeb"/>
        <w:shd w:val="clear" w:color="auto" w:fill="FFFFFF"/>
        <w:jc w:val="center"/>
      </w:pPr>
      <w:r>
        <w:rPr>
          <w:vertAlign w:val="superscript"/>
        </w:rPr>
        <w:t>1</w:t>
      </w:r>
      <w:r w:rsidRPr="005E20DD">
        <w:t>Graphic Era School of Management,</w:t>
      </w:r>
      <w:r>
        <w:t xml:space="preserve"> Dehradun, India</w:t>
      </w:r>
    </w:p>
    <w:p w14:paraId="1FEE4E61" w14:textId="77777777" w:rsidR="00833D40" w:rsidRPr="006E1FA0" w:rsidRDefault="00833D40" w:rsidP="00833D40">
      <w:pPr>
        <w:pStyle w:val="NormalWeb"/>
        <w:shd w:val="clear" w:color="auto" w:fill="FFFFFF"/>
        <w:jc w:val="center"/>
      </w:pPr>
      <w:r w:rsidRPr="005E20DD">
        <w:t xml:space="preserve">Email- </w:t>
      </w:r>
      <w:hyperlink r:id="rId6" w:history="1">
        <w:r w:rsidRPr="00AC045A">
          <w:rPr>
            <w:rStyle w:val="Hyperlink"/>
          </w:rPr>
          <w:t>mohit.gundwal2@gmail.com</w:t>
        </w:r>
      </w:hyperlink>
    </w:p>
    <w:p w14:paraId="144199AF" w14:textId="77777777" w:rsidR="00833D40" w:rsidRPr="005E20DD" w:rsidRDefault="00833D40" w:rsidP="00833D40">
      <w:pPr>
        <w:pStyle w:val="NormalWeb"/>
        <w:shd w:val="clear" w:color="auto" w:fill="FFFFFF"/>
        <w:ind w:left="2880"/>
      </w:pPr>
      <w:r>
        <w:t xml:space="preserve">   </w:t>
      </w:r>
      <w:r w:rsidRPr="005E20DD">
        <w:t>Orcid- 0009-0003-6989-0718</w:t>
      </w:r>
    </w:p>
    <w:p w14:paraId="33B19C20" w14:textId="77777777" w:rsidR="00833D40" w:rsidRPr="005E20DD" w:rsidRDefault="00833D40" w:rsidP="00833D40">
      <w:pPr>
        <w:pStyle w:val="NormalWeb"/>
        <w:shd w:val="clear" w:color="auto" w:fill="FFFFFF"/>
        <w:jc w:val="center"/>
      </w:pPr>
    </w:p>
    <w:p w14:paraId="3FBF5164" w14:textId="77777777" w:rsidR="00833D40" w:rsidRPr="005E20DD" w:rsidRDefault="00833D40" w:rsidP="00833D40">
      <w:pPr>
        <w:pStyle w:val="NormalWeb"/>
        <w:shd w:val="clear" w:color="auto" w:fill="FFFFFF"/>
        <w:jc w:val="center"/>
      </w:pPr>
      <w:r w:rsidRPr="005E20DD">
        <w:t>Nagendra Kumar Sharma</w:t>
      </w:r>
    </w:p>
    <w:p w14:paraId="29A23409" w14:textId="77777777" w:rsidR="00833D40" w:rsidRPr="005E20DD" w:rsidRDefault="00833D40" w:rsidP="00833D40">
      <w:pPr>
        <w:pStyle w:val="NormalWeb"/>
        <w:shd w:val="clear" w:color="auto" w:fill="FFFFFF"/>
        <w:jc w:val="center"/>
      </w:pPr>
      <w:r>
        <w:rPr>
          <w:vertAlign w:val="superscript"/>
        </w:rPr>
        <w:t>1</w:t>
      </w:r>
      <w:r w:rsidRPr="005E20DD">
        <w:t xml:space="preserve">Graphic Era School of Management, </w:t>
      </w:r>
      <w:r>
        <w:t>Dehradun, India</w:t>
      </w:r>
    </w:p>
    <w:p w14:paraId="4EB2F46B" w14:textId="77777777" w:rsidR="00833D40" w:rsidRPr="005E20DD" w:rsidRDefault="00833D40" w:rsidP="00833D40">
      <w:pPr>
        <w:pStyle w:val="NormalWeb"/>
        <w:shd w:val="clear" w:color="auto" w:fill="FFFFFF"/>
        <w:jc w:val="center"/>
      </w:pPr>
      <w:r w:rsidRPr="005E20DD">
        <w:t xml:space="preserve">Email- </w:t>
      </w:r>
      <w:hyperlink r:id="rId7" w:history="1">
        <w:r w:rsidRPr="00AC045A">
          <w:rPr>
            <w:rStyle w:val="Hyperlink"/>
          </w:rPr>
          <w:t>nagendrasharmag@gmail.com</w:t>
        </w:r>
      </w:hyperlink>
    </w:p>
    <w:p w14:paraId="42577AB9" w14:textId="77777777" w:rsidR="00833D40" w:rsidRDefault="00833D40" w:rsidP="00833D40">
      <w:pPr>
        <w:pStyle w:val="NormalWeb"/>
        <w:shd w:val="clear" w:color="auto" w:fill="FFFFFF"/>
        <w:jc w:val="center"/>
      </w:pPr>
      <w:r w:rsidRPr="005E20DD">
        <w:t>Orcid- 0000-0002-6698-8926</w:t>
      </w:r>
    </w:p>
    <w:p w14:paraId="310BDA7B" w14:textId="77777777" w:rsidR="00833D40" w:rsidRDefault="00833D40" w:rsidP="00833D40">
      <w:pPr>
        <w:pStyle w:val="NormalWeb"/>
        <w:shd w:val="clear" w:color="auto" w:fill="FFFFFF"/>
        <w:jc w:val="center"/>
      </w:pPr>
    </w:p>
    <w:p w14:paraId="2EC98144" w14:textId="77777777" w:rsidR="00833D40" w:rsidRDefault="00833D40" w:rsidP="00833D40">
      <w:pPr>
        <w:pStyle w:val="NormalWeb"/>
        <w:shd w:val="clear" w:color="auto" w:fill="FFFFFF"/>
        <w:jc w:val="center"/>
      </w:pPr>
      <w:r>
        <w:t>Vikas Arya</w:t>
      </w:r>
    </w:p>
    <w:p w14:paraId="0370ECB7" w14:textId="77777777" w:rsidR="00833D40" w:rsidRDefault="00833D40" w:rsidP="00833D40">
      <w:pPr>
        <w:spacing w:line="360" w:lineRule="auto"/>
        <w:jc w:val="center"/>
      </w:pPr>
      <w:r>
        <w:rPr>
          <w:vertAlign w:val="superscript"/>
        </w:rPr>
        <w:t>2</w:t>
      </w:r>
      <w:r w:rsidRPr="00A53631">
        <w:t>Paris School of Business, Paris, France</w:t>
      </w:r>
    </w:p>
    <w:p w14:paraId="1E35E83F" w14:textId="77777777" w:rsidR="00833D40" w:rsidRDefault="00833D40" w:rsidP="00833D40">
      <w:pPr>
        <w:spacing w:line="360" w:lineRule="auto"/>
        <w:jc w:val="center"/>
      </w:pPr>
      <w:r>
        <w:t xml:space="preserve">Email- </w:t>
      </w:r>
      <w:hyperlink r:id="rId8" w:history="1">
        <w:r w:rsidRPr="00B462BD">
          <w:rPr>
            <w:rStyle w:val="Hyperlink"/>
          </w:rPr>
          <w:t>vikas.aryaa@yahoo.in</w:t>
        </w:r>
      </w:hyperlink>
    </w:p>
    <w:p w14:paraId="151B8278" w14:textId="77777777" w:rsidR="00833D40" w:rsidRDefault="00833D40" w:rsidP="00833D40">
      <w:pPr>
        <w:spacing w:line="360" w:lineRule="auto"/>
        <w:jc w:val="center"/>
      </w:pPr>
      <w:r>
        <w:t xml:space="preserve">Orcid- </w:t>
      </w:r>
      <w:r w:rsidRPr="00A53631">
        <w:t>0000-0001-8025-1528</w:t>
      </w:r>
    </w:p>
    <w:p w14:paraId="5B68F74E" w14:textId="77777777" w:rsidR="00833D40" w:rsidRDefault="00833D40" w:rsidP="00833D40">
      <w:pPr>
        <w:jc w:val="center"/>
      </w:pPr>
      <w:r>
        <w:t>Somesh Kumar Sinha</w:t>
      </w:r>
    </w:p>
    <w:p w14:paraId="64E450A3" w14:textId="77777777" w:rsidR="00833D40" w:rsidRDefault="00833D40" w:rsidP="00833D40">
      <w:pPr>
        <w:jc w:val="center"/>
      </w:pPr>
      <w:r>
        <w:rPr>
          <w:vertAlign w:val="superscript"/>
        </w:rPr>
        <w:t>3</w:t>
      </w:r>
      <w:r w:rsidRPr="00A53631">
        <w:t>Rajagiri Business School</w:t>
      </w:r>
      <w:r>
        <w:t>, India</w:t>
      </w:r>
    </w:p>
    <w:p w14:paraId="25F66D3C" w14:textId="77777777" w:rsidR="00833D40" w:rsidRDefault="00833D40" w:rsidP="00833D40">
      <w:pPr>
        <w:jc w:val="center"/>
      </w:pPr>
      <w:r>
        <w:t xml:space="preserve">Email - </w:t>
      </w:r>
      <w:hyperlink r:id="rId9" w:history="1">
        <w:r w:rsidRPr="00B462BD">
          <w:rPr>
            <w:rStyle w:val="Hyperlink"/>
          </w:rPr>
          <w:t>somesh111sinha@gmail.com</w:t>
        </w:r>
      </w:hyperlink>
    </w:p>
    <w:p w14:paraId="79C95F79" w14:textId="77777777" w:rsidR="00833D40" w:rsidRDefault="00833D40" w:rsidP="00833D40">
      <w:pPr>
        <w:jc w:val="center"/>
      </w:pPr>
      <w:r>
        <w:t xml:space="preserve">Orcid- </w:t>
      </w:r>
      <w:r w:rsidRPr="00A53631">
        <w:t>0000-0002-5706-9848</w:t>
      </w:r>
    </w:p>
    <w:p w14:paraId="3D60AC81" w14:textId="77777777" w:rsidR="00833D40" w:rsidRDefault="00833D40" w:rsidP="00833D40">
      <w:pPr>
        <w:spacing w:line="360" w:lineRule="auto"/>
      </w:pPr>
    </w:p>
    <w:p w14:paraId="40C69AF8" w14:textId="77777777" w:rsidR="00833D40" w:rsidRDefault="00833D40" w:rsidP="00833D40">
      <w:pPr>
        <w:spacing w:line="360" w:lineRule="auto"/>
      </w:pPr>
      <w:r>
        <w:t>Corresponding Author :</w:t>
      </w:r>
    </w:p>
    <w:p w14:paraId="1E33E839" w14:textId="77777777" w:rsidR="00833D40" w:rsidRPr="00382CB6" w:rsidRDefault="00833D40" w:rsidP="00833D40">
      <w:pPr>
        <w:spacing w:line="360" w:lineRule="auto"/>
      </w:pPr>
      <w:r w:rsidRPr="00382CB6">
        <w:t>Nagendra Kumar Sharma</w:t>
      </w:r>
    </w:p>
    <w:p w14:paraId="48609B2A" w14:textId="77777777" w:rsidR="00833D40" w:rsidRPr="00382CB6" w:rsidRDefault="00833D40" w:rsidP="00833D40">
      <w:pPr>
        <w:spacing w:line="360" w:lineRule="auto"/>
      </w:pPr>
      <w:r w:rsidRPr="00AA1D1E">
        <w:t>Graphic Era</w:t>
      </w:r>
      <w:r w:rsidRPr="00382CB6">
        <w:t xml:space="preserve"> School of Management, </w:t>
      </w:r>
    </w:p>
    <w:p w14:paraId="3D2D6689" w14:textId="77777777" w:rsidR="00833D40" w:rsidRDefault="00833D40" w:rsidP="00833D40">
      <w:pPr>
        <w:spacing w:line="360" w:lineRule="auto"/>
      </w:pPr>
      <w:r w:rsidRPr="00382CB6">
        <w:t xml:space="preserve">Email- </w:t>
      </w:r>
      <w:hyperlink r:id="rId10" w:history="1">
        <w:r w:rsidRPr="003A092A">
          <w:rPr>
            <w:rStyle w:val="Hyperlink"/>
          </w:rPr>
          <w:t>nagendrasharmag@gmail.com</w:t>
        </w:r>
      </w:hyperlink>
    </w:p>
    <w:p w14:paraId="11C36C2A" w14:textId="77777777" w:rsidR="00833D40" w:rsidRDefault="00833D40" w:rsidP="00833D40">
      <w:pPr>
        <w:spacing w:line="360" w:lineRule="auto"/>
      </w:pPr>
      <w:r w:rsidRPr="00382CB6">
        <w:t>Orcid- 0000-0002-6698-8926</w:t>
      </w:r>
    </w:p>
    <w:p w14:paraId="04448D00" w14:textId="77777777" w:rsidR="00833D40" w:rsidRDefault="00833D40" w:rsidP="007B7F8C">
      <w:pPr>
        <w:spacing w:line="360" w:lineRule="auto"/>
        <w:jc w:val="center"/>
        <w:rPr>
          <w:b/>
          <w:bCs/>
          <w:i/>
          <w:iCs/>
          <w:color w:val="000000" w:themeColor="text1"/>
        </w:rPr>
      </w:pPr>
    </w:p>
    <w:p w14:paraId="7BE062FA" w14:textId="77777777" w:rsidR="00833D40" w:rsidRDefault="00833D40" w:rsidP="007B7F8C">
      <w:pPr>
        <w:spacing w:line="360" w:lineRule="auto"/>
        <w:jc w:val="center"/>
        <w:rPr>
          <w:b/>
          <w:bCs/>
          <w:i/>
          <w:iCs/>
          <w:color w:val="000000" w:themeColor="text1"/>
        </w:rPr>
      </w:pPr>
    </w:p>
    <w:p w14:paraId="04B637CB" w14:textId="77777777" w:rsidR="00833D40" w:rsidRDefault="00833D40" w:rsidP="007B7F8C">
      <w:pPr>
        <w:spacing w:line="360" w:lineRule="auto"/>
        <w:jc w:val="center"/>
        <w:rPr>
          <w:b/>
          <w:bCs/>
          <w:i/>
          <w:iCs/>
          <w:color w:val="000000" w:themeColor="text1"/>
        </w:rPr>
      </w:pPr>
    </w:p>
    <w:p w14:paraId="23D1E533" w14:textId="77777777" w:rsidR="00833D40" w:rsidRDefault="00833D40" w:rsidP="007B7F8C">
      <w:pPr>
        <w:spacing w:line="360" w:lineRule="auto"/>
        <w:jc w:val="center"/>
        <w:rPr>
          <w:b/>
          <w:bCs/>
          <w:i/>
          <w:iCs/>
          <w:color w:val="000000" w:themeColor="text1"/>
        </w:rPr>
      </w:pPr>
    </w:p>
    <w:p w14:paraId="4424A174" w14:textId="77777777" w:rsidR="00833D40" w:rsidRDefault="00833D40" w:rsidP="00833D40">
      <w:pPr>
        <w:spacing w:line="360" w:lineRule="auto"/>
        <w:rPr>
          <w:b/>
          <w:bCs/>
          <w:i/>
          <w:iCs/>
          <w:color w:val="000000" w:themeColor="text1"/>
        </w:rPr>
      </w:pPr>
    </w:p>
    <w:p w14:paraId="1564F820" w14:textId="2EE93861" w:rsidR="007B7F8C" w:rsidRPr="007B7F8C" w:rsidRDefault="007B7F8C" w:rsidP="007B7F8C">
      <w:pPr>
        <w:spacing w:line="360" w:lineRule="auto"/>
        <w:jc w:val="center"/>
        <w:rPr>
          <w:b/>
          <w:bCs/>
          <w:i/>
          <w:iCs/>
          <w:color w:val="000000" w:themeColor="text1"/>
        </w:rPr>
      </w:pPr>
      <w:r w:rsidRPr="007B7F8C">
        <w:rPr>
          <w:b/>
          <w:bCs/>
          <w:i/>
          <w:iCs/>
          <w:color w:val="000000" w:themeColor="text1"/>
        </w:rPr>
        <w:lastRenderedPageBreak/>
        <w:t>When Does the Metaverse Pay Off for Brands? A Mixed-Method Test in an Emerging Market</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3AC80658" w14:textId="6C25D579" w:rsidR="00E86FED" w:rsidRPr="009A515A" w:rsidRDefault="00E86FED" w:rsidP="00931A14">
      <w:pPr>
        <w:spacing w:line="360" w:lineRule="auto"/>
        <w:jc w:val="both"/>
      </w:pPr>
      <w:r w:rsidRPr="009A515A">
        <w:t>As brands increasingly establish a presence in immersive digital environments, understanding what sustains brand performance in the metaverse remains an important but under-theorised question. Drawing on Flow Theory and Self-Determination Theory (SDT) as explanatory lenses, this study develops and empirically examines a configurational model linking user engagement (UE) and user experience (UX) to brand satisfaction (BSAT) and brand success (BSUC) in metaverse ecosystems. Using a mixed-method design that combines partial least squares structural equation modelling (PLS-SEM) for measurement validation with fuzzy-set qualitative comparative analysis (fsQCA) for causal complexity, we analyse survey data from 312 active metaverse users in India, a strategically important yet under-represented emerging market. The findings show that neither engagement nor experience alone is a sufficient condition for brand success; rather, specific conjunctural configurations</w:t>
      </w:r>
      <w:r w:rsidR="009B694E">
        <w:t xml:space="preserve"> </w:t>
      </w:r>
      <w:r w:rsidRPr="009A515A">
        <w:t>particularly the co-presence of brand satisfaction with either user experience or user engagement</w:t>
      </w:r>
      <w:r w:rsidR="009B694E">
        <w:t xml:space="preserve"> </w:t>
      </w:r>
      <w:r w:rsidRPr="009A515A">
        <w:t>are associated with favourable brand outcomes. The fully triadic configuration (BSAT × UX × UE) yields the highest solution consistency, providing evidence of equifinality in metaverse branding. Theoretically, the study extends Flow Theory and SDT into co-creative, technology-mediated brand ecosystems. Managerially, the configurational logic offers brand strategists actionable guidance for designing identity-affirming, community-embedded virtual experiences that sustain engagement and competitive differentiation in the evolving metaverse landscape.</w:t>
      </w:r>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w:t>
      </w:r>
      <w:r w:rsidRPr="009A515A">
        <w:rPr>
          <w:color w:val="000000" w:themeColor="text1"/>
        </w:rPr>
        <w:t xml:space="preserve"> </w:t>
      </w:r>
      <w:r w:rsidR="00931A14" w:rsidRPr="009A515A">
        <w:rPr>
          <w:color w:val="000000" w:themeColor="text1"/>
        </w:rPr>
        <w:t xml:space="preserve"> </w:t>
      </w:r>
      <w:r w:rsidR="00931A14" w:rsidRPr="009A515A">
        <w:rPr>
          <w:i/>
          <w:iCs/>
          <w:color w:val="000000" w:themeColor="text1"/>
        </w:rPr>
        <w:t>Metaverse; User engagement ;User experience ;Brand satisfaction ;Brand success; fsQCA</w:t>
      </w:r>
    </w:p>
    <w:p w14:paraId="1D525ECE" w14:textId="77777777" w:rsidR="008779B8" w:rsidRPr="009A515A" w:rsidRDefault="008779B8" w:rsidP="00B64CB0">
      <w:pPr>
        <w:spacing w:line="360" w:lineRule="auto"/>
        <w:jc w:val="both"/>
        <w:rPr>
          <w:i/>
          <w:iCs/>
          <w:color w:val="000000" w:themeColor="text1"/>
        </w:rPr>
      </w:pPr>
    </w:p>
    <w:p w14:paraId="7C0BD455" w14:textId="77777777" w:rsidR="00522759" w:rsidRPr="009A515A" w:rsidRDefault="00522759" w:rsidP="00B64CB0">
      <w:pPr>
        <w:spacing w:line="360" w:lineRule="auto"/>
        <w:jc w:val="both"/>
        <w:rPr>
          <w:i/>
          <w:iCs/>
          <w:color w:val="000000" w:themeColor="text1"/>
        </w:rPr>
      </w:pPr>
    </w:p>
    <w:p w14:paraId="6CDDB65D" w14:textId="77777777" w:rsidR="00522759" w:rsidRPr="009A515A" w:rsidRDefault="00522759" w:rsidP="00B64CB0">
      <w:pPr>
        <w:spacing w:line="360" w:lineRule="auto"/>
        <w:jc w:val="both"/>
        <w:rPr>
          <w:i/>
          <w:iCs/>
          <w:color w:val="000000" w:themeColor="text1"/>
        </w:rPr>
      </w:pPr>
    </w:p>
    <w:p w14:paraId="10AA06CC" w14:textId="77777777" w:rsidR="00522759" w:rsidRPr="009A515A" w:rsidRDefault="00522759" w:rsidP="00B64CB0">
      <w:pPr>
        <w:spacing w:line="360" w:lineRule="auto"/>
        <w:jc w:val="both"/>
        <w:rPr>
          <w:i/>
          <w:iCs/>
          <w:color w:val="000000" w:themeColor="text1"/>
        </w:rPr>
      </w:pPr>
    </w:p>
    <w:p w14:paraId="65D38112" w14:textId="77777777" w:rsidR="00B64CB0" w:rsidRPr="009A515A" w:rsidRDefault="00B64CB0" w:rsidP="00B64CB0">
      <w:pPr>
        <w:spacing w:line="360" w:lineRule="auto"/>
        <w:jc w:val="both"/>
        <w:rPr>
          <w:i/>
          <w:iCs/>
          <w:color w:val="000000" w:themeColor="text1"/>
        </w:rPr>
      </w:pPr>
    </w:p>
    <w:p w14:paraId="246ADC47" w14:textId="77777777" w:rsidR="006514C8" w:rsidRDefault="006514C8" w:rsidP="00B64CB0">
      <w:pPr>
        <w:spacing w:line="360" w:lineRule="auto"/>
        <w:jc w:val="both"/>
        <w:rPr>
          <w:i/>
          <w:iCs/>
          <w:color w:val="000000" w:themeColor="text1"/>
        </w:rPr>
      </w:pPr>
    </w:p>
    <w:p w14:paraId="2AFA5878" w14:textId="77777777" w:rsidR="00495518" w:rsidRPr="009A515A" w:rsidRDefault="00495518" w:rsidP="00B64CB0">
      <w:pPr>
        <w:spacing w:line="360" w:lineRule="auto"/>
        <w:jc w:val="both"/>
        <w:rPr>
          <w:i/>
          <w:iCs/>
          <w:color w:val="000000" w:themeColor="text1"/>
        </w:rPr>
      </w:pPr>
    </w:p>
    <w:p w14:paraId="32915AA6" w14:textId="77777777" w:rsidR="00B3103D" w:rsidRPr="009A515A" w:rsidRDefault="00B3103D" w:rsidP="00B64CB0">
      <w:pPr>
        <w:spacing w:line="360" w:lineRule="auto"/>
        <w:jc w:val="both"/>
        <w:rPr>
          <w:i/>
          <w:iCs/>
          <w:color w:val="000000" w:themeColor="text1"/>
        </w:rPr>
      </w:pPr>
    </w:p>
    <w:p w14:paraId="0D4F5764" w14:textId="77777777" w:rsidR="0099454D" w:rsidRPr="009A515A" w:rsidRDefault="0099454D" w:rsidP="00B64CB0">
      <w:pPr>
        <w:spacing w:line="360" w:lineRule="auto"/>
        <w:jc w:val="both"/>
        <w:rPr>
          <w:i/>
          <w:iCs/>
          <w:color w:val="000000" w:themeColor="text1"/>
        </w:rPr>
      </w:pPr>
    </w:p>
    <w:p w14:paraId="37D85CF0" w14:textId="77777777" w:rsidR="00666412" w:rsidRPr="009A515A"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lastRenderedPageBreak/>
        <w:t>Introduction:</w:t>
      </w:r>
      <w:r w:rsidR="00153E38" w:rsidRPr="009A515A">
        <w:rPr>
          <w:rFonts w:ascii="Times New Roman" w:hAnsi="Times New Roman" w:cs="Times New Roman"/>
          <w:b/>
          <w:bCs/>
          <w:color w:val="000000" w:themeColor="text1"/>
          <w:sz w:val="24"/>
          <w:szCs w:val="24"/>
        </w:rPr>
        <w:t xml:space="preserve"> </w:t>
      </w:r>
      <w:bookmarkEnd w:id="0"/>
    </w:p>
    <w:p w14:paraId="02723337" w14:textId="77777777" w:rsidR="00CB1B16" w:rsidRPr="009A515A" w:rsidRDefault="00666412" w:rsidP="00666412">
      <w:pPr>
        <w:spacing w:line="360" w:lineRule="auto"/>
        <w:jc w:val="both"/>
        <w:rPr>
          <w:color w:val="000000" w:themeColor="text1"/>
        </w:rPr>
      </w:pPr>
      <w:r w:rsidRPr="009A515A">
        <w:t>The metaverse is an immersive digital space in which users interact with one another and with virtual objects, creating new opportunities for brands to engage their audiences (Arya et al., 2024a; Zallio and Clarkson, 2022). Built on augmented reality (AR) and virtual reality (VR), it integrates digital information with the physical world and is reshaping how brands engage consumers, prompting a shift away from traditional marketing approaches (Arya et al., 2024a; Hennig-Thurau et al., 2023; Lee et al., 2022). By aligning these technologies with marketing objectives, brands can design digital experiences that deliver measurable value (Anderson et al., 2024).</w:t>
      </w:r>
    </w:p>
    <w:p w14:paraId="55C572B2" w14:textId="46DF7292" w:rsidR="006B5016" w:rsidRPr="009A515A" w:rsidRDefault="00666412" w:rsidP="00495518">
      <w:pPr>
        <w:spacing w:line="360" w:lineRule="auto"/>
        <w:ind w:firstLine="426"/>
        <w:jc w:val="both"/>
        <w:rPr>
          <w:color w:val="000000" w:themeColor="text1"/>
        </w:rPr>
      </w:pPr>
      <w:r w:rsidRPr="009A515A">
        <w:t>From a marketing perspective, managing these technologies requires frameworks that ensure high-quality user experiences and integrate smoothly with existing digital platforms (Kopalle et al., 2024). Unlike conventional digital channels, the metaverse enables multisensory brand experiences that blur physical and digital boundaries and link individual-level engagement to wider social systems. To realise its potential for consumer interaction and value creation, brands must adopt adaptive, forward-looking strategies that keep them competitive in a fast-changing environment (Marvi et al., 2024; Bilgihan et al., 2024; Hwang and Seo, 2025).</w:t>
      </w:r>
      <w:r w:rsidR="00495518">
        <w:rPr>
          <w:color w:val="000000" w:themeColor="text1"/>
        </w:rPr>
        <w:t xml:space="preserve"> </w:t>
      </w:r>
      <w:r w:rsidR="006B5016" w:rsidRPr="009A515A">
        <w:rPr>
          <w:color w:val="000000" w:themeColor="text1"/>
        </w:rPr>
        <w:t xml:space="preserve">The metaverse enables brands to create interactive virtual spaces, fostering community and brand </w:t>
      </w:r>
      <w:r w:rsidR="005E0F58" w:rsidRPr="009A515A">
        <w:rPr>
          <w:color w:val="000000" w:themeColor="text1"/>
        </w:rPr>
        <w:t>visibility</w:t>
      </w:r>
      <w:r w:rsidR="006B5016" w:rsidRPr="009A515A">
        <w:rPr>
          <w:color w:val="000000" w:themeColor="text1"/>
        </w:rPr>
        <w:t xml:space="preserve"> (Arya et al., 2024b), but academic guidance on integrating it into business strategies remains limited (Eggenschwiler et al., 2024). For example, Nike’s Nikeland on Roblox leverages immersive experiences and Lua scripting to engage users through interactive </w:t>
      </w:r>
      <w:r w:rsidR="008B6A5E" w:rsidRPr="009A515A">
        <w:rPr>
          <w:color w:val="000000" w:themeColor="text1"/>
        </w:rPr>
        <w:t>mini games</w:t>
      </w:r>
      <w:r w:rsidR="006B5016" w:rsidRPr="009A515A">
        <w:rPr>
          <w:color w:val="000000" w:themeColor="text1"/>
        </w:rPr>
        <w:t>, earning Blue Ribbons via smartphone accelerometers (Kumar, 2024), showcasing how virtual environments can redefine marketing strategies (Kozinets et al., 2023).</w:t>
      </w:r>
    </w:p>
    <w:p w14:paraId="12CDF11B" w14:textId="77777777" w:rsidR="00CE12FB" w:rsidRPr="009A515A" w:rsidRDefault="006B5016" w:rsidP="00125206">
      <w:pPr>
        <w:tabs>
          <w:tab w:val="left" w:pos="426"/>
        </w:tabs>
        <w:spacing w:line="360" w:lineRule="auto"/>
        <w:jc w:val="both"/>
        <w:rPr>
          <w:color w:val="000000" w:themeColor="text1"/>
        </w:rPr>
      </w:pPr>
      <w:r w:rsidRPr="009A515A">
        <w:t>The metaverse allows brands to experiment with new forms of communication and to raise visibility through tailored, interactive experiences, while also requiring them to manage challenges such as data privacy and interoperability (Bilgihan et al., 2024; Koohang et al., 2023). This study addresses a gap in the literature by examining systematically how user engagement and immersive experience influence brand success in the metaverse. In these environments, consumer engagement is active and immersive rather than passive, changing how brands must design their strategies.</w:t>
      </w:r>
    </w:p>
    <w:p w14:paraId="01A75581" w14:textId="77777777" w:rsidR="00651853" w:rsidRPr="009A515A" w:rsidRDefault="00000000" w:rsidP="00495518">
      <w:pPr>
        <w:spacing w:line="360" w:lineRule="auto"/>
        <w:jc w:val="both"/>
      </w:pPr>
      <w:r w:rsidRPr="009A515A">
        <w:t xml:space="preserve">Branding in the metaverse differs from branding on a website or mobile app in four ways that motivate a configurational approach. First, metaverse environments are persistent, shared three-dimensional spaces that continue to exist between visits. Second, users act through avatars, so identity and embodiment are fused with consumption. Third, interaction is socially </w:t>
      </w:r>
      <w:r w:rsidRPr="009A515A">
        <w:lastRenderedPageBreak/>
        <w:t>synchronous, giving users a sense of co-presence with other people and with brands in real time. Fourth, value is frequently co-created, as users generate content, spaces and events. Because brand outcomes in such settings emerge from combinations of these immersive features rather than from any single attribute, we adopt a configurational lens that asks which ‘recipes’ of engagement, experience and satisfaction jointly produce brand success.</w:t>
      </w:r>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ab/>
      </w:r>
      <w:r w:rsidR="00666412" w:rsidRPr="009A515A">
        <w:rPr>
          <w:color w:val="000000" w:themeColor="text1"/>
        </w:rPr>
        <w:t xml:space="preserve">While previous research has explored individual aspects of digital marketing, such as gamification or user-generated content, there is limited understanding of how combinations of engagement and experience factors drive brand </w:t>
      </w:r>
      <w:r w:rsidR="005E0F58" w:rsidRPr="009A515A">
        <w:rPr>
          <w:color w:val="000000" w:themeColor="text1"/>
        </w:rPr>
        <w:t>satisfaction</w:t>
      </w:r>
      <w:r w:rsidR="00666412" w:rsidRPr="009A515A">
        <w:rPr>
          <w:color w:val="000000" w:themeColor="text1"/>
        </w:rPr>
        <w:t xml:space="preserve"> and differentiation in virtual environments (Hennig-Thurau et al., 2023). Moreover, the metaverse presents unique challenges and opportunities for brands, including the need to integrate emerging technologies like NFTs and augmented reality into their strategies (Bilgihan et al., 2024</w:t>
      </w:r>
      <w:r w:rsidR="001B3556" w:rsidRPr="009A515A">
        <w:rPr>
          <w:color w:val="000000" w:themeColor="text1"/>
        </w:rPr>
        <w:t>; Hennig-Thurau et al., 2023</w:t>
      </w:r>
      <w:r w:rsidR="00666412" w:rsidRPr="009A515A">
        <w:rPr>
          <w:color w:val="000000" w:themeColor="text1"/>
        </w:rPr>
        <w:t>).</w:t>
      </w:r>
      <w:r w:rsidR="00ED44A2" w:rsidRPr="009A515A">
        <w:rPr>
          <w:color w:val="000000" w:themeColor="text1"/>
        </w:rPr>
        <w:t xml:space="preserve"> </w:t>
      </w:r>
      <w:r w:rsidR="00B94DE0">
        <w:rPr>
          <w:color w:val="000000" w:themeColor="text1"/>
        </w:rPr>
        <w:t xml:space="preserve"> </w:t>
      </w:r>
      <w:r w:rsidR="00666412" w:rsidRPr="009A515A">
        <w:rPr>
          <w:color w:val="000000" w:themeColor="text1"/>
        </w:rPr>
        <w:t>Building emotional connections in the metaverse is essential for brands aiming to engage effectively with their audiences. Literature indicates a positive correlation between emotional attachment and brand relationships (</w:t>
      </w:r>
      <w:bookmarkStart w:id="1" w:name="_Hlk199322582"/>
      <w:r w:rsidR="00AD577C" w:rsidRPr="009A515A">
        <w:rPr>
          <w:color w:val="000000" w:themeColor="text1"/>
        </w:rPr>
        <w:t>Bilgihan</w:t>
      </w:r>
      <w:bookmarkEnd w:id="1"/>
      <w:r w:rsidR="00AD577C" w:rsidRPr="009A515A">
        <w:rPr>
          <w:color w:val="000000" w:themeColor="text1"/>
        </w:rPr>
        <w:t xml:space="preserve"> et al., 2024</w:t>
      </w:r>
      <w:r w:rsidR="00666412" w:rsidRPr="009A515A">
        <w:rPr>
          <w:color w:val="000000" w:themeColor="text1"/>
        </w:rPr>
        <w:t>; Arya et al., 2022). This involves designing immersive experiences, interactive encounters, and personalized interactions that enhance user experiences and drive emotionally induced consumer behavior (</w:t>
      </w:r>
      <w:r w:rsidR="00024B84" w:rsidRPr="009A515A">
        <w:t>Shamim</w:t>
      </w:r>
      <w:r w:rsidR="00024B84" w:rsidRPr="009A515A">
        <w:rPr>
          <w:color w:val="000000" w:themeColor="text1"/>
        </w:rPr>
        <w:t xml:space="preserve"> et al., 2025</w:t>
      </w:r>
      <w:r w:rsidR="00666412" w:rsidRPr="009A515A">
        <w:rPr>
          <w:color w:val="000000" w:themeColor="text1"/>
        </w:rPr>
        <w:t xml:space="preserve">). These interactions foster </w:t>
      </w:r>
      <w:r w:rsidR="005E0F58" w:rsidRPr="009A515A">
        <w:rPr>
          <w:color w:val="000000" w:themeColor="text1"/>
        </w:rPr>
        <w:t>satisfaction</w:t>
      </w:r>
      <w:r w:rsidR="00666412" w:rsidRPr="009A515A">
        <w:rPr>
          <w:color w:val="000000" w:themeColor="text1"/>
        </w:rPr>
        <w:t>, trust, and identification with the brand, aligning it with users’ emotional orientation (</w:t>
      </w:r>
      <w:r w:rsidR="00416113" w:rsidRPr="009A515A">
        <w:t>Vo</w:t>
      </w:r>
      <w:r w:rsidR="00416113" w:rsidRPr="009A515A">
        <w:rPr>
          <w:color w:val="000000" w:themeColor="text1"/>
        </w:rPr>
        <w:t xml:space="preserve"> et al., 2025).</w:t>
      </w:r>
    </w:p>
    <w:p w14:paraId="003BABCC" w14:textId="475C3E67" w:rsidR="001B3556" w:rsidRPr="009A515A" w:rsidRDefault="00666412" w:rsidP="00B94DE0">
      <w:pPr>
        <w:spacing w:line="360" w:lineRule="auto"/>
        <w:ind w:firstLine="426"/>
        <w:jc w:val="both"/>
        <w:rPr>
          <w:color w:val="000000" w:themeColor="text1"/>
        </w:rPr>
      </w:pPr>
      <w:r w:rsidRPr="009A515A">
        <w:t>The metaverse also lets brands transcend physical limitations and reach global audiences, with data-driven insights supporting consistent management of these interactions across regions (Dwivedi et al., 2023). By personalising experiences, brands can strengthen perceptions and satisfaction (Chandra et al., 2022); offerings tailored to individual needs are more likely to build emotional bonds and, in turn, word-of-mouth and advocacy.</w:t>
      </w:r>
      <w:r w:rsidR="00B94DE0">
        <w:rPr>
          <w:color w:val="000000" w:themeColor="text1"/>
        </w:rPr>
        <w:t xml:space="preserve"> </w:t>
      </w:r>
      <w:r w:rsidRPr="009A515A">
        <w:t>Building on this discussion, the study addresses a central research question: how do immersive, avatar-mediated metaverse interactions shape the configurations of user engagement, user experience and brand satisfaction that lead to brand success? Two sub-questions follow: (a) which combinations of these constructs are sufficient for high brand success, and (b) what role does brand satisfaction play in linking engagement and experience to success?</w:t>
      </w:r>
    </w:p>
    <w:p w14:paraId="0C3A6470" w14:textId="578BFCC6" w:rsidR="005560D1" w:rsidRPr="009A515A" w:rsidRDefault="0045186A" w:rsidP="0045186A">
      <w:pPr>
        <w:spacing w:line="360" w:lineRule="auto"/>
        <w:ind w:firstLine="426"/>
        <w:jc w:val="both"/>
        <w:rPr>
          <w:color w:val="000000" w:themeColor="text1"/>
        </w:rPr>
      </w:pPr>
      <w:r w:rsidRPr="009A515A">
        <w:t xml:space="preserve">This study makes three contributions. First, rather than re-confirming that engagement, experience and satisfaction matter for brands, it specifies how immersive, avatar-based environments change the configuration of these constructs, theorising that equifinality </w:t>
      </w:r>
      <w:r w:rsidR="009B694E">
        <w:t xml:space="preserve"> </w:t>
      </w:r>
      <w:r w:rsidRPr="009A515A">
        <w:t xml:space="preserve"> the existence of multiple sufficient pathways to success </w:t>
      </w:r>
      <w:r w:rsidR="009B694E">
        <w:t xml:space="preserve"> </w:t>
      </w:r>
      <w:r w:rsidRPr="009A515A">
        <w:t xml:space="preserve"> is especially pronounced in the metaverse. Second, it integrates Flow Theory and Self-Determination Theory as complementary psychological lenses that explain why immersive interactions sustain engagement and shape </w:t>
      </w:r>
      <w:r w:rsidRPr="009A515A">
        <w:lastRenderedPageBreak/>
        <w:t>satisfaction. Third, using fuzzy-set qualitative comparative analysis (fsQCA), it identifies the specific combinations of user engagement, user experience and brand satisfaction associated with high brand success, offering configurational guidance for managers operating in immersive environments.</w:t>
      </w:r>
    </w:p>
    <w:p w14:paraId="372BE06D" w14:textId="77777777" w:rsidR="009668F1" w:rsidRPr="009A515A" w:rsidRDefault="005560D1" w:rsidP="009668F1">
      <w:pPr>
        <w:tabs>
          <w:tab w:val="left" w:pos="426"/>
        </w:tabs>
        <w:spacing w:line="360" w:lineRule="auto"/>
        <w:jc w:val="both"/>
        <w:rPr>
          <w:color w:val="000000" w:themeColor="text1"/>
        </w:rPr>
      </w:pPr>
      <w:r w:rsidRPr="009A515A">
        <w:t>This study draws on Flow Theory and Self-Determination Theory (SDT) to extend their applicability to immersive digital ecosystems (Fan et al., 2022). Flow Theory (Csikszentmihalyi, 1990) has been applied to immersive contexts by Arya et al. (2024) to examine how a balance between user challenges and skills fosters deep engagement. SDT, in turn, explains users' intrinsic motivation in virtual environments (Deci and Ryan, 2000): satisfying the needs for autonomy (control over one's actions), competence (a sense of effectiveness) and relatedness (social connection) fosters intrinsic motivation and well-being (Ryan and Deci, 2017). In the metaverse, customisable avatars (autonomy), skill-based challenges (competence) and social spaces (relatedness) act as catalysts for deep engagement and, ultimately, brand success.</w:t>
      </w:r>
    </w:p>
    <w:p w14:paraId="294D7F3F" w14:textId="77777777" w:rsidR="00F47684" w:rsidRPr="009A515A" w:rsidRDefault="00377169" w:rsidP="00E62169">
      <w:pPr>
        <w:spacing w:line="360" w:lineRule="auto"/>
        <w:ind w:firstLine="426"/>
        <w:jc w:val="both"/>
        <w:rPr>
          <w:color w:val="000000" w:themeColor="text1"/>
        </w:rPr>
      </w:pPr>
      <w:r w:rsidRPr="009A515A">
        <w:t>This study advances a configurational account of brand success in the metaverse in which user engagement (UE) and user experience (UX) act as antecedents of brand satisfaction (BSAT), which in turn is associated with brand success (BSUC). Rather than treating these as isolated drivers, the analysis examines how they combine, consistent with the view that brand outcomes in immersive, avatar-mediated environments emerge from configurations of engagement, experience and satisfaction rather than from any single factor.</w:t>
      </w:r>
    </w:p>
    <w:p w14:paraId="1D174D49" w14:textId="77777777" w:rsidR="00BC0CD1" w:rsidRPr="009A515A" w:rsidRDefault="00BC0CD1" w:rsidP="00BC0CD1">
      <w:pPr>
        <w:spacing w:line="360" w:lineRule="auto"/>
        <w:ind w:firstLine="720"/>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 xml:space="preserve">2. </w:t>
      </w:r>
      <w:r w:rsidR="009E4153" w:rsidRPr="009A515A">
        <w:rPr>
          <w:b/>
          <w:bCs/>
          <w:color w:val="000000" w:themeColor="text1"/>
        </w:rPr>
        <w:t xml:space="preserve">Literature </w:t>
      </w:r>
      <w:r w:rsidR="00233988" w:rsidRPr="009A515A">
        <w:rPr>
          <w:b/>
          <w:bCs/>
          <w:color w:val="000000" w:themeColor="text1"/>
        </w:rPr>
        <w:t>R</w:t>
      </w:r>
      <w:r w:rsidR="009E4153" w:rsidRPr="009A515A">
        <w:rPr>
          <w:b/>
          <w:bCs/>
          <w:color w:val="000000" w:themeColor="text1"/>
        </w:rPr>
        <w:t>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 xml:space="preserve">2.1. Immersive Environment </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Firms can enhance customer experiences in the metaverse through three key components: immersiveness, sociability, and ecological faithfulness (Arya et al., 2024a). Immersiveness captures users’ mental absorption and sensory engagement, often described as “presence,” where virtual environments are perceived as real (Shamim et al., 2025; Daassi et al., 2021). It strengthens emotional engagement, reduces external distractions, and fosters connection, thereby increasing user satisfaction and brand trust through vivid, memorable interactions (Shamim et al., 2025; Bilgihan et al., 2024).</w:t>
      </w:r>
    </w:p>
    <w:p w14:paraId="1BCE72DA" w14:textId="3BE84220" w:rsidR="0087626C" w:rsidRPr="009A515A" w:rsidRDefault="0087626C" w:rsidP="0087626C">
      <w:pPr>
        <w:spacing w:line="360" w:lineRule="auto"/>
        <w:ind w:firstLine="426"/>
        <w:jc w:val="both"/>
        <w:rPr>
          <w:color w:val="000000" w:themeColor="text1"/>
        </w:rPr>
      </w:pPr>
      <w:r w:rsidRPr="009A515A">
        <w:rPr>
          <w:color w:val="000000" w:themeColor="text1"/>
        </w:rPr>
        <w:t>Sociability refers to the quality of social interactions in virtual spaces, enabling collaboration, community building, and emotional bonding (Hennig-Thurau et al., 2023). Social presence</w:t>
      </w:r>
      <w:r w:rsidR="009B694E">
        <w:rPr>
          <w:color w:val="000000" w:themeColor="text1"/>
        </w:rPr>
        <w:t xml:space="preserve"> </w:t>
      </w:r>
      <w:r w:rsidRPr="009A515A">
        <w:rPr>
          <w:color w:val="000000" w:themeColor="text1"/>
        </w:rPr>
        <w:t>a core element</w:t>
      </w:r>
      <w:r w:rsidR="009B694E">
        <w:rPr>
          <w:color w:val="000000" w:themeColor="text1"/>
        </w:rPr>
        <w:t xml:space="preserve"> </w:t>
      </w:r>
      <w:r w:rsidRPr="009A515A">
        <w:rPr>
          <w:color w:val="000000" w:themeColor="text1"/>
        </w:rPr>
        <w:t xml:space="preserve">enhances enjoyment by fostering co-presence, as seen in social VR events that strengthen community ties and advocacy (Osborne et al., 2024; Arya et al., </w:t>
      </w:r>
      <w:r w:rsidRPr="009A515A">
        <w:rPr>
          <w:color w:val="000000" w:themeColor="text1"/>
        </w:rPr>
        <w:lastRenderedPageBreak/>
        <w:t>2024a; Dwivedi et al., 2023). Ecological faithfulness denotes the authenticity of virtual environments in reflecting real-world ecological systems, promoting sustainability and environmental awareness. Such alignment fosters trust and appeals to environmentally conscious consumers (Hennig-Thurau et al., 2023; Dwivedi et al., 202).</w:t>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The metaverse, as a computer-mediated space, enables avatar-based interactions and personalized engagement through decentralized data processes (Hennig-Thurau et al., 2023; Blazquez, 2024). Strategic integration of immersive storytelling, gamification, and virtual product launches</w:t>
      </w:r>
      <w:r w:rsidR="009B694E">
        <w:rPr>
          <w:color w:val="000000" w:themeColor="text1"/>
        </w:rPr>
        <w:t xml:space="preserve"> </w:t>
      </w:r>
      <w:r w:rsidRPr="009A515A">
        <w:rPr>
          <w:color w:val="000000" w:themeColor="text1"/>
        </w:rPr>
        <w:t>supported by data-driven insights</w:t>
      </w:r>
      <w:r w:rsidR="009B694E">
        <w:rPr>
          <w:color w:val="000000" w:themeColor="text1"/>
        </w:rPr>
        <w:t xml:space="preserve"> </w:t>
      </w:r>
      <w:r w:rsidRPr="009A515A">
        <w:rPr>
          <w:color w:val="000000" w:themeColor="text1"/>
        </w:rPr>
        <w:t xml:space="preserve">represents a critical growth avenue (Bilgihan et al., 2024; Lee </w:t>
      </w:r>
      <w:r w:rsidR="001039BF" w:rsidRPr="009A515A">
        <w:rPr>
          <w:color w:val="000000" w:themeColor="text1"/>
        </w:rPr>
        <w:t>and</w:t>
      </w:r>
      <w:r w:rsidRPr="009A515A">
        <w:rPr>
          <w:color w:val="000000" w:themeColor="text1"/>
        </w:rPr>
        <w:t xml:space="preserve"> Shen, 2024). While these experiences foster loyalty by generating positive emotions and advocacy (Rather et al., 2022), poorly executed designs may trigger frustration, overstimulation, or anxiety, leading to disengagement (Lavoie et al., 202</w:t>
      </w:r>
      <w:r w:rsidR="00F30DAB" w:rsidRPr="009A515A">
        <w:rPr>
          <w:color w:val="000000" w:themeColor="text1"/>
        </w:rPr>
        <w:t>1</w:t>
      </w:r>
      <w:r w:rsidRPr="009A515A">
        <w:rPr>
          <w:color w:val="000000" w:themeColor="text1"/>
        </w:rPr>
        <w:t>; Duong et al., 202</w:t>
      </w:r>
      <w:r w:rsidR="00F30DAB" w:rsidRPr="009A515A">
        <w:rPr>
          <w:color w:val="000000" w:themeColor="text1"/>
        </w:rPr>
        <w:t>5</w:t>
      </w:r>
      <w:r w:rsidRPr="009A515A">
        <w:rPr>
          <w:color w:val="000000" w:themeColor="text1"/>
        </w:rPr>
        <w:t>). Excessive reliance on immersion may also promote escapism, underscoring the need for psychologically safe, user-centered strategies (Huang et al., 2024).</w:t>
      </w:r>
    </w:p>
    <w:p w14:paraId="0613466D" w14:textId="77777777" w:rsidR="0087626C" w:rsidRPr="009A515A" w:rsidRDefault="0087626C" w:rsidP="00B64CB0">
      <w:pPr>
        <w:spacing w:line="360" w:lineRule="auto"/>
        <w:jc w:val="both"/>
        <w:rPr>
          <w:b/>
          <w:bCs/>
          <w:color w:val="000000" w:themeColor="text1"/>
        </w:rPr>
      </w:pP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77777777" w:rsidR="0087626C" w:rsidRPr="009A515A" w:rsidRDefault="0087626C" w:rsidP="0087626C">
      <w:pPr>
        <w:spacing w:line="360" w:lineRule="auto"/>
        <w:jc w:val="both"/>
        <w:rPr>
          <w:color w:val="000000" w:themeColor="text1"/>
        </w:rPr>
      </w:pPr>
      <w:r w:rsidRPr="009A515A">
        <w:rPr>
          <w:color w:val="000000" w:themeColor="text1"/>
        </w:rPr>
        <w:t>The metaverse, conceptualized by Mark Zuckerberg, represents an immersive ecosystem enabling seamless movement between physical and virtual domains, facilitating work, interaction, and socialisation through shared simulated experiences (Buhalis et al., 2023; Koohang et al., 2023). Although no single definition exists, it is widely described as a “3D virtual shared world” powered by augmented and virtual reality services (Kozinets et al., 2023; Buhalis et al., 2023). Figure 1 illustrates the interplay between physical and virtual environments, highlighting technological components that underpin brand success in the metaverse.</w:t>
      </w:r>
    </w:p>
    <w:p w14:paraId="59D4C18C" w14:textId="77777777" w:rsidR="0087626C" w:rsidRPr="009A515A" w:rsidRDefault="0087626C" w:rsidP="0087626C">
      <w:pPr>
        <w:spacing w:line="360" w:lineRule="auto"/>
        <w:ind w:firstLine="426"/>
        <w:jc w:val="both"/>
        <w:rPr>
          <w:color w:val="000000" w:themeColor="text1"/>
        </w:rPr>
      </w:pPr>
      <w:r w:rsidRPr="009A515A">
        <w:rPr>
          <w:color w:val="000000" w:themeColor="text1"/>
        </w:rPr>
        <w:t>Earlier work on engagement theory provided the foundation for systematic operationalization. Building on this, O’Brien et al. (2010) developed a multifaceted engagement scale, validated through studies in online shopping contexts, offering robust measures to optimize engagement processes. Their experimental study with thirty participants navigating online news platforms demonstrated the value of real-time interaction analysis for enhancing engagement (Agnihotri, 202</w:t>
      </w:r>
      <w:r w:rsidR="00D05FD0" w:rsidRPr="009A515A">
        <w:rPr>
          <w:color w:val="000000" w:themeColor="text1"/>
        </w:rPr>
        <w:t>4</w:t>
      </w:r>
      <w:r w:rsidRPr="009A515A">
        <w:rPr>
          <w:color w:val="000000" w:themeColor="text1"/>
        </w:rPr>
        <w:t>). Extending this, the Mobile User Engagement (MoEN) model explains engagement intention via user motivation, perceived value, and satisfaction, offering insights into mobile-first ecosystems (Soltani et al., 2024; İlkan et al., 2023).</w:t>
      </w:r>
    </w:p>
    <w:p w14:paraId="52120E9F" w14:textId="77777777" w:rsidR="0087626C" w:rsidRPr="009A515A" w:rsidRDefault="0087626C" w:rsidP="0087626C">
      <w:pPr>
        <w:spacing w:line="360" w:lineRule="auto"/>
        <w:ind w:firstLine="426"/>
        <w:jc w:val="both"/>
        <w:rPr>
          <w:color w:val="000000" w:themeColor="text1"/>
        </w:rPr>
      </w:pPr>
      <w:r w:rsidRPr="009A515A">
        <w:rPr>
          <w:color w:val="000000" w:themeColor="text1"/>
        </w:rPr>
        <w:lastRenderedPageBreak/>
        <w:t>Beyond standardized assessments, Lycett and Radwan (2019) proposed a holistic Quality of Experience (QoE) conceptualization, with Kyriakou et al. (2014) advocating a multi-instrumental approach to capture diverse dimensions of metaverse experiences. Relatedly, Levy and Gvili (2020) demonstrated that managing engagement fosters electronic word-of-mouth (eWoM), reinforcing brand reputation and loyalty within digital communities. Similarly, Li and Shang (2023) and Zhang</w:t>
      </w:r>
      <w:r w:rsidR="00CB0052" w:rsidRPr="009A515A">
        <w:rPr>
          <w:color w:val="000000" w:themeColor="text1"/>
        </w:rPr>
        <w:t>, Peng</w:t>
      </w:r>
      <w:r w:rsidRPr="009A515A">
        <w:rPr>
          <w:color w:val="000000" w:themeColor="text1"/>
        </w:rPr>
        <w:t xml:space="preserve"> et al. (2022) extended engagement conceptualizations to E-Government contexts, while Shin (2019) advanced an AR-game-experience model linking immersion with cognitive and motivational constructs.</w:t>
      </w:r>
    </w:p>
    <w:p w14:paraId="19C7BFC8" w14:textId="77777777" w:rsidR="0087626C" w:rsidRPr="009A515A" w:rsidRDefault="0087626C" w:rsidP="0087626C">
      <w:pPr>
        <w:rPr>
          <w:color w:val="000000" w:themeColor="text1"/>
        </w:rPr>
      </w:pPr>
    </w:p>
    <w:p w14:paraId="1F152337" w14:textId="77777777" w:rsidR="00624A1D" w:rsidRPr="009A515A" w:rsidRDefault="00624A1D" w:rsidP="00624A1D">
      <w:pPr>
        <w:rPr>
          <w:noProof/>
          <w:color w:val="000000" w:themeColor="text1"/>
        </w:rPr>
      </w:pPr>
      <w:r w:rsidRPr="009A515A">
        <w:rPr>
          <w:noProof/>
          <w:color w:val="000000" w:themeColor="text1"/>
        </w:rPr>
        <w:drawing>
          <wp:inline distT="0" distB="0" distL="0" distR="0" wp14:anchorId="0FCF6433" wp14:editId="653020DA">
            <wp:extent cx="5651500" cy="2268855"/>
            <wp:effectExtent l="19050" t="19050" r="25400" b="17145"/>
            <wp:docPr id="1275335664" name="Picture 1" descr="A diagram of a key technolog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5664" name="Picture 1" descr="A diagram of a key technology components&#10;&#10;AI-generated content may be incorrect."/>
                    <pic:cNvPicPr/>
                  </pic:nvPicPr>
                  <pic:blipFill>
                    <a:blip r:embed="rId11"/>
                    <a:stretch>
                      <a:fillRect/>
                    </a:stretch>
                  </pic:blipFill>
                  <pic:spPr>
                    <a:xfrm>
                      <a:off x="0" y="0"/>
                      <a:ext cx="5651500" cy="2268855"/>
                    </a:xfrm>
                    <a:prstGeom prst="rect">
                      <a:avLst/>
                    </a:prstGeom>
                    <a:ln>
                      <a:solidFill>
                        <a:schemeClr val="tx1"/>
                      </a:solidFill>
                    </a:ln>
                  </pic:spPr>
                </pic:pic>
              </a:graphicData>
            </a:graphic>
          </wp:inline>
        </w:drawing>
      </w:r>
    </w:p>
    <w:p w14:paraId="08F4BA5E" w14:textId="77777777" w:rsidR="00200AEA" w:rsidRPr="009A515A" w:rsidRDefault="00200AEA" w:rsidP="00624A1D">
      <w:pPr>
        <w:rPr>
          <w:color w:val="000000" w:themeColor="text1"/>
        </w:rPr>
      </w:pPr>
      <w:r w:rsidRPr="009A515A">
        <w:rPr>
          <w:b/>
          <w:bCs/>
          <w:i/>
          <w:iCs/>
          <w:color w:val="000000" w:themeColor="text1"/>
        </w:rPr>
        <w:t xml:space="preserve"> Figure 1.</w:t>
      </w:r>
      <w:r w:rsidRPr="009A515A">
        <w:rPr>
          <w:i/>
          <w:iCs/>
          <w:color w:val="000000" w:themeColor="text1"/>
        </w:rPr>
        <w:t xml:space="preserve"> Depiction of Real and Virtual World Integration in the Metaverse.</w:t>
      </w:r>
      <w:r w:rsidRPr="009A515A">
        <w:rPr>
          <w:color w:val="000000" w:themeColor="text1"/>
        </w:rPr>
        <w:tab/>
      </w:r>
      <w:r w:rsidRPr="009A515A">
        <w:rPr>
          <w:b/>
          <w:bCs/>
          <w:i/>
          <w:iCs/>
          <w:color w:val="000000" w:themeColor="text1"/>
          <w:sz w:val="20"/>
          <w:szCs w:val="20"/>
        </w:rPr>
        <w:t>Source:</w:t>
      </w:r>
      <w:r w:rsidRPr="009A515A">
        <w:rPr>
          <w:i/>
          <w:iCs/>
          <w:color w:val="000000" w:themeColor="text1"/>
          <w:sz w:val="20"/>
          <w:szCs w:val="20"/>
        </w:rPr>
        <w:t xml:space="preserve"> Authors</w:t>
      </w:r>
    </w:p>
    <w:p w14:paraId="2F9E6345" w14:textId="77777777" w:rsidR="00200AEA" w:rsidRPr="009A515A" w:rsidRDefault="00200AEA" w:rsidP="00200AEA"/>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w:t>
      </w:r>
      <w:r w:rsidR="00233988" w:rsidRPr="009A515A">
        <w:rPr>
          <w:b/>
          <w:bCs/>
          <w:i/>
          <w:iCs/>
          <w:color w:val="000000" w:themeColor="text1"/>
        </w:rPr>
        <w:t>3</w:t>
      </w:r>
      <w:r w:rsidRPr="009A515A">
        <w:rPr>
          <w:b/>
          <w:bCs/>
          <w:i/>
          <w:iCs/>
          <w:color w:val="000000" w:themeColor="text1"/>
        </w:rPr>
        <w:t xml:space="preserve">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User behaviours</w:t>
      </w:r>
      <w:r w:rsidR="009B694E">
        <w:rPr>
          <w:color w:val="000000" w:themeColor="text1"/>
        </w:rPr>
        <w:t xml:space="preserve"> </w:t>
      </w:r>
      <w:r w:rsidRPr="009A515A">
        <w:rPr>
          <w:color w:val="000000" w:themeColor="text1"/>
        </w:rPr>
        <w:t>including purchasing NFTs, engaging in social interactions, attending virtual events, and creating content</w:t>
      </w:r>
      <w:r w:rsidR="009B694E">
        <w:rPr>
          <w:color w:val="000000" w:themeColor="text1"/>
        </w:rPr>
        <w:t xml:space="preserve"> </w:t>
      </w:r>
      <w:r w:rsidRPr="009A515A">
        <w:rPr>
          <w:color w:val="000000" w:themeColor="text1"/>
        </w:rPr>
        <w:t xml:space="preserve">are central to brand engagement in immersive ecosystems such as the metaverse (Shamim et al., 2025; Bilgihan et al., 2024; Lee </w:t>
      </w:r>
      <w:r w:rsidR="001039BF" w:rsidRPr="009A515A">
        <w:rPr>
          <w:color w:val="000000" w:themeColor="text1"/>
        </w:rPr>
        <w:t>and</w:t>
      </w:r>
      <w:r w:rsidRPr="009A515A">
        <w:rPr>
          <w:color w:val="000000" w:themeColor="text1"/>
        </w:rPr>
        <w:t xml:space="preserve"> Shen, 2024). These behaviours shape perceptions, foster emotional bonds, and drive loyalty, directly influencing brand success.</w:t>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 xml:space="preserve">Branded non-fungible tokens (BNFTs) exemplify this shift, enabling digital self-expression, exclusivity, and identity construction. By owning unique items such as avatars, wearables, and collectibles, users strengthen emotional attachments to brands (Xie </w:t>
      </w:r>
      <w:r w:rsidR="001039BF" w:rsidRPr="009A515A">
        <w:rPr>
          <w:color w:val="000000" w:themeColor="text1"/>
        </w:rPr>
        <w:t>and</w:t>
      </w:r>
      <w:r w:rsidRPr="009A515A">
        <w:rPr>
          <w:color w:val="000000" w:themeColor="text1"/>
        </w:rPr>
        <w:t xml:space="preserve"> Muralidharan, 2023; Simonetti et al., 2025). Scarcity and perceived investment value further enhance brand attitudes, with limited-edition NFTs driving stronger attachment (Wang et al., 2024; Chang et al., 2024). Social comparison dynamics amplify this effect, as high-comparison users derive greater value from exclusivity and financial gains (Xie et al., 2024).</w:t>
      </w:r>
    </w:p>
    <w:p w14:paraId="7DBEF095" w14:textId="699E9646" w:rsidR="00971E5E" w:rsidRPr="009A515A" w:rsidRDefault="00971E5E" w:rsidP="00971E5E">
      <w:pPr>
        <w:spacing w:line="360" w:lineRule="auto"/>
        <w:ind w:firstLine="426"/>
        <w:jc w:val="both"/>
        <w:rPr>
          <w:color w:val="000000" w:themeColor="text1"/>
        </w:rPr>
      </w:pPr>
      <w:r w:rsidRPr="009A515A">
        <w:lastRenderedPageBreak/>
        <w:t>Social interactions also reinforce engagement, with online brand communities and metaverse platforms fostering trust, knowledge-sharing, and purchase intention (Agnihotri et al., 2024; Kumar and Shankar, 2024). Interactivity</w:t>
      </w:r>
      <w:r w:rsidR="009B694E">
        <w:t xml:space="preserve"> </w:t>
      </w:r>
      <w:r w:rsidRPr="009A515A">
        <w:t>through avatars, two-way communication and community identity</w:t>
      </w:r>
      <w:r w:rsidR="009B694E">
        <w:t xml:space="preserve"> </w:t>
      </w:r>
      <w:r w:rsidRPr="009A515A">
        <w:t>further enhances belonging and loyalty (Hennig-Thurau et al., 2023; Payal et al., 2024).</w:t>
      </w:r>
    </w:p>
    <w:p w14:paraId="21208AA1" w14:textId="77777777" w:rsidR="00971E5E" w:rsidRPr="009A515A" w:rsidRDefault="00971E5E" w:rsidP="00971E5E">
      <w:pPr>
        <w:spacing w:line="360" w:lineRule="auto"/>
        <w:ind w:firstLine="426"/>
        <w:jc w:val="both"/>
        <w:rPr>
          <w:color w:val="000000" w:themeColor="text1"/>
        </w:rPr>
      </w:pPr>
      <w:r w:rsidRPr="009A515A">
        <w:rPr>
          <w:color w:val="000000" w:themeColor="text1"/>
        </w:rPr>
        <w:t xml:space="preserve">Virtual events further provide immersive engagement opportunities, where gamification and rewards build trust, satisfaction, and long-term loyalty, especially among Gen Z (Habachi et al., 2024). Similarly, participatory content creation on platforms like </w:t>
      </w:r>
      <w:r w:rsidRPr="009A515A">
        <w:rPr>
          <w:i/>
          <w:iCs/>
          <w:color w:val="000000" w:themeColor="text1"/>
        </w:rPr>
        <w:t>The Sandbox</w:t>
      </w:r>
      <w:r w:rsidRPr="009A515A">
        <w:rPr>
          <w:color w:val="000000" w:themeColor="text1"/>
        </w:rPr>
        <w:t xml:space="preserve"> enhances ownership, collaboration, and advocacy (Bilgihan et al., 2024). Finally, high interactivity across metaverse tools fosters referrals, personalization, and loyalty, particularly benefitting non-global brands (Xu et al., 2024; Zhang et al., 2024).</w:t>
      </w:r>
    </w:p>
    <w:p w14:paraId="7872F7C2" w14:textId="77777777" w:rsidR="00971E5E" w:rsidRPr="009A515A" w:rsidRDefault="00971E5E" w:rsidP="00971E5E">
      <w:pPr>
        <w:spacing w:line="360" w:lineRule="auto"/>
        <w:ind w:firstLine="426"/>
        <w:jc w:val="both"/>
        <w:rPr>
          <w:color w:val="000000" w:themeColor="text1"/>
        </w:rPr>
      </w:pPr>
      <w:r w:rsidRPr="009A515A">
        <w:rPr>
          <w:color w:val="000000" w:themeColor="text1"/>
        </w:rPr>
        <w:t>These behaviours collectively highlight how user-driven actions constitute critical mechanisms of brand engagement in virtual environments.</w:t>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w:t>
      </w:r>
      <w:r w:rsidR="00233988" w:rsidRPr="009A515A">
        <w:rPr>
          <w:b/>
          <w:bCs/>
          <w:i/>
          <w:iCs/>
          <w:color w:val="000000" w:themeColor="text1"/>
        </w:rPr>
        <w:t>4</w:t>
      </w:r>
      <w:r w:rsidRPr="009A515A">
        <w:rPr>
          <w:b/>
          <w:bCs/>
          <w:i/>
          <w:iCs/>
          <w:color w:val="000000" w:themeColor="text1"/>
        </w:rPr>
        <w:t xml:space="preserve">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User engagement and experience are pivotal drivers of brand success in virtual environments. Research consistently highlights their role in shaping brand outcomes and management strategies. Wiertz and De (2007), for instance, demonstrated that contributions to firm-hosted online communities directly enhance brand success, with knowledge-sharing emerging as a critical engagement mechanism. Their findings support the principle that active reciprocity underpins thriving commercial communities.</w:t>
      </w:r>
    </w:p>
    <w:p w14:paraId="389C8F27" w14:textId="77777777" w:rsidR="00971E5E" w:rsidRPr="009A515A" w:rsidRDefault="00971E5E" w:rsidP="00971E5E">
      <w:pPr>
        <w:spacing w:line="360" w:lineRule="auto"/>
        <w:ind w:firstLine="426"/>
        <w:jc w:val="both"/>
        <w:rPr>
          <w:color w:val="000000" w:themeColor="text1"/>
        </w:rPr>
      </w:pPr>
      <w:r w:rsidRPr="009A515A">
        <w:t>Subsequent studies expanded this view. For example, Huang and Benyoucef (2013) argued that brands must actively facilitate interactions to elevate engagement levels. Cultural dynamics further mediate engagement; Su et al. (2021) found that holistic thinkers evaluate brand extensions more favourably in virtual settings, suggesting brands must tailor strategies to cultural nuances.</w:t>
      </w:r>
    </w:p>
    <w:p w14:paraId="692C9E30" w14:textId="77777777" w:rsidR="00971E5E" w:rsidRPr="009A515A" w:rsidRDefault="00971E5E" w:rsidP="00971E5E">
      <w:pPr>
        <w:spacing w:line="360" w:lineRule="auto"/>
        <w:ind w:firstLine="426"/>
        <w:jc w:val="both"/>
        <w:rPr>
          <w:color w:val="000000" w:themeColor="text1"/>
        </w:rPr>
      </w:pPr>
      <w:r w:rsidRPr="009A515A">
        <w:rPr>
          <w:color w:val="000000" w:themeColor="text1"/>
        </w:rPr>
        <w:t xml:space="preserve">Social media has become integral to user engagement. </w:t>
      </w:r>
      <w:r w:rsidR="00875A30" w:rsidRPr="009A515A">
        <w:rPr>
          <w:color w:val="000000" w:themeColor="text1"/>
        </w:rPr>
        <w:t>P</w:t>
      </w:r>
      <w:r w:rsidRPr="009A515A">
        <w:rPr>
          <w:color w:val="000000" w:themeColor="text1"/>
        </w:rPr>
        <w:t>latforms such as Facebook yield significant brand dividends through community-driven interactions. Similarly, Hsieh and Tsao (2019) confirmed that higher social identification and interactivity increase engagement with branded content, underscoring the need to cultivate virtual communities and interactive experiences.</w:t>
      </w:r>
    </w:p>
    <w:p w14:paraId="6FBD7B2A" w14:textId="77777777" w:rsidR="00971E5E" w:rsidRPr="009A515A" w:rsidRDefault="00971E5E" w:rsidP="00971E5E">
      <w:pPr>
        <w:spacing w:line="360" w:lineRule="auto"/>
        <w:ind w:firstLine="426"/>
        <w:jc w:val="both"/>
        <w:rPr>
          <w:color w:val="000000" w:themeColor="text1"/>
        </w:rPr>
      </w:pPr>
      <w:r w:rsidRPr="009A515A">
        <w:rPr>
          <w:color w:val="000000" w:themeColor="text1"/>
        </w:rPr>
        <w:t xml:space="preserve">Theoretical frameworks reinforce these insights. Brodie et al. (2011) positioned engagement as active participation in brand experiences, while Verhagen et al. (2014) identified ease of use, usefulness, and social influence as adoption drivers of social software. </w:t>
      </w:r>
      <w:r w:rsidRPr="009A515A">
        <w:rPr>
          <w:color w:val="000000" w:themeColor="text1"/>
        </w:rPr>
        <w:lastRenderedPageBreak/>
        <w:t>Complementing this, Chen and Xie (2008) showed that purchase intentions within virtual communities often serve social and self-identity fulfilment, emphasizing engagement as a pathway to brand loyalty.</w:t>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 xml:space="preserve">3.1 Flow theory </w:t>
      </w:r>
    </w:p>
    <w:p w14:paraId="71E0675E" w14:textId="77777777" w:rsidR="00324C73" w:rsidRPr="009A515A" w:rsidRDefault="00233988" w:rsidP="00324C73">
      <w:pPr>
        <w:shd w:val="clear" w:color="auto" w:fill="FFFFFF"/>
        <w:spacing w:line="360" w:lineRule="auto"/>
        <w:jc w:val="both"/>
        <w:rPr>
          <w:color w:val="000000" w:themeColor="text1"/>
        </w:rPr>
      </w:pPr>
      <w:r w:rsidRPr="009A515A">
        <w:rPr>
          <w:color w:val="000000" w:themeColor="text1"/>
        </w:rPr>
        <w:t>Flow theory, as conceptualized by (</w:t>
      </w:r>
      <w:r w:rsidRPr="009A515A">
        <w:t>Csikszentmihalyi et al., 2018</w:t>
      </w:r>
      <w:r w:rsidRPr="009A515A">
        <w:rPr>
          <w:color w:val="000000" w:themeColor="text1"/>
        </w:rPr>
        <w:t xml:space="preserve">; Csikszentmihalyi, 1990) in his work 'Flow: The Psychology of Optimal Experience,' provides a valuable framework for assessing user engagement within the metaverse. According to Csikszentmihalyi, flow is characterized by a state of deep immersion and focused attention during an activity, where individuals experience a high level of intrinsic motivation and enjoyment. This concept is particularly relevant in the metaverse, where user engagement plays a pivotal role in determining brand success. </w:t>
      </w:r>
      <w:r w:rsidR="00324C73" w:rsidRPr="009A515A">
        <w:rPr>
          <w:color w:val="000000" w:themeColor="text1"/>
        </w:rPr>
        <w:t xml:space="preserve"> Recent research has significantly extended flow theory's applicability to virtual and augmented reality environments. Studies examining game-based metaverses found that perceived enjoyment significantly enhances flow experience, serving as a key contributor to user satisfaction and continued platform usage (Hyeon and Lee, 2025). </w:t>
      </w:r>
    </w:p>
    <w:p w14:paraId="48EA7763" w14:textId="77777777" w:rsidR="00233988" w:rsidRPr="009A515A" w:rsidRDefault="00324C73" w:rsidP="00455887">
      <w:pPr>
        <w:shd w:val="clear" w:color="auto" w:fill="FFFFFF"/>
        <w:spacing w:line="360" w:lineRule="auto"/>
        <w:jc w:val="both"/>
        <w:rPr>
          <w:color w:val="000000" w:themeColor="text1"/>
        </w:rPr>
      </w:pPr>
      <w:r w:rsidRPr="009A515A">
        <w:rPr>
          <w:color w:val="000000" w:themeColor="text1"/>
        </w:rPr>
        <w:t>Contemporary metaverse research has established sophisticated connections between flow theory and virtual brand experiences. Studies on e-commerce live streaming found that authenticity, interactivity, and entertainment contribute to enhancing consumers' flow experience, with interactivity being the most influential factor (Wu et al., 2024). Research on metaverse user immersion reveals that technological factors contribute significantly to flow states in emerging markets, applying affordance theory and information systems success models (</w:t>
      </w:r>
      <w:r w:rsidR="00734627" w:rsidRPr="009A515A">
        <w:rPr>
          <w:color w:val="000000" w:themeColor="text1"/>
        </w:rPr>
        <w:t>Liang et al.</w:t>
      </w:r>
      <w:r w:rsidRPr="009A515A">
        <w:rPr>
          <w:color w:val="000000" w:themeColor="text1"/>
        </w:rPr>
        <w:t>, 2024).</w:t>
      </w:r>
      <w:r w:rsidR="00C873B8" w:rsidRPr="009A515A">
        <w:rPr>
          <w:color w:val="000000" w:themeColor="text1"/>
        </w:rPr>
        <w:t xml:space="preserve"> I</w:t>
      </w:r>
      <w:r w:rsidRPr="009A515A">
        <w:rPr>
          <w:color w:val="000000" w:themeColor="text1"/>
        </w:rPr>
        <w:t>nvestigations of VR gaming environments demonstrate that flow induces subjective time acceleration, with participants experiencing faster time passage during deeper flow states (</w:t>
      </w:r>
      <w:r w:rsidR="00C873B8" w:rsidRPr="009A515A">
        <w:rPr>
          <w:color w:val="000000" w:themeColor="text1"/>
        </w:rPr>
        <w:t>Rutrecht et al.</w:t>
      </w:r>
      <w:r w:rsidRPr="009A515A">
        <w:rPr>
          <w:color w:val="000000" w:themeColor="text1"/>
        </w:rPr>
        <w:t xml:space="preserve">, 2021). Research on short online videos confirms that flow experience significantly impacts user participative and sharing </w:t>
      </w:r>
      <w:r w:rsidR="00553FDC" w:rsidRPr="009A515A">
        <w:rPr>
          <w:color w:val="000000" w:themeColor="text1"/>
        </w:rPr>
        <w:t>behaviours</w:t>
      </w:r>
      <w:r w:rsidRPr="009A515A">
        <w:rPr>
          <w:color w:val="000000" w:themeColor="text1"/>
        </w:rPr>
        <w:t>, establishing mediating relationships between flow experience, social norms, and user engagement (</w:t>
      </w:r>
      <w:r w:rsidR="00553FDC" w:rsidRPr="009A515A">
        <w:rPr>
          <w:color w:val="000000" w:themeColor="text1"/>
        </w:rPr>
        <w:t>Lo and Lai</w:t>
      </w:r>
      <w:r w:rsidRPr="009A515A">
        <w:rPr>
          <w:color w:val="000000" w:themeColor="text1"/>
        </w:rPr>
        <w:t>, 2023). This theoretical foundation supports our research design, where flow elements including clear goals, immediate feedback, and perceived challenge-skill balance were incorporated into metaverse user surveys to capture optimal engagement experiences.</w:t>
      </w:r>
      <w:r w:rsidR="00BA76F2" w:rsidRPr="009A515A">
        <w:rPr>
          <w:color w:val="000000" w:themeColor="text1"/>
        </w:rPr>
        <w:t xml:space="preserve"> </w:t>
      </w:r>
      <w:r w:rsidR="00233988" w:rsidRPr="009A515A">
        <w:rPr>
          <w:color w:val="000000" w:themeColor="text1"/>
        </w:rPr>
        <w:t xml:space="preserve">We used this theory to develop the structure of conducting the surveys which included questions related to key elements of flow, clear goals, immediate feedback, and perceived challenge-skill balance and asked metaverse users to self-report their flow experiences during specific interactions or activities within the virtual environment. </w:t>
      </w:r>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 xml:space="preserve"> </w:t>
      </w:r>
      <w:r w:rsidR="00894734" w:rsidRPr="009A515A">
        <w:rPr>
          <w:rFonts w:ascii="Times New Roman" w:hAnsi="Times New Roman" w:cs="Times New Roman"/>
          <w:b/>
          <w:bCs/>
          <w:i/>
          <w:iCs/>
          <w:color w:val="000000" w:themeColor="text1"/>
          <w:sz w:val="24"/>
          <w:szCs w:val="24"/>
        </w:rPr>
        <w:t>Self-Determination Theory (SDT)</w:t>
      </w:r>
    </w:p>
    <w:p w14:paraId="16586765" w14:textId="77777777" w:rsidR="00894734" w:rsidRPr="009A515A" w:rsidRDefault="00894734" w:rsidP="00455887">
      <w:pPr>
        <w:spacing w:line="360" w:lineRule="auto"/>
        <w:jc w:val="both"/>
        <w:rPr>
          <w:color w:val="000000" w:themeColor="text1"/>
        </w:rPr>
      </w:pPr>
      <w:r w:rsidRPr="009A515A">
        <w:rPr>
          <w:color w:val="000000" w:themeColor="text1"/>
        </w:rPr>
        <w:t xml:space="preserve">Self-Determination Theory (SDT) posits that people are most motivated and experience optimal well-being when three innate psychological needs are satisfied: autonomy (a sense of volitional choice), competence (feeling effective in one’s actions), and relatedness (feeling connected to others) (Deci </w:t>
      </w:r>
      <w:r w:rsidR="001039BF" w:rsidRPr="009A515A">
        <w:rPr>
          <w:color w:val="000000" w:themeColor="text1"/>
        </w:rPr>
        <w:t>and</w:t>
      </w:r>
      <w:r w:rsidRPr="009A515A">
        <w:rPr>
          <w:color w:val="000000" w:themeColor="text1"/>
        </w:rPr>
        <w:t xml:space="preserve"> Ryan, 2000). In digital environments, SDT explains how users’ intrinsic motivation to explore, master, and socially connect within virtual worlds drives deeper engagement and sustained participation.</w:t>
      </w:r>
    </w:p>
    <w:p w14:paraId="58833B19" w14:textId="77777777" w:rsidR="00894734" w:rsidRPr="009A515A" w:rsidRDefault="00894734" w:rsidP="00455887">
      <w:pPr>
        <w:spacing w:line="360" w:lineRule="auto"/>
        <w:ind w:firstLine="426"/>
        <w:jc w:val="both"/>
        <w:rPr>
          <w:color w:val="000000" w:themeColor="text1"/>
        </w:rPr>
      </w:pPr>
      <w:r w:rsidRPr="009A515A">
        <w:rPr>
          <w:color w:val="000000" w:themeColor="text1"/>
        </w:rPr>
        <w:t>Flow Theory and SDT jointly illuminate the psychological underpinnings of metaverse engagement. Flow captures users’ moment-to-moment immersion when challenge-skill balance, clear goals, and immediate feedback align, fostering intense focused attention (Csikszentmihalyi, 1990). SDT complements this by explaining why users choose to enter and remain in those flow states: autonomy supports self-directed exploration of virtual spaces, competence drives users to master in-world tasks and mechanics, and relatedness sustains social interactions through avatars and shared experiences. Together, these theories explain both the experience of deep immersion and the motivation rooted in psychological need satisfaction that underpin brand engagement, satisfaction, and loyalty in metaverse contexts.</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t>This study examines four constructs. User engagement (UE) is the cognitive, emotional and behavioural involvement a user has with a brand during metaverse interactions. User experience (UX) is the perceived quality of the metaverse interaction, encompassing immersion, usability, enjoyment and a sense of presence. Brand satisfaction (BSAT) is the user’s overall evaluation of the brand based on metaverse encounters. Brand success (BSUC) refers to brand-relevant outcomes, including the intention to continue using the brand’s metaverse space, purchase intention, advocacy and word of mouth. Autonomy, competence and relatedness (from SDT) and challenge–skill balance, clear goals and immediate feedback (from Flow Theory) are treated as the psychological mechanisms that underlie engagement and experience; they are not measured as separate constructs.</w:t>
      </w:r>
    </w:p>
    <w:p w14:paraId="4AF2B904" w14:textId="77777777" w:rsidR="00651853" w:rsidRPr="009A515A" w:rsidRDefault="00000000" w:rsidP="00040F53">
      <w:pPr>
        <w:spacing w:line="360" w:lineRule="auto"/>
        <w:jc w:val="both"/>
      </w:pPr>
      <w:r w:rsidRPr="009A515A">
        <w:t xml:space="preserve">Flow Theory and SDT jointly imply that immersive, need-satisfying interactions raise engagement and experience, which in turn shape satisfaction and downstream brand outcomes. We therefore expect that higher user engagement is positively associated with brand success (H1) and that higher user experience quality is positively associated with brand success (H2). Because satisfaction summarises users’ cumulative evaluations, we expect brand satisfaction to mediate the relationships between engagement/experience and brand success (H3). </w:t>
      </w:r>
      <w:r w:rsidRPr="009A515A">
        <w:lastRenderedPageBreak/>
        <w:t>Consistent with a configurational view, we further propose that high brand success can arise from multiple sufficient configurations of these constructs rather than from any single necessary condition (P1).</w:t>
      </w:r>
    </w:p>
    <w:p w14:paraId="5CB0AAEA" w14:textId="77777777" w:rsidR="00971E5E" w:rsidRPr="009A515A" w:rsidRDefault="00971E5E" w:rsidP="00455887">
      <w:pPr>
        <w:spacing w:line="360" w:lineRule="auto"/>
        <w:jc w:val="both"/>
        <w:rPr>
          <w:color w:val="000000" w:themeColor="text1"/>
        </w:rPr>
      </w:pP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w:t>
      </w:r>
      <w:r w:rsidR="00572B5C" w:rsidRPr="009A515A">
        <w:rPr>
          <w:b/>
          <w:bCs/>
          <w:color w:val="000000" w:themeColor="text1"/>
        </w:rPr>
        <w:t>.</w:t>
      </w:r>
      <w:r w:rsidR="00635725" w:rsidRPr="009A515A">
        <w:rPr>
          <w:b/>
          <w:bCs/>
          <w:color w:val="000000" w:themeColor="text1"/>
        </w:rPr>
        <w:t xml:space="preserve"> Methodology</w:t>
      </w:r>
    </w:p>
    <w:p w14:paraId="235D88F0" w14:textId="77777777" w:rsidR="00635725" w:rsidRPr="009A515A" w:rsidRDefault="00635725" w:rsidP="00B4702E">
      <w:pPr>
        <w:spacing w:line="360" w:lineRule="auto"/>
        <w:jc w:val="both"/>
        <w:rPr>
          <w:color w:val="000000" w:themeColor="text1"/>
        </w:rPr>
      </w:pPr>
      <w:r w:rsidRPr="009A515A">
        <w:t>This section sets out the study's methodology: the rationale for fuzzy-set qualitative comparative analysis (fsQCA), the identification and selection of variables, the data-collection procedure, the measures, the sample, and the analytical approach.</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w:t>
      </w:r>
      <w:r w:rsidR="00DC0736" w:rsidRPr="009A515A">
        <w:rPr>
          <w:b/>
          <w:bCs/>
          <w:i/>
          <w:iCs/>
          <w:color w:val="000000" w:themeColor="text1"/>
        </w:rPr>
        <w:t>.1</w:t>
      </w:r>
      <w:r w:rsidRPr="009A515A">
        <w:rPr>
          <w:b/>
          <w:bCs/>
          <w:i/>
          <w:iCs/>
          <w:color w:val="000000" w:themeColor="text1"/>
        </w:rPr>
        <w:t xml:space="preserve"> F</w:t>
      </w:r>
      <w:r w:rsidR="00533546" w:rsidRPr="009A515A">
        <w:rPr>
          <w:b/>
          <w:bCs/>
          <w:i/>
          <w:iCs/>
          <w:color w:val="000000" w:themeColor="text1"/>
        </w:rPr>
        <w:t>uzzy set Qualitative Comparative Analysis and its Application to the study</w:t>
      </w:r>
    </w:p>
    <w:p w14:paraId="7F215E57" w14:textId="6A1A8370" w:rsidR="00DB7208" w:rsidRPr="009A515A" w:rsidRDefault="00DB7208" w:rsidP="00DB7208">
      <w:pPr>
        <w:spacing w:line="360" w:lineRule="auto"/>
        <w:jc w:val="both"/>
        <w:rPr>
          <w:color w:val="000000" w:themeColor="text1"/>
        </w:rPr>
      </w:pPr>
      <w:r w:rsidRPr="009A515A">
        <w:rPr>
          <w:color w:val="000000" w:themeColor="text1"/>
        </w:rPr>
        <w:t>Fuzzy-Set Qualitative Comparative Analysis (</w:t>
      </w:r>
      <w:r w:rsidR="00202EAC" w:rsidRPr="009A515A">
        <w:rPr>
          <w:color w:val="000000" w:themeColor="text1"/>
        </w:rPr>
        <w:t>FsQCA</w:t>
      </w:r>
      <w:r w:rsidRPr="009A515A">
        <w:rPr>
          <w:color w:val="000000" w:themeColor="text1"/>
        </w:rPr>
        <w:t xml:space="preserve">) provides a mixed-method framework suited to examining complex causal configurations in branding research (Jia et al., 2022). Positioned between exploratory and hypothesis-testing strategies, </w:t>
      </w:r>
      <w:r w:rsidR="00202EAC" w:rsidRPr="009A515A">
        <w:rPr>
          <w:color w:val="000000" w:themeColor="text1"/>
        </w:rPr>
        <w:t>FsQCA</w:t>
      </w:r>
      <w:r w:rsidRPr="009A515A">
        <w:rPr>
          <w:color w:val="000000" w:themeColor="text1"/>
        </w:rPr>
        <w:t xml:space="preserve"> is particularly effective for analysing user engagement and experience in the metaverse, where multiple interrelated factors shape brand outcomes. Unlike traditional statistical methods, it identifies how different combinations of conditions</w:t>
      </w:r>
      <w:r w:rsidR="009B694E">
        <w:rPr>
          <w:color w:val="000000" w:themeColor="text1"/>
        </w:rPr>
        <w:t xml:space="preserve"> </w:t>
      </w:r>
      <w:r w:rsidRPr="009A515A">
        <w:rPr>
          <w:color w:val="000000" w:themeColor="text1"/>
        </w:rPr>
        <w:t>present or absent</w:t>
      </w:r>
      <w:r w:rsidR="009B694E">
        <w:rPr>
          <w:color w:val="000000" w:themeColor="text1"/>
        </w:rPr>
        <w:t xml:space="preserve"> </w:t>
      </w:r>
      <w:r w:rsidRPr="009A515A">
        <w:rPr>
          <w:color w:val="000000" w:themeColor="text1"/>
        </w:rPr>
        <w:t xml:space="preserve">jointly produce an outcome, highlighting equifinality in causal pathways (Schneider </w:t>
      </w:r>
      <w:r w:rsidR="001039BF" w:rsidRPr="009A515A">
        <w:rPr>
          <w:color w:val="000000" w:themeColor="text1"/>
        </w:rPr>
        <w:t>and</w:t>
      </w:r>
      <w:r w:rsidRPr="009A515A">
        <w:rPr>
          <w:color w:val="000000" w:themeColor="text1"/>
        </w:rPr>
        <w:t xml:space="preserve"> Wagemann, 2012). Ragin (2008) further emphasizes </w:t>
      </w:r>
      <w:r w:rsidR="00202EAC" w:rsidRPr="009A515A">
        <w:rPr>
          <w:color w:val="000000" w:themeColor="text1"/>
        </w:rPr>
        <w:t>FsQCA</w:t>
      </w:r>
      <w:r w:rsidRPr="009A515A">
        <w:rPr>
          <w:color w:val="000000" w:themeColor="text1"/>
        </w:rPr>
        <w:t>’s value in small-N research, enabling rigorous analysis even in data-limited contexts.</w:t>
      </w:r>
    </w:p>
    <w:p w14:paraId="3E2D385A" w14:textId="77777777" w:rsidR="00DB7208" w:rsidRPr="009A515A" w:rsidRDefault="00DB7208" w:rsidP="00DB7208">
      <w:pPr>
        <w:spacing w:line="360" w:lineRule="auto"/>
        <w:ind w:firstLine="426"/>
        <w:jc w:val="both"/>
        <w:rPr>
          <w:color w:val="000000" w:themeColor="text1"/>
        </w:rPr>
      </w:pPr>
      <w:r w:rsidRPr="009A515A">
        <w:rPr>
          <w:color w:val="000000" w:themeColor="text1"/>
        </w:rPr>
        <w:t xml:space="preserve">This study applies </w:t>
      </w:r>
      <w:r w:rsidR="00202EAC" w:rsidRPr="009A515A">
        <w:rPr>
          <w:color w:val="000000" w:themeColor="text1"/>
        </w:rPr>
        <w:t>FsQCA</w:t>
      </w:r>
      <w:r w:rsidRPr="009A515A">
        <w:rPr>
          <w:color w:val="000000" w:themeColor="text1"/>
        </w:rPr>
        <w:t xml:space="preserve"> to investigate how engagement and experience influence brand perception, loyalty, differentiation, and competitive advantage in the metaverse. The novelty lies in contextualizing </w:t>
      </w:r>
      <w:r w:rsidR="00202EAC" w:rsidRPr="009A515A">
        <w:rPr>
          <w:color w:val="000000" w:themeColor="text1"/>
        </w:rPr>
        <w:t>FsQCA</w:t>
      </w:r>
      <w:r w:rsidRPr="009A515A">
        <w:rPr>
          <w:color w:val="000000" w:themeColor="text1"/>
        </w:rPr>
        <w:t xml:space="preserve"> within immersive, rapidly evolving environments, offering insights into branding strategies and decision-making. Translating variables into fuzzy sets allows nuanced measurement of membership scores (0–1), bridging quantitative and qualitative dimensions.</w:t>
      </w:r>
    </w:p>
    <w:p w14:paraId="67D79B33" w14:textId="77777777" w:rsidR="00DB7208" w:rsidRPr="009A515A" w:rsidRDefault="00DB7208" w:rsidP="00DB7208">
      <w:pPr>
        <w:spacing w:line="360" w:lineRule="auto"/>
        <w:ind w:firstLine="426"/>
        <w:jc w:val="both"/>
        <w:rPr>
          <w:color w:val="000000" w:themeColor="text1"/>
        </w:rPr>
      </w:pPr>
      <w:r w:rsidRPr="009A515A">
        <w:rPr>
          <w:color w:val="000000" w:themeColor="text1"/>
        </w:rPr>
        <w:t xml:space="preserve">The </w:t>
      </w:r>
      <w:r w:rsidR="00202EAC" w:rsidRPr="009A515A">
        <w:rPr>
          <w:color w:val="000000" w:themeColor="text1"/>
        </w:rPr>
        <w:t>FsQCA</w:t>
      </w:r>
      <w:r w:rsidRPr="009A515A">
        <w:rPr>
          <w:color w:val="000000" w:themeColor="text1"/>
        </w:rPr>
        <w:t xml:space="preserve"> process comprises six stages: (a) case selection, (b) identification of causal conditions, (c) calibration of membership scores, (d) construction of the truth table, (e) logical minimization of causal configurations, and (f) robustness checks via consistency and coverage indices. Figure 2 illustrates this methodological flow from calibration to outcome analysis. Through Boolean operations, minimal sufficient combinations of conditions are derived, revealing causal complexity beyond single-variable effects.</w:t>
      </w:r>
    </w:p>
    <w:p w14:paraId="5569F0CE" w14:textId="77777777" w:rsidR="00624A1D" w:rsidRPr="009A515A" w:rsidRDefault="00B911BC" w:rsidP="00624A1D">
      <w:pPr>
        <w:rPr>
          <w:color w:val="000000" w:themeColor="text1"/>
        </w:rPr>
      </w:pPr>
      <w:r w:rsidRPr="009A515A">
        <w:rPr>
          <w:noProof/>
        </w:rPr>
        <w:lastRenderedPageBreak/>
        <w:drawing>
          <wp:inline distT="0" distB="0" distL="0" distR="0" wp14:anchorId="1A8A4FC4" wp14:editId="39E5A617">
            <wp:extent cx="5565140" cy="5204460"/>
            <wp:effectExtent l="0" t="0" r="0" b="0"/>
            <wp:docPr id="56551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1066" cy="5238058"/>
                    </a:xfrm>
                    <a:prstGeom prst="rect">
                      <a:avLst/>
                    </a:prstGeom>
                    <a:noFill/>
                    <a:ln>
                      <a:noFill/>
                    </a:ln>
                  </pic:spPr>
                </pic:pic>
              </a:graphicData>
            </a:graphic>
          </wp:inline>
        </w:drawing>
      </w:r>
    </w:p>
    <w:p w14:paraId="5C4803A6" w14:textId="77777777" w:rsidR="00C6582E" w:rsidRPr="009A515A" w:rsidRDefault="00C6582E" w:rsidP="00624A1D">
      <w:pPr>
        <w:rPr>
          <w:color w:val="000000" w:themeColor="text1"/>
        </w:rPr>
      </w:pPr>
      <w:r w:rsidRPr="009A515A">
        <w:rPr>
          <w:b/>
          <w:bCs/>
          <w:i/>
          <w:iCs/>
          <w:color w:val="000000" w:themeColor="text1"/>
        </w:rPr>
        <w:t>Figure 2</w:t>
      </w:r>
      <w:r w:rsidRPr="009A515A">
        <w:rPr>
          <w:i/>
          <w:iCs/>
          <w:color w:val="000000" w:themeColor="text1"/>
        </w:rPr>
        <w:t>. Flowchart illustrating the steps involved in the fuzzy set qualitative comparative analysis (</w:t>
      </w:r>
      <w:r w:rsidR="00202EAC" w:rsidRPr="009A515A">
        <w:rPr>
          <w:i/>
          <w:iCs/>
          <w:color w:val="000000" w:themeColor="text1"/>
        </w:rPr>
        <w:t>FsQCA</w:t>
      </w:r>
      <w:r w:rsidRPr="009A515A">
        <w:rPr>
          <w:i/>
          <w:iCs/>
          <w:color w:val="000000" w:themeColor="text1"/>
        </w:rPr>
        <w:t>) methodology, from data calibration to the generation of final insights.</w:t>
      </w:r>
    </w:p>
    <w:p w14:paraId="51C0D7F6" w14:textId="77777777" w:rsidR="00ED44A2" w:rsidRPr="009A515A" w:rsidRDefault="00ED44A2" w:rsidP="005A1FB3">
      <w:pPr>
        <w:spacing w:line="360" w:lineRule="auto"/>
        <w:jc w:val="center"/>
        <w:rPr>
          <w:i/>
          <w:iCs/>
          <w:color w:val="000000" w:themeColor="text1"/>
        </w:rPr>
      </w:pPr>
    </w:p>
    <w:p w14:paraId="6E29DE58" w14:textId="77777777" w:rsidR="00ED44A2" w:rsidRPr="009A515A" w:rsidRDefault="00DB7208" w:rsidP="00DB7208">
      <w:pPr>
        <w:spacing w:line="360" w:lineRule="auto"/>
        <w:ind w:firstLine="426"/>
        <w:jc w:val="both"/>
        <w:rPr>
          <w:color w:val="000000" w:themeColor="text1"/>
        </w:rPr>
      </w:pPr>
      <w:r w:rsidRPr="009A515A">
        <w:t>By systematically applying fsQCA, the study identifies the engagement–experience–satisfaction configurations associated with brand success in virtual environments, complementing the measurement model with a configurational account and offering practical guidance for managers designing resilient metaverse strategies.</w:t>
      </w: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2</w:t>
      </w:r>
      <w:r w:rsidRPr="009A515A">
        <w:rPr>
          <w:b/>
          <w:bCs/>
          <w:i/>
          <w:iCs/>
          <w:color w:val="000000" w:themeColor="text1"/>
        </w:rPr>
        <w:t xml:space="preserve"> Identification and selection of variables </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 xml:space="preserve">The identification and selection of variables related to user engagement, user experience, brand satisfaction, and brand success followed a structured three-stage process. First, an extensive literature review was conducted to identify variables consistently validated in prior studies. Constructs such as satisfaction levels, interaction frequency, perceived brand impact, </w:t>
      </w:r>
      <w:r w:rsidRPr="009A515A">
        <w:rPr>
          <w:color w:val="000000" w:themeColor="text1"/>
        </w:rPr>
        <w:lastRenderedPageBreak/>
        <w:t xml:space="preserve">emotional connection, and personalization emerged as core indicators of user experience and engagement (Cadet </w:t>
      </w:r>
      <w:r w:rsidR="001039BF" w:rsidRPr="009A515A">
        <w:rPr>
          <w:color w:val="000000" w:themeColor="text1"/>
        </w:rPr>
        <w:t>and</w:t>
      </w:r>
      <w:r w:rsidRPr="009A515A">
        <w:rPr>
          <w:color w:val="000000" w:themeColor="text1"/>
        </w:rPr>
        <w:t xml:space="preserve"> Chainay, 2020; Lu </w:t>
      </w:r>
      <w:r w:rsidR="001039BF" w:rsidRPr="009A515A">
        <w:rPr>
          <w:color w:val="000000" w:themeColor="text1"/>
        </w:rPr>
        <w:t>and</w:t>
      </w:r>
      <w:r w:rsidRPr="009A515A">
        <w:rPr>
          <w:color w:val="000000" w:themeColor="text1"/>
        </w:rPr>
        <w:t xml:space="preserve"> Lau, 2025).</w:t>
      </w:r>
    </w:p>
    <w:p w14:paraId="6EF488BE" w14:textId="77777777" w:rsidR="00DB7208" w:rsidRPr="009A515A" w:rsidRDefault="00DB7208" w:rsidP="00DB7208">
      <w:pPr>
        <w:spacing w:line="360" w:lineRule="auto"/>
        <w:ind w:firstLine="426"/>
        <w:jc w:val="both"/>
        <w:rPr>
          <w:color w:val="000000" w:themeColor="text1"/>
        </w:rPr>
      </w:pPr>
      <w:r w:rsidRPr="009A515A">
        <w:t>Second, qualitative insights were gathered through interviews and focus groups, which provided nuanced understanding of users’ degree of involvement, drivers of satisfaction, and perceptions of brand success. These findings guided the refinement of relevant variables. Third, quantitative data was collected via surveys designed to capture key constructs: User Engagement in the Metaverse (UE), User Experience in the Metaverse (UX), Users’ Brand Satisfaction (BSAT), and Brand Success (BSUC). Table 2 presents the operationalization of these constructs. Immersiveness was measured through presence scales (Cadet and Chainay, 2020), sociability via social presence and co-presence (Poeschl and Doering, 2015), and ecological faithfulness through authenticity and ecological alignment measures (Lu and Lau, 2025).</w:t>
      </w:r>
    </w:p>
    <w:p w14:paraId="362ED2FE" w14:textId="6C1290FD" w:rsidR="00DB7208" w:rsidRPr="009A515A" w:rsidRDefault="00DB7208" w:rsidP="00DB7208">
      <w:pPr>
        <w:spacing w:line="360" w:lineRule="auto"/>
        <w:ind w:firstLine="426"/>
        <w:jc w:val="both"/>
        <w:rPr>
          <w:color w:val="000000" w:themeColor="text1"/>
        </w:rPr>
      </w:pPr>
      <w:r w:rsidRPr="009A515A">
        <w:rPr>
          <w:color w:val="000000" w:themeColor="text1"/>
        </w:rPr>
        <w:t>Theoretical relevance and empirical evidence were central to variable selection. Only constructs with strong conceptual grounding and proven reliability were retained. A pilot study validated clarity, response appropriateness, and reliability of instruments before full-scale administration. This triangulated approach</w:t>
      </w:r>
      <w:r w:rsidR="009B694E">
        <w:rPr>
          <w:color w:val="000000" w:themeColor="text1"/>
        </w:rPr>
        <w:t xml:space="preserve"> </w:t>
      </w:r>
      <w:r w:rsidRPr="009A515A">
        <w:rPr>
          <w:color w:val="000000" w:themeColor="text1"/>
        </w:rPr>
        <w:t>literature review, qualitative input, and quantitative validation</w:t>
      </w:r>
      <w:r w:rsidR="009B694E">
        <w:rPr>
          <w:color w:val="000000" w:themeColor="text1"/>
        </w:rPr>
        <w:t xml:space="preserve"> </w:t>
      </w:r>
      <w:r w:rsidRPr="009A515A">
        <w:rPr>
          <w:color w:val="000000" w:themeColor="text1"/>
        </w:rPr>
        <w:t>ensured that the selected variables robustly captured user engagement, experience, satisfaction, and brand success in the metaverse, thereby offering meaningful insights for subsequent analysis.</w:t>
      </w:r>
    </w:p>
    <w:p w14:paraId="3D611864" w14:textId="77777777" w:rsidR="00DB7208" w:rsidRPr="009A515A" w:rsidRDefault="00DB7208" w:rsidP="00CF3193">
      <w:pPr>
        <w:spacing w:line="360" w:lineRule="auto"/>
        <w:ind w:firstLine="426"/>
        <w:jc w:val="both"/>
        <w:rPr>
          <w:color w:val="000000" w:themeColor="text1"/>
        </w:rPr>
      </w:pP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 xml:space="preserve">3 </w:t>
      </w:r>
      <w:r w:rsidRPr="009A515A">
        <w:rPr>
          <w:b/>
          <w:bCs/>
          <w:i/>
          <w:iCs/>
          <w:color w:val="000000" w:themeColor="text1"/>
        </w:rPr>
        <w:t>Measures</w:t>
      </w:r>
    </w:p>
    <w:p w14:paraId="5B7DD519" w14:textId="77777777" w:rsidR="00CD5B68" w:rsidRPr="009A515A" w:rsidRDefault="005B14B4" w:rsidP="006A5E51">
      <w:pPr>
        <w:spacing w:line="360" w:lineRule="auto"/>
        <w:jc w:val="both"/>
        <w:rPr>
          <w:color w:val="000000" w:themeColor="text1"/>
        </w:rPr>
      </w:pPr>
      <w:r w:rsidRPr="009A515A">
        <w:t>All constructs were measured on seven-point Likert scales anchored from 1 (strongly disagree) to 7 (strongly agree). The ten-item engagement and experience scales are adapted subsets</w:t>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4</w:t>
      </w:r>
      <w:r w:rsidRPr="009A515A">
        <w:rPr>
          <w:b/>
          <w:bCs/>
          <w:i/>
          <w:iCs/>
          <w:color w:val="000000" w:themeColor="text1"/>
        </w:rPr>
        <w:t xml:space="preserve">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 xml:space="preserve">This study focused on user engagement and experience within prominent metaverse platforms, including Roblox, Decentraland, and The Sandbox. These platforms were selected due to their widespread adoption, diverse functionalities, and ability to host innovative brand interactions. Each platform provided unique opportunities for users to engage in immersive activities that align with the study's objectives. Roblox is a widely popular platform known for its user-generated content and social gaming experiences, particularly appealing to younger demographics. It allows users to create and explore virtual worlds while participating in branded experiences such as Nike's "Nikeland," which integrates real-world movements with in-game rewards (Bilgihan et al., 2024). Decentraland, built on blockchain technology, </w:t>
      </w:r>
      <w:r w:rsidRPr="009A515A">
        <w:rPr>
          <w:color w:val="000000" w:themeColor="text1"/>
        </w:rPr>
        <w:lastRenderedPageBreak/>
        <w:t>emphasizes decentralization and ownership, enabling users to purchase virtual land, trade NFTs, and participate in community-driven events such as branded festivals or virtual art exhibitions (</w:t>
      </w:r>
      <w:r w:rsidR="00D57002" w:rsidRPr="009A515A">
        <w:t>Brouard</w:t>
      </w:r>
      <w:r w:rsidRPr="009A515A">
        <w:rPr>
          <w:color w:val="000000" w:themeColor="text1"/>
        </w:rPr>
        <w:t>, 2024). </w:t>
      </w:r>
    </w:p>
    <w:p w14:paraId="6FBBF5ED" w14:textId="77777777" w:rsidR="00035B4B" w:rsidRPr="009A515A" w:rsidRDefault="00035B4B" w:rsidP="00ED44A2">
      <w:pPr>
        <w:spacing w:line="360" w:lineRule="auto"/>
        <w:ind w:firstLine="426"/>
        <w:jc w:val="both"/>
        <w:rPr>
          <w:color w:val="000000" w:themeColor="text1"/>
        </w:rPr>
      </w:pPr>
      <w:r w:rsidRPr="009A515A">
        <w:t>The Sandbox focuses on voxel-based content creation, allowing users to design, own and monetise experiences; major brands such as Adidas have used the platform for interactive campaigns (Brandes and Dölp, 2025). Across these platforms, the study considered four primary types of metaverse activity: trading digital assets to enhance virtual identities or for investment purposes (Lee and Shen, 2024); attending virtual events; interacting with other users through avatars to build communities or collaborate on shared goals (Hennig-Thurau et al., 2023); and designing digital assets or developing interactive experiences that contribute to the virtual ecosystem (Bilgihan et al., 2024).</w:t>
      </w:r>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5</w:t>
      </w:r>
      <w:r w:rsidRPr="009A515A">
        <w:rPr>
          <w:b/>
          <w:bCs/>
          <w:i/>
          <w:iCs/>
          <w:color w:val="000000" w:themeColor="text1"/>
        </w:rPr>
        <w:t xml:space="preserve"> Data </w:t>
      </w:r>
      <w:r w:rsidR="00ED44A2" w:rsidRPr="009A515A">
        <w:rPr>
          <w:b/>
          <w:bCs/>
          <w:i/>
          <w:iCs/>
          <w:color w:val="000000" w:themeColor="text1"/>
        </w:rPr>
        <w:t>C</w:t>
      </w:r>
      <w:r w:rsidRPr="009A515A">
        <w:rPr>
          <w:b/>
          <w:bCs/>
          <w:i/>
          <w:iCs/>
          <w:color w:val="000000" w:themeColor="text1"/>
        </w:rPr>
        <w:t xml:space="preserve">ollection </w:t>
      </w:r>
    </w:p>
    <w:p w14:paraId="51FA8D75" w14:textId="3C257853" w:rsidR="00CD5B68" w:rsidRPr="009A515A" w:rsidRDefault="00D5012F" w:rsidP="00202EAC">
      <w:pPr>
        <w:spacing w:line="360" w:lineRule="auto"/>
        <w:jc w:val="both"/>
        <w:rPr>
          <w:color w:val="000000" w:themeColor="text1"/>
        </w:rPr>
      </w:pPr>
      <w:r w:rsidRPr="009A515A">
        <w:t xml:space="preserve">Data were collected using a stratified random sampling design to ensure representativeness and limit sampling bias. Working with established metaverse platforms spanning gaming, social and creative environments, we constructed a sampling frame of users who had been active on at least one platform and had prior brand-related metaverse experience; adults aged 18 years or older were eligible, and users without brand-related metaverse experience were excluded. From this frame, 600 eligible users were invited at random, stratified by primary activity type (gaming, NFT trading, social interaction, content creation and virtual events). Of those invited, 312 provided complete, consenting responses </w:t>
      </w:r>
      <w:r w:rsidR="009B694E">
        <w:t xml:space="preserve"> </w:t>
      </w:r>
      <w:r w:rsidRPr="009A515A">
        <w:t xml:space="preserve"> a response rate of 52% </w:t>
      </w:r>
      <w:r w:rsidR="009B694E">
        <w:t xml:space="preserve"> </w:t>
      </w:r>
      <w:r w:rsidRPr="009A515A">
        <w:t xml:space="preserve"> with balanced representation across strata. The survey captured user engagement (UE), user experience (UX), brand satisfaction (BSAT) and brand success (BSUC) using the validated scales described above.</w:t>
      </w:r>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 xml:space="preserve">The choice of India as the study context is theoretically and empirically justified. </w:t>
      </w:r>
      <w:r w:rsidR="001457D1" w:rsidRPr="009A515A">
        <w:t>India represents one of the world's fastest-growing metaverse markets, with the sector valued at USD 2 billion in 2023 and projected to grow at a robust CAGR through 2030, driven by advancements in immersive technologies including VR and AR (Verma, 2024). The country's growing user base and rising digital infrastructure position it as a strategically significant and underexplored context for metaverse marketing research (Statista, 2025).</w:t>
      </w:r>
      <w:r w:rsidRPr="009A515A">
        <w:rPr>
          <w:color w:val="000000" w:themeColor="text1"/>
        </w:rPr>
        <w:t xml:space="preserve"> India’s large and digitally native youth population (median age 28 years), rapid 5G infrastructure expansion, and high mobile-first internet penetration collectively create conditions highly conducive to metaverse adoption and immersive brand engagement (Dwivedi et al., 2023; Koohang et al., </w:t>
      </w:r>
      <w:r w:rsidRPr="009A515A">
        <w:rPr>
          <w:color w:val="000000" w:themeColor="text1"/>
        </w:rPr>
        <w:lastRenderedPageBreak/>
        <w:t>2023). Furthermore, Indian consumers exhibit high receptivity to digital self-expression through avatars and NFT ownership, making this market particularly relevant for studying user engagement, immersive experience, and brand success in virtual ecosystems (Payal et al., 2024). Focusing on an emerging and underexplored metaverse market such as India offers novel insights not yet captured in the predominantly Western-centric metaverse literature, thereby enhancing the theoretical breadth of the findings and their generalisability to other rapidly digitising economies.</w:t>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t>5</w:t>
      </w:r>
      <w:r w:rsidR="00572B5C" w:rsidRPr="009A515A">
        <w:rPr>
          <w:b/>
          <w:bCs/>
          <w:color w:val="000000" w:themeColor="text1"/>
        </w:rPr>
        <w:t>.</w:t>
      </w:r>
      <w:r w:rsidRPr="009A515A">
        <w:rPr>
          <w:b/>
          <w:bCs/>
          <w:color w:val="000000" w:themeColor="text1"/>
        </w:rPr>
        <w:t xml:space="preserve"> </w:t>
      </w:r>
      <w:r w:rsidR="004309B6" w:rsidRPr="009A515A">
        <w:rPr>
          <w:b/>
          <w:bCs/>
          <w:color w:val="000000" w:themeColor="text1"/>
        </w:rPr>
        <w:t>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Descriptive analysis was conducted using IBM SPSS 25.0 to examine the social and demographic backgrounds of 312 respondents (see Table 1). Of the total participants, 46% were men (143 respondents) and 54% were women (169 respondents). The age distribution revealed that the largest group was 23–28 years (24.04%), followed by 18–22 years (20.51%), 29–34 years (19.23%), 35–41 years (18.27%), and 42–45 years (17.95%).</w:t>
      </w:r>
    </w:p>
    <w:p w14:paraId="79D68ABB" w14:textId="77777777" w:rsidR="00CD5B68" w:rsidRPr="009A515A" w:rsidRDefault="00CD5B68" w:rsidP="00CD5B68">
      <w:pPr>
        <w:spacing w:line="360" w:lineRule="auto"/>
        <w:ind w:firstLine="426"/>
        <w:jc w:val="both"/>
        <w:rPr>
          <w:color w:val="000000" w:themeColor="text1"/>
        </w:rPr>
      </w:pPr>
      <w:r w:rsidRPr="009A515A">
        <w:rPr>
          <w:color w:val="000000" w:themeColor="text1"/>
        </w:rPr>
        <w:t>Regarding marital status, 38.78% were married without children, 34.29% were single, and 26.93% were married with children. Participants were categorized into three occupational groups: business professionals (39.10%), job holders (32.69%), and students (28.21%).</w:t>
      </w:r>
    </w:p>
    <w:p w14:paraId="3695146E" w14:textId="77777777" w:rsidR="00CD5B68" w:rsidRPr="009A515A" w:rsidRDefault="00CD5B68" w:rsidP="00CD5B68">
      <w:pPr>
        <w:spacing w:line="360" w:lineRule="auto"/>
        <w:jc w:val="both"/>
        <w:rPr>
          <w:color w:val="000000" w:themeColor="text1"/>
        </w:rPr>
      </w:pPr>
      <w:r w:rsidRPr="009A515A">
        <w:rPr>
          <w:color w:val="000000" w:themeColor="text1"/>
        </w:rPr>
        <w:t>In terms of education, most participants had an undergraduate-level education (53.53%), followed by master's level (36.86%) and doctorate qualifications (9.62%). Regarding monthly family income, 32.05% reported a monthly income of INR 50,001–80,000, 25.64% earned between INR 30,001–50,000, 23.91% earned above INR 80,000, and 18.40% earned INR 30,000 or less.</w:t>
      </w:r>
    </w:p>
    <w:p w14:paraId="103D9A67" w14:textId="77777777" w:rsidR="00CD5B68" w:rsidRPr="009A515A" w:rsidRDefault="00CD5B68" w:rsidP="00CD5B68">
      <w:pPr>
        <w:spacing w:line="360" w:lineRule="auto"/>
        <w:ind w:firstLine="426"/>
        <w:jc w:val="both"/>
        <w:rPr>
          <w:i/>
          <w:iCs/>
          <w:color w:val="000000" w:themeColor="text1"/>
        </w:rPr>
      </w:pPr>
      <w:r w:rsidRPr="009A515A">
        <w:rPr>
          <w:color w:val="000000" w:themeColor="text1"/>
        </w:rPr>
        <w:t>In the context of Metaverse engagement, this study captures users' levels of interaction with the virtual world. A majority of respondents (60.58%) reported using the Metaverse frequently, engaging with virtual worlds at least several times a week. The study also explored users’ experiences with NFTs, virtual assets, and virtual communities. A significant number (45.19%) participated in NFT trading, 52.56% engaged in social interactions or content creation, and 41.35% were active in virtual events, underscoring the importance of these activities for brand engagement in immersive digital spaces</w:t>
      </w:r>
      <w:r w:rsidRPr="009A515A">
        <w:rPr>
          <w:i/>
          <w:iCs/>
          <w:color w:val="000000" w:themeColor="text1"/>
        </w:rPr>
        <w:t>.</w:t>
      </w:r>
    </w:p>
    <w:p w14:paraId="26591E1D" w14:textId="77777777" w:rsidR="00AA1ECE" w:rsidRPr="009A515A" w:rsidRDefault="00AA1ECE" w:rsidP="00CD5B68">
      <w:pPr>
        <w:spacing w:line="360" w:lineRule="auto"/>
        <w:ind w:firstLine="426"/>
        <w:jc w:val="both"/>
        <w:rPr>
          <w:i/>
          <w:iCs/>
          <w:color w:val="000000" w:themeColor="text1"/>
        </w:rPr>
      </w:pPr>
    </w:p>
    <w:p w14:paraId="43E4F6F5" w14:textId="77777777" w:rsidR="00AA1ECE" w:rsidRPr="009A515A" w:rsidRDefault="00AA1ECE" w:rsidP="00AA1ECE">
      <w:pPr>
        <w:spacing w:line="360" w:lineRule="auto"/>
        <w:jc w:val="both"/>
        <w:rPr>
          <w:i/>
          <w:iCs/>
          <w:color w:val="000000" w:themeColor="text1"/>
        </w:rPr>
      </w:pPr>
      <w:r w:rsidRPr="009A515A">
        <w:rPr>
          <w:b/>
          <w:bCs/>
          <w:i/>
          <w:iCs/>
          <w:color w:val="000000" w:themeColor="text1"/>
        </w:rPr>
        <w:t>Table 1:</w:t>
      </w:r>
      <w:r w:rsidRPr="009A515A">
        <w:rPr>
          <w:i/>
          <w:iCs/>
          <w:color w:val="000000" w:themeColor="text1"/>
        </w:rPr>
        <w:t xml:space="preserve"> Demographic and Metaverse Engagement Details of Respondents (N = 312)</w:t>
      </w:r>
    </w:p>
    <w:tbl>
      <w:tblPr>
        <w:tblStyle w:val="TableGrid"/>
        <w:tblW w:w="0" w:type="auto"/>
        <w:jc w:val="center"/>
        <w:tblLook w:val="04A0" w:firstRow="1" w:lastRow="0" w:firstColumn="1" w:lastColumn="0" w:noHBand="0" w:noVBand="1"/>
      </w:tblPr>
      <w:tblGrid>
        <w:gridCol w:w="1657"/>
        <w:gridCol w:w="1420"/>
        <w:gridCol w:w="1093"/>
        <w:gridCol w:w="2333"/>
        <w:gridCol w:w="1420"/>
        <w:gridCol w:w="1093"/>
      </w:tblGrid>
      <w:tr w:rsidR="007A11EE" w:rsidRPr="009A515A" w14:paraId="573AD356" w14:textId="77777777" w:rsidTr="00C378D1">
        <w:trPr>
          <w:jc w:val="center"/>
        </w:trPr>
        <w:tc>
          <w:tcPr>
            <w:tcW w:w="0" w:type="auto"/>
            <w:hideMark/>
          </w:tcPr>
          <w:p w14:paraId="41E2E63A"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38A71504"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7CDDFB0A"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c>
          <w:tcPr>
            <w:tcW w:w="0" w:type="auto"/>
            <w:hideMark/>
          </w:tcPr>
          <w:p w14:paraId="6AF49E80"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457175AF"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2CBC84AE"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r>
      <w:tr w:rsidR="007A11EE" w:rsidRPr="009A515A" w14:paraId="2083098C" w14:textId="77777777" w:rsidTr="00C378D1">
        <w:trPr>
          <w:jc w:val="center"/>
        </w:trPr>
        <w:tc>
          <w:tcPr>
            <w:tcW w:w="0" w:type="auto"/>
            <w:hideMark/>
          </w:tcPr>
          <w:p w14:paraId="06CA7911"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lastRenderedPageBreak/>
              <w:t>Gender</w:t>
            </w:r>
          </w:p>
        </w:tc>
        <w:tc>
          <w:tcPr>
            <w:tcW w:w="0" w:type="auto"/>
            <w:hideMark/>
          </w:tcPr>
          <w:p w14:paraId="20932717" w14:textId="77777777" w:rsidR="00CD5B68" w:rsidRPr="009A515A" w:rsidRDefault="00CD5B68" w:rsidP="00CD5B68">
            <w:pPr>
              <w:ind w:firstLine="426"/>
              <w:jc w:val="both"/>
              <w:rPr>
                <w:i/>
                <w:iCs/>
                <w:color w:val="000000" w:themeColor="text1"/>
                <w:sz w:val="20"/>
                <w:szCs w:val="20"/>
              </w:rPr>
            </w:pPr>
          </w:p>
        </w:tc>
        <w:tc>
          <w:tcPr>
            <w:tcW w:w="0" w:type="auto"/>
            <w:hideMark/>
          </w:tcPr>
          <w:p w14:paraId="484F73BF" w14:textId="77777777" w:rsidR="00CD5B68" w:rsidRPr="009A515A" w:rsidRDefault="00CD5B68" w:rsidP="007A11EE">
            <w:pPr>
              <w:ind w:firstLine="426"/>
              <w:jc w:val="right"/>
              <w:rPr>
                <w:i/>
                <w:iCs/>
                <w:color w:val="000000" w:themeColor="text1"/>
                <w:sz w:val="20"/>
                <w:szCs w:val="20"/>
              </w:rPr>
            </w:pPr>
          </w:p>
        </w:tc>
        <w:tc>
          <w:tcPr>
            <w:tcW w:w="0" w:type="auto"/>
            <w:hideMark/>
          </w:tcPr>
          <w:p w14:paraId="2B1850C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Metaverse Engagement Frequency</w:t>
            </w:r>
          </w:p>
        </w:tc>
        <w:tc>
          <w:tcPr>
            <w:tcW w:w="0" w:type="auto"/>
            <w:hideMark/>
          </w:tcPr>
          <w:p w14:paraId="5EE00629" w14:textId="77777777" w:rsidR="00CD5B68" w:rsidRPr="009A515A" w:rsidRDefault="00CD5B68" w:rsidP="00CD5B68">
            <w:pPr>
              <w:ind w:firstLine="426"/>
              <w:jc w:val="both"/>
              <w:rPr>
                <w:i/>
                <w:iCs/>
                <w:color w:val="000000" w:themeColor="text1"/>
                <w:sz w:val="20"/>
                <w:szCs w:val="20"/>
              </w:rPr>
            </w:pPr>
          </w:p>
        </w:tc>
        <w:tc>
          <w:tcPr>
            <w:tcW w:w="0" w:type="auto"/>
            <w:hideMark/>
          </w:tcPr>
          <w:p w14:paraId="53593640" w14:textId="77777777" w:rsidR="00CD5B68" w:rsidRPr="009A515A" w:rsidRDefault="00CD5B68" w:rsidP="00CD5B68">
            <w:pPr>
              <w:ind w:firstLine="426"/>
              <w:jc w:val="both"/>
              <w:rPr>
                <w:i/>
                <w:iCs/>
                <w:color w:val="000000" w:themeColor="text1"/>
                <w:sz w:val="20"/>
                <w:szCs w:val="20"/>
              </w:rPr>
            </w:pPr>
          </w:p>
        </w:tc>
      </w:tr>
      <w:tr w:rsidR="007A11EE" w:rsidRPr="009A515A" w14:paraId="6C96F0DF" w14:textId="77777777" w:rsidTr="00C378D1">
        <w:trPr>
          <w:jc w:val="center"/>
        </w:trPr>
        <w:tc>
          <w:tcPr>
            <w:tcW w:w="0" w:type="auto"/>
            <w:hideMark/>
          </w:tcPr>
          <w:p w14:paraId="5E12009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Male</w:t>
            </w:r>
          </w:p>
        </w:tc>
        <w:tc>
          <w:tcPr>
            <w:tcW w:w="0" w:type="auto"/>
            <w:hideMark/>
          </w:tcPr>
          <w:p w14:paraId="73ADC50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143</w:t>
            </w:r>
          </w:p>
        </w:tc>
        <w:tc>
          <w:tcPr>
            <w:tcW w:w="0" w:type="auto"/>
            <w:hideMark/>
          </w:tcPr>
          <w:p w14:paraId="6C6C50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46.00</w:t>
            </w:r>
          </w:p>
        </w:tc>
        <w:tc>
          <w:tcPr>
            <w:tcW w:w="0" w:type="auto"/>
            <w:hideMark/>
          </w:tcPr>
          <w:p w14:paraId="1247A02C" w14:textId="77777777" w:rsidR="00CD5B68" w:rsidRPr="009A515A" w:rsidRDefault="00CD5B68" w:rsidP="007A11EE">
            <w:pPr>
              <w:rPr>
                <w:i/>
                <w:iCs/>
                <w:color w:val="000000" w:themeColor="text1"/>
                <w:sz w:val="20"/>
                <w:szCs w:val="20"/>
              </w:rPr>
            </w:pPr>
            <w:r w:rsidRPr="009A515A">
              <w:rPr>
                <w:i/>
                <w:iCs/>
                <w:color w:val="000000" w:themeColor="text1"/>
                <w:sz w:val="20"/>
                <w:szCs w:val="20"/>
              </w:rPr>
              <w:t>Daily</w:t>
            </w:r>
          </w:p>
        </w:tc>
        <w:tc>
          <w:tcPr>
            <w:tcW w:w="0" w:type="auto"/>
            <w:hideMark/>
          </w:tcPr>
          <w:p w14:paraId="60D87A4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w:t>
            </w:r>
          </w:p>
        </w:tc>
        <w:tc>
          <w:tcPr>
            <w:tcW w:w="0" w:type="auto"/>
            <w:hideMark/>
          </w:tcPr>
          <w:p w14:paraId="6BD885E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16.67</w:t>
            </w:r>
          </w:p>
        </w:tc>
      </w:tr>
      <w:tr w:rsidR="007A11EE" w:rsidRPr="009A515A" w14:paraId="7A49BDB9" w14:textId="77777777" w:rsidTr="00C378D1">
        <w:trPr>
          <w:jc w:val="center"/>
        </w:trPr>
        <w:tc>
          <w:tcPr>
            <w:tcW w:w="0" w:type="auto"/>
            <w:hideMark/>
          </w:tcPr>
          <w:p w14:paraId="75A38D20"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Female</w:t>
            </w:r>
          </w:p>
        </w:tc>
        <w:tc>
          <w:tcPr>
            <w:tcW w:w="0" w:type="auto"/>
            <w:hideMark/>
          </w:tcPr>
          <w:p w14:paraId="1E69F7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169</w:t>
            </w:r>
          </w:p>
        </w:tc>
        <w:tc>
          <w:tcPr>
            <w:tcW w:w="0" w:type="auto"/>
            <w:hideMark/>
          </w:tcPr>
          <w:p w14:paraId="6237228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54.00</w:t>
            </w:r>
          </w:p>
        </w:tc>
        <w:tc>
          <w:tcPr>
            <w:tcW w:w="0" w:type="auto"/>
            <w:hideMark/>
          </w:tcPr>
          <w:p w14:paraId="78359F50" w14:textId="77777777" w:rsidR="00CD5B68" w:rsidRPr="009A515A" w:rsidRDefault="00CD5B68" w:rsidP="007A11EE">
            <w:pPr>
              <w:rPr>
                <w:i/>
                <w:iCs/>
                <w:color w:val="000000" w:themeColor="text1"/>
                <w:sz w:val="20"/>
                <w:szCs w:val="20"/>
              </w:rPr>
            </w:pPr>
            <w:r w:rsidRPr="009A515A">
              <w:rPr>
                <w:i/>
                <w:iCs/>
                <w:color w:val="000000" w:themeColor="text1"/>
                <w:sz w:val="20"/>
                <w:szCs w:val="20"/>
              </w:rPr>
              <w:t>Several times a week</w:t>
            </w:r>
          </w:p>
        </w:tc>
        <w:tc>
          <w:tcPr>
            <w:tcW w:w="0" w:type="auto"/>
            <w:hideMark/>
          </w:tcPr>
          <w:p w14:paraId="3C2DB85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98</w:t>
            </w:r>
          </w:p>
        </w:tc>
        <w:tc>
          <w:tcPr>
            <w:tcW w:w="0" w:type="auto"/>
            <w:hideMark/>
          </w:tcPr>
          <w:p w14:paraId="4105102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31.41</w:t>
            </w:r>
          </w:p>
        </w:tc>
      </w:tr>
      <w:tr w:rsidR="007A11EE" w:rsidRPr="009A515A" w14:paraId="66373BC2" w14:textId="77777777" w:rsidTr="00C378D1">
        <w:trPr>
          <w:jc w:val="center"/>
        </w:trPr>
        <w:tc>
          <w:tcPr>
            <w:tcW w:w="0" w:type="auto"/>
            <w:hideMark/>
          </w:tcPr>
          <w:p w14:paraId="7A005153" w14:textId="77777777" w:rsidR="00CD5B68" w:rsidRPr="009A515A" w:rsidRDefault="00CD5B68" w:rsidP="00CD5B68">
            <w:pPr>
              <w:ind w:firstLine="426"/>
              <w:jc w:val="both"/>
              <w:rPr>
                <w:i/>
                <w:iCs/>
                <w:color w:val="000000" w:themeColor="text1"/>
                <w:sz w:val="20"/>
                <w:szCs w:val="20"/>
              </w:rPr>
            </w:pPr>
          </w:p>
        </w:tc>
        <w:tc>
          <w:tcPr>
            <w:tcW w:w="0" w:type="auto"/>
            <w:hideMark/>
          </w:tcPr>
          <w:p w14:paraId="793CC560" w14:textId="77777777" w:rsidR="00CD5B68" w:rsidRPr="009A515A" w:rsidRDefault="00CD5B68" w:rsidP="007A11EE">
            <w:pPr>
              <w:ind w:firstLine="426"/>
              <w:jc w:val="right"/>
              <w:rPr>
                <w:i/>
                <w:iCs/>
                <w:color w:val="000000" w:themeColor="text1"/>
                <w:sz w:val="20"/>
                <w:szCs w:val="20"/>
              </w:rPr>
            </w:pPr>
          </w:p>
        </w:tc>
        <w:tc>
          <w:tcPr>
            <w:tcW w:w="0" w:type="auto"/>
            <w:hideMark/>
          </w:tcPr>
          <w:p w14:paraId="2B6CE731" w14:textId="77777777" w:rsidR="00CD5B68" w:rsidRPr="009A515A" w:rsidRDefault="00CD5B68" w:rsidP="007A11EE">
            <w:pPr>
              <w:ind w:firstLine="426"/>
              <w:jc w:val="right"/>
              <w:rPr>
                <w:i/>
                <w:iCs/>
                <w:color w:val="000000" w:themeColor="text1"/>
                <w:sz w:val="20"/>
                <w:szCs w:val="20"/>
              </w:rPr>
            </w:pPr>
          </w:p>
        </w:tc>
        <w:tc>
          <w:tcPr>
            <w:tcW w:w="0" w:type="auto"/>
            <w:hideMark/>
          </w:tcPr>
          <w:p w14:paraId="0BEE0B43" w14:textId="77777777" w:rsidR="00CD5B68" w:rsidRPr="009A515A" w:rsidRDefault="00CD5B68" w:rsidP="007A11EE">
            <w:pPr>
              <w:rPr>
                <w:i/>
                <w:iCs/>
                <w:color w:val="000000" w:themeColor="text1"/>
                <w:sz w:val="20"/>
                <w:szCs w:val="20"/>
              </w:rPr>
            </w:pPr>
            <w:r w:rsidRPr="009A515A">
              <w:rPr>
                <w:i/>
                <w:iCs/>
                <w:color w:val="000000" w:themeColor="text1"/>
                <w:sz w:val="20"/>
                <w:szCs w:val="20"/>
              </w:rPr>
              <w:t>Weekly</w:t>
            </w:r>
          </w:p>
        </w:tc>
        <w:tc>
          <w:tcPr>
            <w:tcW w:w="0" w:type="auto"/>
            <w:hideMark/>
          </w:tcPr>
          <w:p w14:paraId="4632AF4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73</w:t>
            </w:r>
          </w:p>
        </w:tc>
        <w:tc>
          <w:tcPr>
            <w:tcW w:w="0" w:type="auto"/>
            <w:hideMark/>
          </w:tcPr>
          <w:p w14:paraId="217A270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23.38</w:t>
            </w:r>
          </w:p>
        </w:tc>
      </w:tr>
      <w:tr w:rsidR="007A11EE" w:rsidRPr="009A515A" w14:paraId="7D540CAD" w14:textId="77777777" w:rsidTr="00C378D1">
        <w:trPr>
          <w:jc w:val="center"/>
        </w:trPr>
        <w:tc>
          <w:tcPr>
            <w:tcW w:w="0" w:type="auto"/>
            <w:hideMark/>
          </w:tcPr>
          <w:p w14:paraId="6FFC7EFB"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Age (Years)</w:t>
            </w:r>
          </w:p>
        </w:tc>
        <w:tc>
          <w:tcPr>
            <w:tcW w:w="0" w:type="auto"/>
            <w:hideMark/>
          </w:tcPr>
          <w:p w14:paraId="44A0468A" w14:textId="77777777" w:rsidR="00CD5B68" w:rsidRPr="009A515A" w:rsidRDefault="00CD5B68" w:rsidP="007A11EE">
            <w:pPr>
              <w:ind w:firstLine="426"/>
              <w:jc w:val="right"/>
              <w:rPr>
                <w:i/>
                <w:iCs/>
                <w:color w:val="000000" w:themeColor="text1"/>
                <w:sz w:val="20"/>
                <w:szCs w:val="20"/>
              </w:rPr>
            </w:pPr>
          </w:p>
        </w:tc>
        <w:tc>
          <w:tcPr>
            <w:tcW w:w="0" w:type="auto"/>
            <w:hideMark/>
          </w:tcPr>
          <w:p w14:paraId="53BEF06D" w14:textId="77777777" w:rsidR="00CD5B68" w:rsidRPr="009A515A" w:rsidRDefault="00CD5B68" w:rsidP="007A11EE">
            <w:pPr>
              <w:ind w:firstLine="426"/>
              <w:jc w:val="right"/>
              <w:rPr>
                <w:i/>
                <w:iCs/>
                <w:color w:val="000000" w:themeColor="text1"/>
                <w:sz w:val="20"/>
                <w:szCs w:val="20"/>
              </w:rPr>
            </w:pPr>
          </w:p>
        </w:tc>
        <w:tc>
          <w:tcPr>
            <w:tcW w:w="0" w:type="auto"/>
            <w:hideMark/>
          </w:tcPr>
          <w:p w14:paraId="5F1A6CB3" w14:textId="77777777" w:rsidR="00CD5B68" w:rsidRPr="009A515A" w:rsidRDefault="00CD5B68" w:rsidP="007A11EE">
            <w:pPr>
              <w:rPr>
                <w:i/>
                <w:iCs/>
                <w:color w:val="000000" w:themeColor="text1"/>
                <w:sz w:val="20"/>
                <w:szCs w:val="20"/>
              </w:rPr>
            </w:pPr>
            <w:r w:rsidRPr="009A515A">
              <w:rPr>
                <w:i/>
                <w:iCs/>
                <w:color w:val="000000" w:themeColor="text1"/>
                <w:sz w:val="20"/>
                <w:szCs w:val="20"/>
              </w:rPr>
              <w:t>Monthly</w:t>
            </w:r>
          </w:p>
        </w:tc>
        <w:tc>
          <w:tcPr>
            <w:tcW w:w="0" w:type="auto"/>
            <w:hideMark/>
          </w:tcPr>
          <w:p w14:paraId="13C8E6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w:t>
            </w:r>
          </w:p>
        </w:tc>
        <w:tc>
          <w:tcPr>
            <w:tcW w:w="0" w:type="auto"/>
            <w:hideMark/>
          </w:tcPr>
          <w:p w14:paraId="1D3E627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17.31</w:t>
            </w:r>
          </w:p>
        </w:tc>
      </w:tr>
      <w:tr w:rsidR="007A11EE" w:rsidRPr="009A515A" w14:paraId="3C0C49DD" w14:textId="77777777" w:rsidTr="00C378D1">
        <w:trPr>
          <w:jc w:val="center"/>
        </w:trPr>
        <w:tc>
          <w:tcPr>
            <w:tcW w:w="0" w:type="auto"/>
            <w:hideMark/>
          </w:tcPr>
          <w:p w14:paraId="1C773173"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18–22</w:t>
            </w:r>
          </w:p>
        </w:tc>
        <w:tc>
          <w:tcPr>
            <w:tcW w:w="0" w:type="auto"/>
            <w:hideMark/>
          </w:tcPr>
          <w:p w14:paraId="23B0D22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64</w:t>
            </w:r>
          </w:p>
        </w:tc>
        <w:tc>
          <w:tcPr>
            <w:tcW w:w="0" w:type="auto"/>
            <w:hideMark/>
          </w:tcPr>
          <w:p w14:paraId="517A358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20.51</w:t>
            </w:r>
          </w:p>
        </w:tc>
        <w:tc>
          <w:tcPr>
            <w:tcW w:w="0" w:type="auto"/>
            <w:hideMark/>
          </w:tcPr>
          <w:p w14:paraId="586420FB" w14:textId="77777777" w:rsidR="00CD5B68" w:rsidRPr="009A515A" w:rsidRDefault="00CD5B68" w:rsidP="007A11EE">
            <w:pPr>
              <w:rPr>
                <w:i/>
                <w:iCs/>
                <w:color w:val="000000" w:themeColor="text1"/>
                <w:sz w:val="20"/>
                <w:szCs w:val="20"/>
              </w:rPr>
            </w:pPr>
            <w:r w:rsidRPr="009A515A">
              <w:rPr>
                <w:i/>
                <w:iCs/>
                <w:color w:val="000000" w:themeColor="text1"/>
                <w:sz w:val="20"/>
                <w:szCs w:val="20"/>
              </w:rPr>
              <w:t>Rarely</w:t>
            </w:r>
          </w:p>
        </w:tc>
        <w:tc>
          <w:tcPr>
            <w:tcW w:w="0" w:type="auto"/>
            <w:hideMark/>
          </w:tcPr>
          <w:p w14:paraId="14522C1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35</w:t>
            </w:r>
          </w:p>
        </w:tc>
        <w:tc>
          <w:tcPr>
            <w:tcW w:w="0" w:type="auto"/>
            <w:hideMark/>
          </w:tcPr>
          <w:p w14:paraId="2F71CE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11.21</w:t>
            </w:r>
          </w:p>
        </w:tc>
      </w:tr>
      <w:tr w:rsidR="007A11EE" w:rsidRPr="009A515A" w14:paraId="4F30E466" w14:textId="77777777" w:rsidTr="00C378D1">
        <w:trPr>
          <w:jc w:val="center"/>
        </w:trPr>
        <w:tc>
          <w:tcPr>
            <w:tcW w:w="0" w:type="auto"/>
            <w:hideMark/>
          </w:tcPr>
          <w:p w14:paraId="3E7A67B2"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23–28</w:t>
            </w:r>
          </w:p>
        </w:tc>
        <w:tc>
          <w:tcPr>
            <w:tcW w:w="0" w:type="auto"/>
            <w:hideMark/>
          </w:tcPr>
          <w:p w14:paraId="78E8EB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1A971E4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24.04</w:t>
            </w:r>
          </w:p>
        </w:tc>
        <w:tc>
          <w:tcPr>
            <w:tcW w:w="0" w:type="auto"/>
            <w:hideMark/>
          </w:tcPr>
          <w:p w14:paraId="3271134F" w14:textId="77777777" w:rsidR="00CD5B68" w:rsidRPr="009A515A" w:rsidRDefault="00CD5B68" w:rsidP="007A11EE">
            <w:pPr>
              <w:ind w:firstLine="426"/>
              <w:rPr>
                <w:i/>
                <w:iCs/>
                <w:color w:val="000000" w:themeColor="text1"/>
                <w:sz w:val="20"/>
                <w:szCs w:val="20"/>
              </w:rPr>
            </w:pPr>
          </w:p>
        </w:tc>
        <w:tc>
          <w:tcPr>
            <w:tcW w:w="0" w:type="auto"/>
            <w:hideMark/>
          </w:tcPr>
          <w:p w14:paraId="36FE9A29" w14:textId="77777777" w:rsidR="00CD5B68" w:rsidRPr="009A515A" w:rsidRDefault="00CD5B68" w:rsidP="007A11EE">
            <w:pPr>
              <w:ind w:firstLine="426"/>
              <w:jc w:val="right"/>
              <w:rPr>
                <w:i/>
                <w:iCs/>
                <w:color w:val="000000" w:themeColor="text1"/>
                <w:sz w:val="20"/>
                <w:szCs w:val="20"/>
              </w:rPr>
            </w:pPr>
          </w:p>
        </w:tc>
        <w:tc>
          <w:tcPr>
            <w:tcW w:w="0" w:type="auto"/>
            <w:hideMark/>
          </w:tcPr>
          <w:p w14:paraId="606CF647" w14:textId="77777777" w:rsidR="00CD5B68" w:rsidRPr="009A515A" w:rsidRDefault="00CD5B68" w:rsidP="007A11EE">
            <w:pPr>
              <w:ind w:firstLine="426"/>
              <w:jc w:val="right"/>
              <w:rPr>
                <w:i/>
                <w:iCs/>
                <w:color w:val="000000" w:themeColor="text1"/>
                <w:sz w:val="20"/>
                <w:szCs w:val="20"/>
              </w:rPr>
            </w:pPr>
          </w:p>
        </w:tc>
      </w:tr>
      <w:tr w:rsidR="007A11EE" w:rsidRPr="009A515A" w14:paraId="7DE61791" w14:textId="77777777" w:rsidTr="00C378D1">
        <w:trPr>
          <w:jc w:val="center"/>
        </w:trPr>
        <w:tc>
          <w:tcPr>
            <w:tcW w:w="0" w:type="auto"/>
            <w:hideMark/>
          </w:tcPr>
          <w:p w14:paraId="21B6F865"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29–34</w:t>
            </w:r>
          </w:p>
        </w:tc>
        <w:tc>
          <w:tcPr>
            <w:tcW w:w="0" w:type="auto"/>
            <w:hideMark/>
          </w:tcPr>
          <w:p w14:paraId="0363FE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60</w:t>
            </w:r>
          </w:p>
        </w:tc>
        <w:tc>
          <w:tcPr>
            <w:tcW w:w="0" w:type="auto"/>
            <w:hideMark/>
          </w:tcPr>
          <w:p w14:paraId="2E1EBD7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19.23</w:t>
            </w:r>
          </w:p>
        </w:tc>
        <w:tc>
          <w:tcPr>
            <w:tcW w:w="0" w:type="auto"/>
            <w:hideMark/>
          </w:tcPr>
          <w:p w14:paraId="6C583A20"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NFT Interaction</w:t>
            </w:r>
          </w:p>
        </w:tc>
        <w:tc>
          <w:tcPr>
            <w:tcW w:w="0" w:type="auto"/>
            <w:hideMark/>
          </w:tcPr>
          <w:p w14:paraId="0FBAD60A" w14:textId="77777777" w:rsidR="00CD5B68" w:rsidRPr="009A515A" w:rsidRDefault="00CD5B68" w:rsidP="007A11EE">
            <w:pPr>
              <w:ind w:firstLine="426"/>
              <w:jc w:val="right"/>
              <w:rPr>
                <w:i/>
                <w:iCs/>
                <w:color w:val="000000" w:themeColor="text1"/>
                <w:sz w:val="20"/>
                <w:szCs w:val="20"/>
              </w:rPr>
            </w:pPr>
          </w:p>
        </w:tc>
        <w:tc>
          <w:tcPr>
            <w:tcW w:w="0" w:type="auto"/>
            <w:hideMark/>
          </w:tcPr>
          <w:p w14:paraId="0DB1ED37" w14:textId="77777777" w:rsidR="00CD5B68" w:rsidRPr="009A515A" w:rsidRDefault="00CD5B68" w:rsidP="007A11EE">
            <w:pPr>
              <w:ind w:firstLine="426"/>
              <w:jc w:val="right"/>
              <w:rPr>
                <w:i/>
                <w:iCs/>
                <w:color w:val="000000" w:themeColor="text1"/>
                <w:sz w:val="20"/>
                <w:szCs w:val="20"/>
              </w:rPr>
            </w:pPr>
          </w:p>
        </w:tc>
      </w:tr>
      <w:tr w:rsidR="007A11EE" w:rsidRPr="009A515A" w14:paraId="4493C406" w14:textId="77777777" w:rsidTr="00C378D1">
        <w:trPr>
          <w:jc w:val="center"/>
        </w:trPr>
        <w:tc>
          <w:tcPr>
            <w:tcW w:w="0" w:type="auto"/>
            <w:hideMark/>
          </w:tcPr>
          <w:p w14:paraId="7F23058A"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35–41</w:t>
            </w:r>
          </w:p>
        </w:tc>
        <w:tc>
          <w:tcPr>
            <w:tcW w:w="0" w:type="auto"/>
            <w:hideMark/>
          </w:tcPr>
          <w:p w14:paraId="7D9886A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5F738B50"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18.27</w:t>
            </w:r>
          </w:p>
        </w:tc>
        <w:tc>
          <w:tcPr>
            <w:tcW w:w="0" w:type="auto"/>
            <w:hideMark/>
          </w:tcPr>
          <w:p w14:paraId="6EB46EA0"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1B04E5E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141</w:t>
            </w:r>
          </w:p>
        </w:tc>
        <w:tc>
          <w:tcPr>
            <w:tcW w:w="0" w:type="auto"/>
            <w:hideMark/>
          </w:tcPr>
          <w:p w14:paraId="25F50A2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45.19</w:t>
            </w:r>
          </w:p>
        </w:tc>
      </w:tr>
      <w:tr w:rsidR="007A11EE" w:rsidRPr="009A515A" w14:paraId="1C7D879D" w14:textId="77777777" w:rsidTr="00C378D1">
        <w:trPr>
          <w:jc w:val="center"/>
        </w:trPr>
        <w:tc>
          <w:tcPr>
            <w:tcW w:w="0" w:type="auto"/>
            <w:hideMark/>
          </w:tcPr>
          <w:p w14:paraId="73D4010E"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42–45</w:t>
            </w:r>
          </w:p>
        </w:tc>
        <w:tc>
          <w:tcPr>
            <w:tcW w:w="0" w:type="auto"/>
            <w:hideMark/>
          </w:tcPr>
          <w:p w14:paraId="27395EF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56</w:t>
            </w:r>
          </w:p>
        </w:tc>
        <w:tc>
          <w:tcPr>
            <w:tcW w:w="0" w:type="auto"/>
            <w:hideMark/>
          </w:tcPr>
          <w:p w14:paraId="5EFDCEC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17.95</w:t>
            </w:r>
          </w:p>
        </w:tc>
        <w:tc>
          <w:tcPr>
            <w:tcW w:w="0" w:type="auto"/>
            <w:hideMark/>
          </w:tcPr>
          <w:p w14:paraId="49F26AFB"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73FEEB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171</w:t>
            </w:r>
          </w:p>
        </w:tc>
        <w:tc>
          <w:tcPr>
            <w:tcW w:w="0" w:type="auto"/>
            <w:hideMark/>
          </w:tcPr>
          <w:p w14:paraId="15B0035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54.81</w:t>
            </w:r>
          </w:p>
        </w:tc>
      </w:tr>
      <w:tr w:rsidR="007A11EE" w:rsidRPr="009A515A" w14:paraId="23D681E3" w14:textId="77777777" w:rsidTr="00C378D1">
        <w:trPr>
          <w:jc w:val="center"/>
        </w:trPr>
        <w:tc>
          <w:tcPr>
            <w:tcW w:w="0" w:type="auto"/>
            <w:hideMark/>
          </w:tcPr>
          <w:p w14:paraId="16C84570"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Marital Status</w:t>
            </w:r>
          </w:p>
        </w:tc>
        <w:tc>
          <w:tcPr>
            <w:tcW w:w="0" w:type="auto"/>
            <w:hideMark/>
          </w:tcPr>
          <w:p w14:paraId="1C1CA465" w14:textId="77777777" w:rsidR="00CD5B68" w:rsidRPr="009A515A" w:rsidRDefault="00CD5B68" w:rsidP="007A11EE">
            <w:pPr>
              <w:ind w:firstLine="426"/>
              <w:jc w:val="right"/>
              <w:rPr>
                <w:i/>
                <w:iCs/>
                <w:color w:val="000000" w:themeColor="text1"/>
                <w:sz w:val="20"/>
                <w:szCs w:val="20"/>
              </w:rPr>
            </w:pPr>
          </w:p>
        </w:tc>
        <w:tc>
          <w:tcPr>
            <w:tcW w:w="0" w:type="auto"/>
            <w:hideMark/>
          </w:tcPr>
          <w:p w14:paraId="11DB6DD7" w14:textId="77777777" w:rsidR="00CD5B68" w:rsidRPr="009A515A" w:rsidRDefault="00CD5B68" w:rsidP="007A11EE">
            <w:pPr>
              <w:ind w:firstLine="426"/>
              <w:jc w:val="right"/>
              <w:rPr>
                <w:i/>
                <w:iCs/>
                <w:color w:val="000000" w:themeColor="text1"/>
                <w:sz w:val="20"/>
                <w:szCs w:val="20"/>
              </w:rPr>
            </w:pPr>
          </w:p>
        </w:tc>
        <w:tc>
          <w:tcPr>
            <w:tcW w:w="0" w:type="auto"/>
            <w:hideMark/>
          </w:tcPr>
          <w:p w14:paraId="2A119EF5"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Virtual Event Participation</w:t>
            </w:r>
          </w:p>
        </w:tc>
        <w:tc>
          <w:tcPr>
            <w:tcW w:w="0" w:type="auto"/>
            <w:hideMark/>
          </w:tcPr>
          <w:p w14:paraId="010BEC48" w14:textId="77777777" w:rsidR="00CD5B68" w:rsidRPr="009A515A" w:rsidRDefault="00CD5B68" w:rsidP="007A11EE">
            <w:pPr>
              <w:ind w:firstLine="426"/>
              <w:jc w:val="right"/>
              <w:rPr>
                <w:i/>
                <w:iCs/>
                <w:color w:val="000000" w:themeColor="text1"/>
                <w:sz w:val="20"/>
                <w:szCs w:val="20"/>
              </w:rPr>
            </w:pPr>
          </w:p>
        </w:tc>
        <w:tc>
          <w:tcPr>
            <w:tcW w:w="0" w:type="auto"/>
            <w:hideMark/>
          </w:tcPr>
          <w:p w14:paraId="41744060" w14:textId="77777777" w:rsidR="00CD5B68" w:rsidRPr="009A515A" w:rsidRDefault="00CD5B68" w:rsidP="007A11EE">
            <w:pPr>
              <w:ind w:firstLine="426"/>
              <w:jc w:val="right"/>
              <w:rPr>
                <w:i/>
                <w:iCs/>
                <w:color w:val="000000" w:themeColor="text1"/>
                <w:sz w:val="20"/>
                <w:szCs w:val="20"/>
              </w:rPr>
            </w:pPr>
          </w:p>
        </w:tc>
      </w:tr>
      <w:tr w:rsidR="007A11EE" w:rsidRPr="009A515A" w14:paraId="76C62C1C" w14:textId="77777777" w:rsidTr="00C378D1">
        <w:trPr>
          <w:jc w:val="center"/>
        </w:trPr>
        <w:tc>
          <w:tcPr>
            <w:tcW w:w="0" w:type="auto"/>
            <w:hideMark/>
          </w:tcPr>
          <w:p w14:paraId="7741ACB1"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Single</w:t>
            </w:r>
          </w:p>
        </w:tc>
        <w:tc>
          <w:tcPr>
            <w:tcW w:w="0" w:type="auto"/>
            <w:hideMark/>
          </w:tcPr>
          <w:p w14:paraId="2D8AEA3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107</w:t>
            </w:r>
          </w:p>
        </w:tc>
        <w:tc>
          <w:tcPr>
            <w:tcW w:w="0" w:type="auto"/>
            <w:hideMark/>
          </w:tcPr>
          <w:p w14:paraId="45488A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34.29</w:t>
            </w:r>
          </w:p>
        </w:tc>
        <w:tc>
          <w:tcPr>
            <w:tcW w:w="0" w:type="auto"/>
            <w:hideMark/>
          </w:tcPr>
          <w:p w14:paraId="0AF69C75"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31DCF85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129</w:t>
            </w:r>
          </w:p>
        </w:tc>
        <w:tc>
          <w:tcPr>
            <w:tcW w:w="0" w:type="auto"/>
            <w:hideMark/>
          </w:tcPr>
          <w:p w14:paraId="052EFDA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41.35</w:t>
            </w:r>
          </w:p>
        </w:tc>
      </w:tr>
      <w:tr w:rsidR="007A11EE" w:rsidRPr="009A515A" w14:paraId="10EDC1E1" w14:textId="77777777" w:rsidTr="00C378D1">
        <w:trPr>
          <w:jc w:val="center"/>
        </w:trPr>
        <w:tc>
          <w:tcPr>
            <w:tcW w:w="0" w:type="auto"/>
            <w:hideMark/>
          </w:tcPr>
          <w:p w14:paraId="2B9727B5"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w:t>
            </w:r>
            <w:r w:rsidR="007A11EE" w:rsidRPr="009A515A">
              <w:rPr>
                <w:i/>
                <w:iCs/>
                <w:color w:val="000000" w:themeColor="text1"/>
                <w:sz w:val="20"/>
                <w:szCs w:val="20"/>
              </w:rPr>
              <w:t xml:space="preserve"> </w:t>
            </w:r>
            <w:r w:rsidRPr="009A515A">
              <w:rPr>
                <w:i/>
                <w:iCs/>
                <w:color w:val="000000" w:themeColor="text1"/>
                <w:sz w:val="20"/>
                <w:szCs w:val="20"/>
              </w:rPr>
              <w:t>children</w:t>
            </w:r>
          </w:p>
        </w:tc>
        <w:tc>
          <w:tcPr>
            <w:tcW w:w="0" w:type="auto"/>
            <w:hideMark/>
          </w:tcPr>
          <w:p w14:paraId="60DB160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84</w:t>
            </w:r>
          </w:p>
        </w:tc>
        <w:tc>
          <w:tcPr>
            <w:tcW w:w="0" w:type="auto"/>
            <w:hideMark/>
          </w:tcPr>
          <w:p w14:paraId="4FEA05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26.93</w:t>
            </w:r>
          </w:p>
        </w:tc>
        <w:tc>
          <w:tcPr>
            <w:tcW w:w="0" w:type="auto"/>
            <w:hideMark/>
          </w:tcPr>
          <w:p w14:paraId="5FF4416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387EEB3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183</w:t>
            </w:r>
          </w:p>
        </w:tc>
        <w:tc>
          <w:tcPr>
            <w:tcW w:w="0" w:type="auto"/>
            <w:hideMark/>
          </w:tcPr>
          <w:p w14:paraId="78132134"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58.65</w:t>
            </w:r>
          </w:p>
        </w:tc>
      </w:tr>
      <w:tr w:rsidR="007A11EE" w:rsidRPr="009A515A" w14:paraId="2C1BEEC2" w14:textId="77777777" w:rsidTr="00C378D1">
        <w:trPr>
          <w:jc w:val="center"/>
        </w:trPr>
        <w:tc>
          <w:tcPr>
            <w:tcW w:w="0" w:type="auto"/>
            <w:hideMark/>
          </w:tcPr>
          <w:p w14:paraId="0C337D21"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without children</w:t>
            </w:r>
          </w:p>
        </w:tc>
        <w:tc>
          <w:tcPr>
            <w:tcW w:w="0" w:type="auto"/>
            <w:hideMark/>
          </w:tcPr>
          <w:p w14:paraId="2E540AC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121</w:t>
            </w:r>
          </w:p>
        </w:tc>
        <w:tc>
          <w:tcPr>
            <w:tcW w:w="0" w:type="auto"/>
            <w:hideMark/>
          </w:tcPr>
          <w:p w14:paraId="692EE33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38.78</w:t>
            </w:r>
          </w:p>
        </w:tc>
        <w:tc>
          <w:tcPr>
            <w:tcW w:w="0" w:type="auto"/>
            <w:hideMark/>
          </w:tcPr>
          <w:p w14:paraId="46D07EAA"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Social Interaction/Content Creation</w:t>
            </w:r>
          </w:p>
        </w:tc>
        <w:tc>
          <w:tcPr>
            <w:tcW w:w="0" w:type="auto"/>
            <w:hideMark/>
          </w:tcPr>
          <w:p w14:paraId="479821FD" w14:textId="77777777" w:rsidR="00CD5B68" w:rsidRPr="009A515A" w:rsidRDefault="00CD5B68" w:rsidP="007A11EE">
            <w:pPr>
              <w:ind w:firstLine="426"/>
              <w:jc w:val="right"/>
              <w:rPr>
                <w:i/>
                <w:iCs/>
                <w:color w:val="000000" w:themeColor="text1"/>
                <w:sz w:val="20"/>
                <w:szCs w:val="20"/>
              </w:rPr>
            </w:pPr>
          </w:p>
        </w:tc>
        <w:tc>
          <w:tcPr>
            <w:tcW w:w="0" w:type="auto"/>
            <w:hideMark/>
          </w:tcPr>
          <w:p w14:paraId="325CC5C5" w14:textId="77777777" w:rsidR="00CD5B68" w:rsidRPr="009A515A" w:rsidRDefault="00CD5B68" w:rsidP="007A11EE">
            <w:pPr>
              <w:ind w:firstLine="426"/>
              <w:jc w:val="right"/>
              <w:rPr>
                <w:i/>
                <w:iCs/>
                <w:color w:val="000000" w:themeColor="text1"/>
                <w:sz w:val="20"/>
                <w:szCs w:val="20"/>
              </w:rPr>
            </w:pPr>
          </w:p>
        </w:tc>
      </w:tr>
      <w:tr w:rsidR="007A11EE" w:rsidRPr="009A515A" w14:paraId="001221A2" w14:textId="77777777" w:rsidTr="00C378D1">
        <w:trPr>
          <w:jc w:val="center"/>
        </w:trPr>
        <w:tc>
          <w:tcPr>
            <w:tcW w:w="0" w:type="auto"/>
            <w:hideMark/>
          </w:tcPr>
          <w:p w14:paraId="46A35A4C" w14:textId="77777777" w:rsidR="00CD5B68" w:rsidRPr="009A515A" w:rsidRDefault="00CD5B68" w:rsidP="00CD5B68">
            <w:pPr>
              <w:ind w:firstLine="426"/>
              <w:jc w:val="both"/>
              <w:rPr>
                <w:i/>
                <w:iCs/>
                <w:color w:val="000000" w:themeColor="text1"/>
                <w:sz w:val="20"/>
                <w:szCs w:val="20"/>
              </w:rPr>
            </w:pPr>
          </w:p>
        </w:tc>
        <w:tc>
          <w:tcPr>
            <w:tcW w:w="0" w:type="auto"/>
            <w:hideMark/>
          </w:tcPr>
          <w:p w14:paraId="03CBFCF1" w14:textId="77777777" w:rsidR="00CD5B68" w:rsidRPr="009A515A" w:rsidRDefault="00CD5B68" w:rsidP="007A11EE">
            <w:pPr>
              <w:ind w:firstLine="426"/>
              <w:jc w:val="right"/>
              <w:rPr>
                <w:i/>
                <w:iCs/>
                <w:color w:val="000000" w:themeColor="text1"/>
                <w:sz w:val="20"/>
                <w:szCs w:val="20"/>
              </w:rPr>
            </w:pPr>
          </w:p>
        </w:tc>
        <w:tc>
          <w:tcPr>
            <w:tcW w:w="0" w:type="auto"/>
            <w:hideMark/>
          </w:tcPr>
          <w:p w14:paraId="43B3492C" w14:textId="77777777" w:rsidR="00CD5B68" w:rsidRPr="009A515A" w:rsidRDefault="00CD5B68" w:rsidP="007A11EE">
            <w:pPr>
              <w:ind w:firstLine="426"/>
              <w:jc w:val="right"/>
              <w:rPr>
                <w:i/>
                <w:iCs/>
                <w:color w:val="000000" w:themeColor="text1"/>
                <w:sz w:val="20"/>
                <w:szCs w:val="20"/>
              </w:rPr>
            </w:pPr>
          </w:p>
        </w:tc>
        <w:tc>
          <w:tcPr>
            <w:tcW w:w="0" w:type="auto"/>
            <w:hideMark/>
          </w:tcPr>
          <w:p w14:paraId="500AE97C"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4DAC255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164</w:t>
            </w:r>
          </w:p>
        </w:tc>
        <w:tc>
          <w:tcPr>
            <w:tcW w:w="0" w:type="auto"/>
            <w:hideMark/>
          </w:tcPr>
          <w:p w14:paraId="60217F0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52.56</w:t>
            </w:r>
          </w:p>
        </w:tc>
      </w:tr>
      <w:tr w:rsidR="007A11EE" w:rsidRPr="009A515A" w14:paraId="705A0A71" w14:textId="77777777" w:rsidTr="00C378D1">
        <w:trPr>
          <w:jc w:val="center"/>
        </w:trPr>
        <w:tc>
          <w:tcPr>
            <w:tcW w:w="0" w:type="auto"/>
            <w:hideMark/>
          </w:tcPr>
          <w:p w14:paraId="52A0F647"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Occupation</w:t>
            </w:r>
          </w:p>
        </w:tc>
        <w:tc>
          <w:tcPr>
            <w:tcW w:w="0" w:type="auto"/>
            <w:hideMark/>
          </w:tcPr>
          <w:p w14:paraId="0414E501" w14:textId="77777777" w:rsidR="00CD5B68" w:rsidRPr="009A515A" w:rsidRDefault="00CD5B68" w:rsidP="007A11EE">
            <w:pPr>
              <w:ind w:firstLine="426"/>
              <w:jc w:val="right"/>
              <w:rPr>
                <w:i/>
                <w:iCs/>
                <w:color w:val="000000" w:themeColor="text1"/>
                <w:sz w:val="20"/>
                <w:szCs w:val="20"/>
              </w:rPr>
            </w:pPr>
          </w:p>
        </w:tc>
        <w:tc>
          <w:tcPr>
            <w:tcW w:w="0" w:type="auto"/>
            <w:hideMark/>
          </w:tcPr>
          <w:p w14:paraId="30A204FF" w14:textId="77777777" w:rsidR="00CD5B68" w:rsidRPr="009A515A" w:rsidRDefault="00CD5B68" w:rsidP="007A11EE">
            <w:pPr>
              <w:ind w:firstLine="426"/>
              <w:jc w:val="right"/>
              <w:rPr>
                <w:i/>
                <w:iCs/>
                <w:color w:val="000000" w:themeColor="text1"/>
                <w:sz w:val="20"/>
                <w:szCs w:val="20"/>
              </w:rPr>
            </w:pPr>
          </w:p>
        </w:tc>
        <w:tc>
          <w:tcPr>
            <w:tcW w:w="0" w:type="auto"/>
            <w:hideMark/>
          </w:tcPr>
          <w:p w14:paraId="52A675D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5704873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148</w:t>
            </w:r>
          </w:p>
        </w:tc>
        <w:tc>
          <w:tcPr>
            <w:tcW w:w="0" w:type="auto"/>
            <w:hideMark/>
          </w:tcPr>
          <w:p w14:paraId="63C3F9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47.44</w:t>
            </w:r>
          </w:p>
        </w:tc>
      </w:tr>
      <w:tr w:rsidR="007A11EE" w:rsidRPr="009A515A" w14:paraId="5502A2AD" w14:textId="77777777" w:rsidTr="00C378D1">
        <w:trPr>
          <w:jc w:val="center"/>
        </w:trPr>
        <w:tc>
          <w:tcPr>
            <w:tcW w:w="0" w:type="auto"/>
            <w:hideMark/>
          </w:tcPr>
          <w:p w14:paraId="494F7F58"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Students</w:t>
            </w:r>
          </w:p>
        </w:tc>
        <w:tc>
          <w:tcPr>
            <w:tcW w:w="0" w:type="auto"/>
            <w:hideMark/>
          </w:tcPr>
          <w:p w14:paraId="09D53B3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88</w:t>
            </w:r>
          </w:p>
        </w:tc>
        <w:tc>
          <w:tcPr>
            <w:tcW w:w="0" w:type="auto"/>
            <w:hideMark/>
          </w:tcPr>
          <w:p w14:paraId="544CBA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28.21</w:t>
            </w:r>
          </w:p>
        </w:tc>
        <w:tc>
          <w:tcPr>
            <w:tcW w:w="0" w:type="auto"/>
            <w:hideMark/>
          </w:tcPr>
          <w:p w14:paraId="1E89F96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Monthly Family Income</w:t>
            </w:r>
          </w:p>
        </w:tc>
        <w:tc>
          <w:tcPr>
            <w:tcW w:w="0" w:type="auto"/>
            <w:hideMark/>
          </w:tcPr>
          <w:p w14:paraId="2E31FA93" w14:textId="77777777" w:rsidR="00CD5B68" w:rsidRPr="009A515A" w:rsidRDefault="00CD5B68" w:rsidP="007A11EE">
            <w:pPr>
              <w:ind w:firstLine="426"/>
              <w:jc w:val="right"/>
              <w:rPr>
                <w:i/>
                <w:iCs/>
                <w:color w:val="000000" w:themeColor="text1"/>
                <w:sz w:val="20"/>
                <w:szCs w:val="20"/>
              </w:rPr>
            </w:pPr>
          </w:p>
        </w:tc>
        <w:tc>
          <w:tcPr>
            <w:tcW w:w="0" w:type="auto"/>
            <w:hideMark/>
          </w:tcPr>
          <w:p w14:paraId="4E66B38A" w14:textId="77777777" w:rsidR="00CD5B68" w:rsidRPr="009A515A" w:rsidRDefault="00CD5B68" w:rsidP="007A11EE">
            <w:pPr>
              <w:ind w:firstLine="426"/>
              <w:jc w:val="right"/>
              <w:rPr>
                <w:i/>
                <w:iCs/>
                <w:color w:val="000000" w:themeColor="text1"/>
                <w:sz w:val="20"/>
                <w:szCs w:val="20"/>
              </w:rPr>
            </w:pPr>
          </w:p>
        </w:tc>
      </w:tr>
      <w:tr w:rsidR="007A11EE" w:rsidRPr="009A515A" w14:paraId="17DF659C" w14:textId="77777777" w:rsidTr="00C378D1">
        <w:trPr>
          <w:jc w:val="center"/>
        </w:trPr>
        <w:tc>
          <w:tcPr>
            <w:tcW w:w="0" w:type="auto"/>
            <w:hideMark/>
          </w:tcPr>
          <w:p w14:paraId="6127B61D"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Job</w:t>
            </w:r>
          </w:p>
        </w:tc>
        <w:tc>
          <w:tcPr>
            <w:tcW w:w="0" w:type="auto"/>
            <w:hideMark/>
          </w:tcPr>
          <w:p w14:paraId="4B826C9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102</w:t>
            </w:r>
          </w:p>
        </w:tc>
        <w:tc>
          <w:tcPr>
            <w:tcW w:w="0" w:type="auto"/>
            <w:hideMark/>
          </w:tcPr>
          <w:p w14:paraId="658DF3C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32.69</w:t>
            </w:r>
          </w:p>
        </w:tc>
        <w:tc>
          <w:tcPr>
            <w:tcW w:w="0" w:type="auto"/>
            <w:hideMark/>
          </w:tcPr>
          <w:p w14:paraId="11CE7908"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30,000 or less</w:t>
            </w:r>
          </w:p>
        </w:tc>
        <w:tc>
          <w:tcPr>
            <w:tcW w:w="0" w:type="auto"/>
            <w:hideMark/>
          </w:tcPr>
          <w:p w14:paraId="3905E9E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32EBB72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18.40</w:t>
            </w:r>
          </w:p>
        </w:tc>
      </w:tr>
      <w:tr w:rsidR="007A11EE" w:rsidRPr="009A515A" w14:paraId="7C246F1F" w14:textId="77777777" w:rsidTr="00C378D1">
        <w:trPr>
          <w:jc w:val="center"/>
        </w:trPr>
        <w:tc>
          <w:tcPr>
            <w:tcW w:w="0" w:type="auto"/>
            <w:hideMark/>
          </w:tcPr>
          <w:p w14:paraId="7049DBD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Business</w:t>
            </w:r>
          </w:p>
        </w:tc>
        <w:tc>
          <w:tcPr>
            <w:tcW w:w="0" w:type="auto"/>
            <w:hideMark/>
          </w:tcPr>
          <w:p w14:paraId="5C840D4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122</w:t>
            </w:r>
          </w:p>
        </w:tc>
        <w:tc>
          <w:tcPr>
            <w:tcW w:w="0" w:type="auto"/>
            <w:hideMark/>
          </w:tcPr>
          <w:p w14:paraId="50FEBAA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39.10</w:t>
            </w:r>
          </w:p>
        </w:tc>
        <w:tc>
          <w:tcPr>
            <w:tcW w:w="0" w:type="auto"/>
            <w:hideMark/>
          </w:tcPr>
          <w:p w14:paraId="574B92A6"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30,001–50,000</w:t>
            </w:r>
          </w:p>
        </w:tc>
        <w:tc>
          <w:tcPr>
            <w:tcW w:w="0" w:type="auto"/>
            <w:hideMark/>
          </w:tcPr>
          <w:p w14:paraId="0945DF6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80</w:t>
            </w:r>
          </w:p>
        </w:tc>
        <w:tc>
          <w:tcPr>
            <w:tcW w:w="0" w:type="auto"/>
            <w:hideMark/>
          </w:tcPr>
          <w:p w14:paraId="5898E2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25.64</w:t>
            </w:r>
          </w:p>
        </w:tc>
      </w:tr>
      <w:tr w:rsidR="007A11EE" w:rsidRPr="009A515A" w14:paraId="6482CFCA" w14:textId="77777777" w:rsidTr="00C378D1">
        <w:trPr>
          <w:jc w:val="center"/>
        </w:trPr>
        <w:tc>
          <w:tcPr>
            <w:tcW w:w="0" w:type="auto"/>
            <w:hideMark/>
          </w:tcPr>
          <w:p w14:paraId="1CC80222" w14:textId="77777777" w:rsidR="00CD5B68" w:rsidRPr="009A515A" w:rsidRDefault="00CD5B68" w:rsidP="00CD5B68">
            <w:pPr>
              <w:ind w:firstLine="426"/>
              <w:jc w:val="both"/>
              <w:rPr>
                <w:i/>
                <w:iCs/>
                <w:color w:val="000000" w:themeColor="text1"/>
                <w:sz w:val="20"/>
                <w:szCs w:val="20"/>
              </w:rPr>
            </w:pPr>
          </w:p>
        </w:tc>
        <w:tc>
          <w:tcPr>
            <w:tcW w:w="0" w:type="auto"/>
            <w:hideMark/>
          </w:tcPr>
          <w:p w14:paraId="40068E38" w14:textId="77777777" w:rsidR="00CD5B68" w:rsidRPr="009A515A" w:rsidRDefault="00CD5B68" w:rsidP="00CD5B68">
            <w:pPr>
              <w:ind w:firstLine="426"/>
              <w:jc w:val="both"/>
              <w:rPr>
                <w:i/>
                <w:iCs/>
                <w:color w:val="000000" w:themeColor="text1"/>
                <w:sz w:val="20"/>
                <w:szCs w:val="20"/>
              </w:rPr>
            </w:pPr>
          </w:p>
        </w:tc>
        <w:tc>
          <w:tcPr>
            <w:tcW w:w="0" w:type="auto"/>
            <w:hideMark/>
          </w:tcPr>
          <w:p w14:paraId="568AD934" w14:textId="77777777" w:rsidR="00CD5B68" w:rsidRPr="009A515A" w:rsidRDefault="00CD5B68" w:rsidP="00CD5B68">
            <w:pPr>
              <w:ind w:firstLine="426"/>
              <w:jc w:val="both"/>
              <w:rPr>
                <w:i/>
                <w:iCs/>
                <w:color w:val="000000" w:themeColor="text1"/>
                <w:sz w:val="20"/>
                <w:szCs w:val="20"/>
              </w:rPr>
            </w:pPr>
          </w:p>
        </w:tc>
        <w:tc>
          <w:tcPr>
            <w:tcW w:w="0" w:type="auto"/>
            <w:hideMark/>
          </w:tcPr>
          <w:p w14:paraId="27BB7815" w14:textId="77777777" w:rsidR="00CD5B68" w:rsidRPr="009A515A" w:rsidRDefault="00CD5B68" w:rsidP="007A11EE">
            <w:pPr>
              <w:rPr>
                <w:i/>
                <w:iCs/>
                <w:color w:val="000000" w:themeColor="text1"/>
                <w:sz w:val="20"/>
                <w:szCs w:val="20"/>
              </w:rPr>
            </w:pPr>
            <w:r w:rsidRPr="009A515A">
              <w:rPr>
                <w:i/>
                <w:iCs/>
                <w:color w:val="000000" w:themeColor="text1"/>
                <w:sz w:val="20"/>
                <w:szCs w:val="20"/>
              </w:rPr>
              <w:t>INR 50,001–80,000</w:t>
            </w:r>
          </w:p>
        </w:tc>
        <w:tc>
          <w:tcPr>
            <w:tcW w:w="0" w:type="auto"/>
            <w:hideMark/>
          </w:tcPr>
          <w:p w14:paraId="5DFA8F7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100</w:t>
            </w:r>
          </w:p>
        </w:tc>
        <w:tc>
          <w:tcPr>
            <w:tcW w:w="0" w:type="auto"/>
            <w:hideMark/>
          </w:tcPr>
          <w:p w14:paraId="705E161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32.05</w:t>
            </w:r>
          </w:p>
        </w:tc>
      </w:tr>
      <w:tr w:rsidR="007A11EE" w:rsidRPr="009A515A" w14:paraId="32B31367" w14:textId="77777777" w:rsidTr="00C378D1">
        <w:trPr>
          <w:jc w:val="center"/>
        </w:trPr>
        <w:tc>
          <w:tcPr>
            <w:tcW w:w="0" w:type="auto"/>
            <w:hideMark/>
          </w:tcPr>
          <w:p w14:paraId="096A6B40" w14:textId="77777777" w:rsidR="00CD5B68" w:rsidRPr="009A515A" w:rsidRDefault="00CD5B68" w:rsidP="00CD5B68">
            <w:pPr>
              <w:ind w:firstLine="426"/>
              <w:jc w:val="both"/>
              <w:rPr>
                <w:i/>
                <w:iCs/>
                <w:color w:val="000000" w:themeColor="text1"/>
                <w:sz w:val="20"/>
                <w:szCs w:val="20"/>
              </w:rPr>
            </w:pPr>
          </w:p>
        </w:tc>
        <w:tc>
          <w:tcPr>
            <w:tcW w:w="0" w:type="auto"/>
            <w:hideMark/>
          </w:tcPr>
          <w:p w14:paraId="52A13B2F" w14:textId="77777777" w:rsidR="00CD5B68" w:rsidRPr="009A515A" w:rsidRDefault="00CD5B68" w:rsidP="00CD5B68">
            <w:pPr>
              <w:ind w:firstLine="426"/>
              <w:jc w:val="both"/>
              <w:rPr>
                <w:i/>
                <w:iCs/>
                <w:color w:val="000000" w:themeColor="text1"/>
                <w:sz w:val="20"/>
                <w:szCs w:val="20"/>
              </w:rPr>
            </w:pPr>
          </w:p>
        </w:tc>
        <w:tc>
          <w:tcPr>
            <w:tcW w:w="0" w:type="auto"/>
            <w:hideMark/>
          </w:tcPr>
          <w:p w14:paraId="0E68581D" w14:textId="77777777" w:rsidR="00CD5B68" w:rsidRPr="009A515A" w:rsidRDefault="00CD5B68" w:rsidP="00CD5B68">
            <w:pPr>
              <w:ind w:firstLine="426"/>
              <w:jc w:val="both"/>
              <w:rPr>
                <w:i/>
                <w:iCs/>
                <w:color w:val="000000" w:themeColor="text1"/>
                <w:sz w:val="20"/>
                <w:szCs w:val="20"/>
              </w:rPr>
            </w:pPr>
          </w:p>
        </w:tc>
        <w:tc>
          <w:tcPr>
            <w:tcW w:w="0" w:type="auto"/>
            <w:hideMark/>
          </w:tcPr>
          <w:p w14:paraId="54090270" w14:textId="77777777" w:rsidR="00CD5B68" w:rsidRPr="009A515A" w:rsidRDefault="00CD5B68" w:rsidP="007A11EE">
            <w:pPr>
              <w:rPr>
                <w:i/>
                <w:iCs/>
                <w:color w:val="000000" w:themeColor="text1"/>
                <w:sz w:val="20"/>
                <w:szCs w:val="20"/>
              </w:rPr>
            </w:pPr>
            <w:r w:rsidRPr="009A515A">
              <w:rPr>
                <w:i/>
                <w:iCs/>
                <w:color w:val="000000" w:themeColor="text1"/>
                <w:sz w:val="20"/>
                <w:szCs w:val="20"/>
              </w:rPr>
              <w:t>INR 80,001 and above</w:t>
            </w:r>
          </w:p>
        </w:tc>
        <w:tc>
          <w:tcPr>
            <w:tcW w:w="0" w:type="auto"/>
            <w:hideMark/>
          </w:tcPr>
          <w:p w14:paraId="78AF5B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7A553A8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23.91</w:t>
            </w:r>
          </w:p>
        </w:tc>
      </w:tr>
    </w:tbl>
    <w:p w14:paraId="1AFC1F7A" w14:textId="77777777" w:rsidR="00CD5B68" w:rsidRPr="009A515A" w:rsidRDefault="00CD5B68" w:rsidP="00CD5B68">
      <w:pPr>
        <w:spacing w:line="360" w:lineRule="auto"/>
        <w:ind w:firstLine="426"/>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550429E" w14:textId="77777777" w:rsidR="00CD5B68" w:rsidRPr="009A515A" w:rsidRDefault="00CD5B68" w:rsidP="00B4702E">
      <w:pPr>
        <w:spacing w:line="360" w:lineRule="auto"/>
        <w:jc w:val="both"/>
        <w:rPr>
          <w:b/>
          <w:bCs/>
          <w:color w:val="000000" w:themeColor="text1"/>
        </w:rPr>
      </w:pPr>
    </w:p>
    <w:p w14:paraId="03188331"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 xml:space="preserve">5.2. Assessment of Reliability and validity </w:t>
      </w:r>
    </w:p>
    <w:p w14:paraId="5E6D8F78" w14:textId="77777777" w:rsidR="002B4CA4" w:rsidRPr="009A515A" w:rsidRDefault="003C57F3" w:rsidP="002B4CA4">
      <w:pPr>
        <w:spacing w:line="360" w:lineRule="auto"/>
        <w:jc w:val="both"/>
        <w:rPr>
          <w:color w:val="000000" w:themeColor="text1"/>
        </w:rPr>
      </w:pPr>
      <w:r w:rsidRPr="009A515A">
        <w:t>In the present study, the primary analysis used PLS-SEM to confirm the reliability and consistency of the constructs; the output indicates that the measurement scales demonstrated satisfactory reliability and consistency. The measurement model was evaluated through standardized factor loadings, Cronbach’s α, composite reliability (CR) and average variance extracted (AVE). The standardized factor loadings ranged from 0.699 to 0.741 for Brand Satisfaction, 0.670 to 0.707 for User Engagement, 0.677 to 0.714 for User Experience, and 0.661 to 0.682 for Brand Success, all exceeding the 0.60 minimum (Bagozzi and Yi, 1988). The corresponding z-values were all significant (p &lt; .001), supporting convergent evidence for the items (Table 2).</w:t>
      </w:r>
    </w:p>
    <w:p w14:paraId="2C25CFEE" w14:textId="77777777" w:rsidR="002B4CA4" w:rsidRPr="009A515A" w:rsidRDefault="002B4CA4" w:rsidP="002B4CA4">
      <w:pPr>
        <w:spacing w:line="360" w:lineRule="auto"/>
        <w:jc w:val="both"/>
        <w:rPr>
          <w:color w:val="000000" w:themeColor="text1"/>
        </w:rPr>
      </w:pPr>
      <w:r w:rsidRPr="009A515A">
        <w:t>Reliability was assessed using Cronbach’s α and composite reliability computed from the standardized loadings. Cronbach’s α values were 0.84 for Brand Satisfaction, 0.90 for User Engagement, 0.90 for User Experience and 0.77 for Brand Success, all above the 0.70 minimum (Nunnally and Bernstein, 1994). The corresponding composite reliability values were 0.84, 0.90, 0.90 and 0.77, each exceeding the 0.70 cut-off (Hair et al., 2019). These results indicate that the items consistently measure their respective constructs.</w:t>
      </w:r>
    </w:p>
    <w:p w14:paraId="41A6A611" w14:textId="77777777" w:rsidR="002B4CA4" w:rsidRPr="009A515A" w:rsidRDefault="002B4CA4" w:rsidP="002B4CA4">
      <w:pPr>
        <w:spacing w:line="360" w:lineRule="auto"/>
        <w:jc w:val="both"/>
        <w:rPr>
          <w:color w:val="000000" w:themeColor="text1"/>
        </w:rPr>
      </w:pPr>
      <w:r w:rsidRPr="009A515A">
        <w:lastRenderedPageBreak/>
        <w:t>Convergent validity was assessed using standardized factor loadings, composite reliability (CR) and average variance extracted (AVE; Table 2). All loadings were positive and significant (p &lt; .001), and composite reliability ranged from 0.77 to 0.90, supporting convergent validity (Hair et al., 2019). The AVE values were 0.51 (Brand Satisfaction), 0.48 (User Engagement), 0.48 (User Experience) and 0.45 (Brand Success). Although three constructs fell marginally below the 0.50 guideline, convergent validity is supported by the significant loadings and adequate composite reliability, consistent with Fornell and Larcker (1981), who note that composite reliability can compensate when AVE is slightly below 0.50.</w:t>
      </w:r>
    </w:p>
    <w:p w14:paraId="313DB464" w14:textId="45A82F71" w:rsidR="0069183E" w:rsidRPr="009A515A" w:rsidRDefault="0069183E" w:rsidP="0069183E">
      <w:pPr>
        <w:spacing w:line="360" w:lineRule="auto"/>
        <w:ind w:firstLine="426"/>
        <w:jc w:val="both"/>
        <w:rPr>
          <w:color w:val="000000" w:themeColor="text1"/>
        </w:rPr>
      </w:pPr>
      <w:r w:rsidRPr="009A515A">
        <w:t xml:space="preserve">Common method bias was assessed using Harman’s single-factor test (Podsakoff et al., 2003): a single unrotated factor accounted for 31.4% of the variance, below the 50% threshold. Because the single-factor test is only a preliminary diagnostic, the design also incorporated procedural remedies </w:t>
      </w:r>
      <w:r w:rsidR="009B694E">
        <w:t xml:space="preserve"> </w:t>
      </w:r>
      <w:r w:rsidRPr="009A515A">
        <w:t xml:space="preserve"> respondent anonymity, assurances that there were no right or wrong answers, and separation of predictor and criterion items </w:t>
      </w:r>
      <w:r w:rsidR="009B694E">
        <w:t xml:space="preserve"> </w:t>
      </w:r>
      <w:r w:rsidRPr="009A515A">
        <w:t xml:space="preserve"> to limit method bias. While these checks reduce concern, common method variance cannot be entirely ruled out in cross-sectional self-report data, a limitation we revisit below.</w:t>
      </w:r>
    </w:p>
    <w:p w14:paraId="273E2E7B" w14:textId="77777777" w:rsidR="0069183E" w:rsidRPr="009A515A" w:rsidRDefault="0069183E" w:rsidP="0069183E">
      <w:pPr>
        <w:spacing w:line="360" w:lineRule="auto"/>
        <w:ind w:firstLine="426"/>
        <w:jc w:val="both"/>
        <w:rPr>
          <w:color w:val="000000" w:themeColor="text1"/>
        </w:rPr>
      </w:pPr>
      <w:r w:rsidRPr="009A515A">
        <w:t>Discriminant validity was evaluated using the Heterotrait–Monotrait (HTMT) ratio of correlations, a stringent criterion recommended in variance-based SEM research (Hair et al., 2019; Henseler et al., 2015). HTMT values below 0.85 indicate satisfactory discriminant validity. As presented in Table 2a, all HTMT values in the present study fall below the 0.85 threshold (maximum = 0.814 for the engagement–experience pair), confirming that each construct is empirically distinct. Combined with the Harman single-factor result, these checks indicate that neither common method bias nor a lack of discriminant validity poses a material threat to the study’s conclusions.</w:t>
      </w:r>
    </w:p>
    <w:p w14:paraId="1789E978" w14:textId="77777777" w:rsidR="0069183E" w:rsidRPr="009A515A" w:rsidRDefault="0069183E" w:rsidP="0069183E">
      <w:pPr>
        <w:spacing w:line="360" w:lineRule="auto"/>
        <w:jc w:val="both"/>
        <w:rPr>
          <w:b/>
          <w:bCs/>
          <w:i/>
          <w:iCs/>
          <w:color w:val="000000" w:themeColor="text1"/>
        </w:rPr>
      </w:pPr>
      <w:r w:rsidRPr="009A515A">
        <w:rPr>
          <w:b/>
          <w:bCs/>
          <w:i/>
          <w:iCs/>
          <w:color w:val="000000" w:themeColor="text1"/>
        </w:rPr>
        <w:t>Table 2a. Heterotrait–Monotrait (HTMT) Ratio Matrix</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960"/>
        <w:gridCol w:w="1600"/>
        <w:gridCol w:w="1600"/>
        <w:gridCol w:w="1600"/>
        <w:gridCol w:w="1600"/>
      </w:tblGrid>
      <w:tr w:rsidR="0069183E" w:rsidRPr="009A515A" w14:paraId="00F0D7EF" w14:textId="77777777" w:rsidTr="004962AE">
        <w:trPr>
          <w:tblHeader/>
        </w:trPr>
        <w:tc>
          <w:tcPr>
            <w:tcW w:w="2960" w:type="dxa"/>
            <w:shd w:val="clear" w:color="auto" w:fill="1F4E79"/>
          </w:tcPr>
          <w:p w14:paraId="20CE70B2" w14:textId="77777777" w:rsidR="0069183E" w:rsidRPr="009A515A" w:rsidRDefault="0069183E" w:rsidP="004962AE">
            <w:pPr>
              <w:jc w:val="center"/>
            </w:pPr>
            <w:r w:rsidRPr="009A515A">
              <w:rPr>
                <w:b/>
                <w:color w:val="FFFFFF"/>
                <w:sz w:val="18"/>
                <w:szCs w:val="18"/>
              </w:rPr>
              <w:t>Construct</w:t>
            </w:r>
          </w:p>
        </w:tc>
        <w:tc>
          <w:tcPr>
            <w:tcW w:w="1600" w:type="dxa"/>
            <w:shd w:val="clear" w:color="auto" w:fill="1F4E79"/>
          </w:tcPr>
          <w:p w14:paraId="2AC616CF" w14:textId="77777777" w:rsidR="0069183E" w:rsidRPr="009A515A" w:rsidRDefault="0069183E" w:rsidP="004962AE">
            <w:pPr>
              <w:jc w:val="center"/>
            </w:pPr>
            <w:r w:rsidRPr="009A515A">
              <w:rPr>
                <w:b/>
                <w:color w:val="FFFFFF"/>
                <w:sz w:val="18"/>
                <w:szCs w:val="18"/>
              </w:rPr>
              <w:t>BSAT</w:t>
            </w:r>
          </w:p>
        </w:tc>
        <w:tc>
          <w:tcPr>
            <w:tcW w:w="1600" w:type="dxa"/>
            <w:shd w:val="clear" w:color="auto" w:fill="1F4E79"/>
          </w:tcPr>
          <w:p w14:paraId="0C65DB3E" w14:textId="77777777" w:rsidR="0069183E" w:rsidRPr="009A515A" w:rsidRDefault="0069183E" w:rsidP="004962AE">
            <w:pPr>
              <w:jc w:val="center"/>
            </w:pPr>
            <w:r w:rsidRPr="009A515A">
              <w:rPr>
                <w:b/>
                <w:color w:val="FFFFFF"/>
                <w:sz w:val="18"/>
                <w:szCs w:val="18"/>
              </w:rPr>
              <w:t>BSUC</w:t>
            </w:r>
          </w:p>
        </w:tc>
        <w:tc>
          <w:tcPr>
            <w:tcW w:w="1600" w:type="dxa"/>
            <w:shd w:val="clear" w:color="auto" w:fill="1F4E79"/>
          </w:tcPr>
          <w:p w14:paraId="3A989D69" w14:textId="77777777" w:rsidR="0069183E" w:rsidRPr="009A515A" w:rsidRDefault="0069183E" w:rsidP="004962AE">
            <w:pPr>
              <w:jc w:val="center"/>
            </w:pPr>
            <w:r w:rsidRPr="009A515A">
              <w:rPr>
                <w:b/>
                <w:color w:val="FFFFFF"/>
                <w:sz w:val="18"/>
                <w:szCs w:val="18"/>
              </w:rPr>
              <w:t>UX</w:t>
            </w:r>
          </w:p>
        </w:tc>
        <w:tc>
          <w:tcPr>
            <w:tcW w:w="1600" w:type="dxa"/>
            <w:shd w:val="clear" w:color="auto" w:fill="1F4E79"/>
          </w:tcPr>
          <w:p w14:paraId="0BDB8E5A" w14:textId="77777777" w:rsidR="0069183E" w:rsidRPr="009A515A" w:rsidRDefault="0069183E" w:rsidP="004962AE">
            <w:pPr>
              <w:jc w:val="center"/>
            </w:pPr>
            <w:r w:rsidRPr="009A515A">
              <w:rPr>
                <w:b/>
                <w:color w:val="FFFFFF"/>
                <w:sz w:val="18"/>
                <w:szCs w:val="18"/>
              </w:rPr>
              <w:t>UE</w:t>
            </w:r>
          </w:p>
        </w:tc>
      </w:tr>
      <w:tr w:rsidR="0069183E" w:rsidRPr="009A515A" w14:paraId="15AF8E36" w14:textId="77777777" w:rsidTr="004962AE">
        <w:tc>
          <w:tcPr>
            <w:tcW w:w="2960" w:type="dxa"/>
            <w:shd w:val="clear" w:color="auto" w:fill="EBF3FB"/>
          </w:tcPr>
          <w:p w14:paraId="32989902" w14:textId="77777777" w:rsidR="0069183E" w:rsidRPr="009A515A" w:rsidRDefault="0069183E" w:rsidP="004962AE">
            <w:r w:rsidRPr="009A515A">
              <w:rPr>
                <w:b/>
                <w:sz w:val="18"/>
                <w:szCs w:val="18"/>
              </w:rPr>
              <w:t>Brand Satisfaction (BSAT)</w:t>
            </w:r>
          </w:p>
        </w:tc>
        <w:tc>
          <w:tcPr>
            <w:tcW w:w="1600" w:type="dxa"/>
          </w:tcPr>
          <w:p w14:paraId="2332A983" w14:textId="4CCF92BE" w:rsidR="0069183E" w:rsidRPr="009A515A" w:rsidRDefault="009B694E" w:rsidP="004962AE">
            <w:pPr>
              <w:jc w:val="center"/>
            </w:pPr>
            <w:r>
              <w:rPr>
                <w:sz w:val="18"/>
                <w:szCs w:val="18"/>
              </w:rPr>
              <w:t xml:space="preserve"> </w:t>
            </w:r>
          </w:p>
        </w:tc>
        <w:tc>
          <w:tcPr>
            <w:tcW w:w="1600" w:type="dxa"/>
          </w:tcPr>
          <w:p w14:paraId="699DC604" w14:textId="77777777" w:rsidR="0069183E" w:rsidRPr="009A515A" w:rsidRDefault="0069183E" w:rsidP="004962AE">
            <w:pPr>
              <w:jc w:val="center"/>
            </w:pPr>
            <w:r w:rsidRPr="009A515A">
              <w:rPr>
                <w:sz w:val="18"/>
                <w:szCs w:val="18"/>
              </w:rPr>
              <w:t xml:space="preserve"> </w:t>
            </w:r>
          </w:p>
        </w:tc>
        <w:tc>
          <w:tcPr>
            <w:tcW w:w="1600" w:type="dxa"/>
          </w:tcPr>
          <w:p w14:paraId="64C26B38" w14:textId="77777777" w:rsidR="0069183E" w:rsidRPr="009A515A" w:rsidRDefault="0069183E" w:rsidP="004962AE">
            <w:pPr>
              <w:jc w:val="center"/>
            </w:pPr>
            <w:r w:rsidRPr="009A515A">
              <w:rPr>
                <w:sz w:val="18"/>
                <w:szCs w:val="18"/>
              </w:rPr>
              <w:t xml:space="preserve"> </w:t>
            </w:r>
          </w:p>
        </w:tc>
        <w:tc>
          <w:tcPr>
            <w:tcW w:w="1600" w:type="dxa"/>
          </w:tcPr>
          <w:p w14:paraId="11982AD3" w14:textId="77777777" w:rsidR="0069183E" w:rsidRPr="009A515A" w:rsidRDefault="0069183E" w:rsidP="004962AE">
            <w:pPr>
              <w:jc w:val="center"/>
            </w:pPr>
            <w:r w:rsidRPr="009A515A">
              <w:rPr>
                <w:sz w:val="18"/>
                <w:szCs w:val="18"/>
              </w:rPr>
              <w:t xml:space="preserve"> </w:t>
            </w:r>
          </w:p>
        </w:tc>
      </w:tr>
      <w:tr w:rsidR="0069183E" w:rsidRPr="009A515A" w14:paraId="38110344" w14:textId="77777777" w:rsidTr="004962AE">
        <w:tc>
          <w:tcPr>
            <w:tcW w:w="2960" w:type="dxa"/>
            <w:shd w:val="clear" w:color="auto" w:fill="EBF3FB"/>
          </w:tcPr>
          <w:p w14:paraId="0AEF71E1" w14:textId="77777777" w:rsidR="0069183E" w:rsidRPr="009A515A" w:rsidRDefault="0069183E" w:rsidP="004962AE">
            <w:r w:rsidRPr="009A515A">
              <w:rPr>
                <w:b/>
                <w:sz w:val="18"/>
                <w:szCs w:val="18"/>
              </w:rPr>
              <w:t>Brand Success (BSUC)</w:t>
            </w:r>
          </w:p>
        </w:tc>
        <w:tc>
          <w:tcPr>
            <w:tcW w:w="1600" w:type="dxa"/>
          </w:tcPr>
          <w:p w14:paraId="1EF08A6D" w14:textId="77777777" w:rsidR="0069183E" w:rsidRPr="009A515A" w:rsidRDefault="0069183E" w:rsidP="004962AE">
            <w:pPr>
              <w:jc w:val="center"/>
            </w:pPr>
            <w:r w:rsidRPr="009A515A">
              <w:rPr>
                <w:sz w:val="18"/>
                <w:szCs w:val="18"/>
              </w:rPr>
              <w:t>0.743</w:t>
            </w:r>
          </w:p>
        </w:tc>
        <w:tc>
          <w:tcPr>
            <w:tcW w:w="1600" w:type="dxa"/>
          </w:tcPr>
          <w:p w14:paraId="0CFB283B" w14:textId="17261BB3" w:rsidR="0069183E" w:rsidRPr="009A515A" w:rsidRDefault="009B694E" w:rsidP="004962AE">
            <w:pPr>
              <w:jc w:val="center"/>
            </w:pPr>
            <w:r>
              <w:rPr>
                <w:sz w:val="18"/>
                <w:szCs w:val="18"/>
              </w:rPr>
              <w:t xml:space="preserve"> </w:t>
            </w:r>
          </w:p>
        </w:tc>
        <w:tc>
          <w:tcPr>
            <w:tcW w:w="1600" w:type="dxa"/>
          </w:tcPr>
          <w:p w14:paraId="1A430E7E" w14:textId="77777777" w:rsidR="0069183E" w:rsidRPr="009A515A" w:rsidRDefault="0069183E" w:rsidP="004962AE">
            <w:pPr>
              <w:jc w:val="center"/>
            </w:pPr>
            <w:r w:rsidRPr="009A515A">
              <w:rPr>
                <w:sz w:val="18"/>
                <w:szCs w:val="18"/>
              </w:rPr>
              <w:t xml:space="preserve"> </w:t>
            </w:r>
          </w:p>
        </w:tc>
        <w:tc>
          <w:tcPr>
            <w:tcW w:w="1600" w:type="dxa"/>
          </w:tcPr>
          <w:p w14:paraId="198FADF3" w14:textId="77777777" w:rsidR="0069183E" w:rsidRPr="009A515A" w:rsidRDefault="0069183E" w:rsidP="004962AE">
            <w:pPr>
              <w:jc w:val="center"/>
            </w:pPr>
            <w:r w:rsidRPr="009A515A">
              <w:rPr>
                <w:sz w:val="18"/>
                <w:szCs w:val="18"/>
              </w:rPr>
              <w:t xml:space="preserve"> </w:t>
            </w:r>
          </w:p>
        </w:tc>
      </w:tr>
      <w:tr w:rsidR="0069183E" w:rsidRPr="009A515A" w14:paraId="36C64AE3" w14:textId="77777777" w:rsidTr="004962AE">
        <w:tc>
          <w:tcPr>
            <w:tcW w:w="2960" w:type="dxa"/>
            <w:shd w:val="clear" w:color="auto" w:fill="EBF3FB"/>
          </w:tcPr>
          <w:p w14:paraId="7FB7262F" w14:textId="77777777" w:rsidR="0069183E" w:rsidRPr="009A515A" w:rsidRDefault="0069183E" w:rsidP="004962AE">
            <w:r w:rsidRPr="009A515A">
              <w:rPr>
                <w:b/>
                <w:sz w:val="18"/>
                <w:szCs w:val="18"/>
              </w:rPr>
              <w:t>User Experience (UX)</w:t>
            </w:r>
          </w:p>
        </w:tc>
        <w:tc>
          <w:tcPr>
            <w:tcW w:w="1600" w:type="dxa"/>
          </w:tcPr>
          <w:p w14:paraId="3040DB27" w14:textId="77777777" w:rsidR="0069183E" w:rsidRPr="009A515A" w:rsidRDefault="0069183E" w:rsidP="004962AE">
            <w:pPr>
              <w:jc w:val="center"/>
            </w:pPr>
            <w:r w:rsidRPr="009A515A">
              <w:rPr>
                <w:sz w:val="18"/>
                <w:szCs w:val="18"/>
              </w:rPr>
              <w:t>0.768</w:t>
            </w:r>
          </w:p>
        </w:tc>
        <w:tc>
          <w:tcPr>
            <w:tcW w:w="1600" w:type="dxa"/>
          </w:tcPr>
          <w:p w14:paraId="4324273B" w14:textId="77777777" w:rsidR="0069183E" w:rsidRPr="009A515A" w:rsidRDefault="0069183E" w:rsidP="004962AE">
            <w:pPr>
              <w:jc w:val="center"/>
            </w:pPr>
            <w:r w:rsidRPr="009A515A">
              <w:rPr>
                <w:sz w:val="18"/>
                <w:szCs w:val="18"/>
              </w:rPr>
              <w:t>0.712</w:t>
            </w:r>
          </w:p>
        </w:tc>
        <w:tc>
          <w:tcPr>
            <w:tcW w:w="1600" w:type="dxa"/>
          </w:tcPr>
          <w:p w14:paraId="5D01E7E3" w14:textId="4EAC5452" w:rsidR="0069183E" w:rsidRPr="009A515A" w:rsidRDefault="009B694E" w:rsidP="004962AE">
            <w:pPr>
              <w:jc w:val="center"/>
            </w:pPr>
            <w:r>
              <w:rPr>
                <w:sz w:val="18"/>
                <w:szCs w:val="18"/>
              </w:rPr>
              <w:t xml:space="preserve"> </w:t>
            </w:r>
          </w:p>
        </w:tc>
        <w:tc>
          <w:tcPr>
            <w:tcW w:w="1600" w:type="dxa"/>
          </w:tcPr>
          <w:p w14:paraId="2D29C70F" w14:textId="77777777" w:rsidR="0069183E" w:rsidRPr="009A515A" w:rsidRDefault="0069183E" w:rsidP="004962AE">
            <w:pPr>
              <w:jc w:val="center"/>
            </w:pPr>
            <w:r w:rsidRPr="009A515A">
              <w:rPr>
                <w:sz w:val="18"/>
                <w:szCs w:val="18"/>
              </w:rPr>
              <w:t xml:space="preserve"> </w:t>
            </w:r>
          </w:p>
        </w:tc>
      </w:tr>
      <w:tr w:rsidR="0069183E" w:rsidRPr="009A515A" w14:paraId="4CA67F1D" w14:textId="77777777" w:rsidTr="004962AE">
        <w:tc>
          <w:tcPr>
            <w:tcW w:w="2960" w:type="dxa"/>
            <w:shd w:val="clear" w:color="auto" w:fill="EBF3FB"/>
          </w:tcPr>
          <w:p w14:paraId="7033C865" w14:textId="77777777" w:rsidR="0069183E" w:rsidRPr="009A515A" w:rsidRDefault="0069183E" w:rsidP="004962AE">
            <w:r w:rsidRPr="009A515A">
              <w:rPr>
                <w:b/>
                <w:sz w:val="18"/>
                <w:szCs w:val="18"/>
              </w:rPr>
              <w:t>User Engagement (UE)</w:t>
            </w:r>
          </w:p>
        </w:tc>
        <w:tc>
          <w:tcPr>
            <w:tcW w:w="1600" w:type="dxa"/>
          </w:tcPr>
          <w:p w14:paraId="0D9BB40B" w14:textId="77777777" w:rsidR="0069183E" w:rsidRPr="009A515A" w:rsidRDefault="0069183E" w:rsidP="004962AE">
            <w:pPr>
              <w:jc w:val="center"/>
            </w:pPr>
            <w:r w:rsidRPr="009A515A">
              <w:rPr>
                <w:sz w:val="18"/>
                <w:szCs w:val="18"/>
              </w:rPr>
              <w:t>0.756</w:t>
            </w:r>
          </w:p>
        </w:tc>
        <w:tc>
          <w:tcPr>
            <w:tcW w:w="1600" w:type="dxa"/>
          </w:tcPr>
          <w:p w14:paraId="2956CC4F" w14:textId="77777777" w:rsidR="0069183E" w:rsidRPr="009A515A" w:rsidRDefault="0069183E" w:rsidP="004962AE">
            <w:pPr>
              <w:jc w:val="center"/>
            </w:pPr>
            <w:r w:rsidRPr="009A515A">
              <w:rPr>
                <w:sz w:val="18"/>
                <w:szCs w:val="18"/>
              </w:rPr>
              <w:t>0.729</w:t>
            </w:r>
          </w:p>
        </w:tc>
        <w:tc>
          <w:tcPr>
            <w:tcW w:w="1600" w:type="dxa"/>
          </w:tcPr>
          <w:p w14:paraId="01E8C307" w14:textId="77777777" w:rsidR="0069183E" w:rsidRPr="009A515A" w:rsidRDefault="0069183E" w:rsidP="004962AE">
            <w:pPr>
              <w:jc w:val="center"/>
            </w:pPr>
            <w:r w:rsidRPr="009A515A">
              <w:rPr>
                <w:sz w:val="18"/>
                <w:szCs w:val="18"/>
              </w:rPr>
              <w:t>0.814</w:t>
            </w:r>
          </w:p>
        </w:tc>
        <w:tc>
          <w:tcPr>
            <w:tcW w:w="1600" w:type="dxa"/>
          </w:tcPr>
          <w:p w14:paraId="598E8C3A" w14:textId="5C5FBF6A" w:rsidR="0069183E" w:rsidRPr="009A515A" w:rsidRDefault="009B694E" w:rsidP="004962AE">
            <w:pPr>
              <w:jc w:val="center"/>
            </w:pPr>
            <w:r>
              <w:rPr>
                <w:sz w:val="18"/>
                <w:szCs w:val="18"/>
              </w:rPr>
              <w:t xml:space="preserve"> </w:t>
            </w:r>
          </w:p>
        </w:tc>
      </w:tr>
    </w:tbl>
    <w:p w14:paraId="2A67578C" w14:textId="77777777" w:rsidR="0069183E" w:rsidRPr="009A515A" w:rsidRDefault="0069183E" w:rsidP="0069183E">
      <w:pPr>
        <w:spacing w:line="360" w:lineRule="auto"/>
        <w:jc w:val="both"/>
        <w:rPr>
          <w:i/>
          <w:iCs/>
          <w:color w:val="000000" w:themeColor="text1"/>
        </w:rPr>
      </w:pPr>
    </w:p>
    <w:p w14:paraId="599671CC" w14:textId="77777777" w:rsidR="0069183E" w:rsidRPr="009A515A" w:rsidRDefault="0069183E" w:rsidP="0069183E">
      <w:pPr>
        <w:spacing w:line="360" w:lineRule="auto"/>
        <w:jc w:val="both"/>
        <w:rPr>
          <w:i/>
          <w:iCs/>
          <w:color w:val="000000" w:themeColor="text1"/>
        </w:rPr>
      </w:pPr>
      <w:r w:rsidRPr="009A515A">
        <w:rPr>
          <w:i/>
          <w:iCs/>
          <w:color w:val="000000" w:themeColor="text1"/>
        </w:rPr>
        <w:t>Note: All HTMT values below 0.85 confirm discriminant validity. BSAT = Brand Satisfaction; BSUC = Brand Success; UX = User Experience; UE = User Engagement. Values derived from SmartPLS 4.1 bootstrapping procedure (5,000 subsamples). Source: Authors.</w:t>
      </w:r>
    </w:p>
    <w:p w14:paraId="7B987413" w14:textId="77777777" w:rsidR="0069183E" w:rsidRPr="009A515A" w:rsidRDefault="0069183E" w:rsidP="002B4CA4">
      <w:pPr>
        <w:spacing w:line="360" w:lineRule="auto"/>
        <w:jc w:val="both"/>
        <w:rPr>
          <w:color w:val="000000" w:themeColor="text1"/>
        </w:rPr>
      </w:pPr>
    </w:p>
    <w:p w14:paraId="22A9FC5C" w14:textId="77777777" w:rsidR="00D40C17" w:rsidRPr="009A515A" w:rsidRDefault="00D40C17" w:rsidP="005A1FB3">
      <w:pPr>
        <w:spacing w:line="360" w:lineRule="auto"/>
        <w:jc w:val="both"/>
        <w:rPr>
          <w:color w:val="000000" w:themeColor="text1"/>
        </w:rPr>
      </w:pPr>
    </w:p>
    <w:p w14:paraId="6E4307D9" w14:textId="77777777" w:rsidR="0069183E" w:rsidRPr="009A515A" w:rsidRDefault="0069183E" w:rsidP="005A1FB3">
      <w:pPr>
        <w:spacing w:line="360" w:lineRule="auto"/>
        <w:jc w:val="both"/>
        <w:rPr>
          <w:color w:val="000000" w:themeColor="text1"/>
        </w:rPr>
      </w:pPr>
    </w:p>
    <w:p w14:paraId="1C90F30A" w14:textId="77777777" w:rsidR="0069183E" w:rsidRPr="009A515A" w:rsidRDefault="0069183E" w:rsidP="005A1FB3">
      <w:pPr>
        <w:spacing w:line="360" w:lineRule="auto"/>
        <w:jc w:val="both"/>
        <w:rPr>
          <w:color w:val="000000" w:themeColor="text1"/>
        </w:rPr>
      </w:pPr>
    </w:p>
    <w:p w14:paraId="7FC88CFD" w14:textId="77777777" w:rsidR="0069183E" w:rsidRPr="009A515A" w:rsidRDefault="0069183E" w:rsidP="005A1FB3">
      <w:pPr>
        <w:spacing w:line="360" w:lineRule="auto"/>
        <w:jc w:val="both"/>
        <w:rPr>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 xml:space="preserve">Table </w:t>
      </w:r>
      <w:r w:rsidR="00AA1ECE" w:rsidRPr="009A515A">
        <w:rPr>
          <w:b/>
          <w:bCs/>
          <w:i/>
          <w:iCs/>
          <w:color w:val="000000" w:themeColor="text1"/>
        </w:rPr>
        <w:t>2</w:t>
      </w:r>
      <w:r w:rsidRPr="009A515A">
        <w:rPr>
          <w:b/>
          <w:bCs/>
          <w:i/>
          <w:iCs/>
          <w:color w:val="000000" w:themeColor="text1"/>
        </w:rPr>
        <w:t xml:space="preserve">. </w:t>
      </w:r>
      <w:r w:rsidR="00563911" w:rsidRPr="009A515A">
        <w:rPr>
          <w:b/>
          <w:bCs/>
          <w:i/>
          <w:iCs/>
          <w:color w:val="000000" w:themeColor="text1"/>
        </w:rPr>
        <w:t>Reliability Statistics</w:t>
      </w:r>
    </w:p>
    <w:tbl>
      <w:tblPr>
        <w:tblW w:w="4590" w:type="pct"/>
        <w:tblCellSpacing w:w="15" w:type="dxa"/>
        <w:tblCellMar>
          <w:top w:w="15" w:type="dxa"/>
          <w:left w:w="15" w:type="dxa"/>
          <w:bottom w:w="15" w:type="dxa"/>
          <w:right w:w="15" w:type="dxa"/>
        </w:tblCellMar>
        <w:tblLook w:val="04A0" w:firstRow="1" w:lastRow="0" w:firstColumn="1" w:lastColumn="0" w:noHBand="0" w:noVBand="1"/>
      </w:tblPr>
      <w:tblGrid>
        <w:gridCol w:w="1330"/>
        <w:gridCol w:w="1084"/>
        <w:gridCol w:w="993"/>
        <w:gridCol w:w="1237"/>
        <w:gridCol w:w="990"/>
        <w:gridCol w:w="1419"/>
        <w:gridCol w:w="612"/>
        <w:gridCol w:w="621"/>
      </w:tblGrid>
      <w:tr w:rsidR="00EB6D56" w:rsidRPr="009A515A" w14:paraId="43536D5A" w14:textId="77777777" w:rsidTr="005E6819">
        <w:trPr>
          <w:cantSplit/>
          <w:tblHeader/>
          <w:tblCellSpacing w:w="15" w:type="dxa"/>
        </w:trPr>
        <w:tc>
          <w:tcPr>
            <w:tcW w:w="4164" w:type="pct"/>
            <w:gridSpan w:val="6"/>
            <w:tcBorders>
              <w:top w:val="nil"/>
              <w:left w:val="nil"/>
              <w:bottom w:val="single" w:sz="4" w:space="0" w:color="333333"/>
              <w:right w:val="nil"/>
            </w:tcBorders>
            <w:tcMar>
              <w:top w:w="60" w:type="dxa"/>
              <w:left w:w="0" w:type="dxa"/>
              <w:bottom w:w="60" w:type="dxa"/>
              <w:right w:w="120" w:type="dxa"/>
            </w:tcMar>
            <w:vAlign w:val="bottom"/>
            <w:hideMark/>
          </w:tcPr>
          <w:p w14:paraId="6097554E" w14:textId="77777777" w:rsidR="00B31225" w:rsidRPr="009A515A" w:rsidRDefault="00B31225" w:rsidP="003D7AFA">
            <w:pPr>
              <w:jc w:val="both"/>
              <w:rPr>
                <w:b/>
                <w:bCs/>
                <w:i/>
                <w:iCs/>
                <w:color w:val="000000" w:themeColor="text1"/>
                <w:sz w:val="20"/>
                <w:szCs w:val="20"/>
              </w:rPr>
            </w:pPr>
            <w:r w:rsidRPr="009A515A">
              <w:rPr>
                <w:b/>
                <w:bCs/>
                <w:i/>
                <w:iCs/>
                <w:color w:val="000000" w:themeColor="text1"/>
                <w:sz w:val="20"/>
                <w:szCs w:val="20"/>
              </w:rPr>
              <w:t>Factor Loadings</w:t>
            </w:r>
          </w:p>
        </w:tc>
        <w:tc>
          <w:tcPr>
            <w:tcW w:w="384" w:type="pct"/>
            <w:tcBorders>
              <w:top w:val="nil"/>
              <w:left w:val="nil"/>
              <w:bottom w:val="single" w:sz="4" w:space="0" w:color="333333"/>
              <w:right w:val="nil"/>
            </w:tcBorders>
          </w:tcPr>
          <w:p w14:paraId="28B0713F" w14:textId="77777777" w:rsidR="00B31225" w:rsidRPr="009A515A" w:rsidRDefault="00B31225" w:rsidP="003D7AFA">
            <w:pPr>
              <w:jc w:val="both"/>
              <w:rPr>
                <w:b/>
                <w:bCs/>
                <w:i/>
                <w:iCs/>
                <w:color w:val="000000" w:themeColor="text1"/>
                <w:sz w:val="20"/>
                <w:szCs w:val="20"/>
              </w:rPr>
            </w:pPr>
          </w:p>
        </w:tc>
        <w:tc>
          <w:tcPr>
            <w:tcW w:w="380" w:type="pct"/>
            <w:tcBorders>
              <w:top w:val="nil"/>
              <w:left w:val="nil"/>
              <w:bottom w:val="single" w:sz="4" w:space="0" w:color="333333"/>
              <w:right w:val="nil"/>
            </w:tcBorders>
          </w:tcPr>
          <w:p w14:paraId="13F5448C" w14:textId="77777777" w:rsidR="00B31225" w:rsidRPr="009A515A" w:rsidRDefault="00B31225" w:rsidP="003D7AFA">
            <w:pPr>
              <w:jc w:val="both"/>
              <w:rPr>
                <w:b/>
                <w:bCs/>
                <w:i/>
                <w:iCs/>
                <w:color w:val="000000" w:themeColor="text1"/>
                <w:sz w:val="20"/>
                <w:szCs w:val="20"/>
              </w:rPr>
            </w:pPr>
          </w:p>
        </w:tc>
      </w:tr>
      <w:tr w:rsidR="005E6819" w:rsidRPr="009A515A" w14:paraId="4AED22C1" w14:textId="77777777" w:rsidTr="005E6819">
        <w:trPr>
          <w:cantSplit/>
          <w:tblHeader/>
          <w:tblCellSpacing w:w="15" w:type="dxa"/>
        </w:trPr>
        <w:tc>
          <w:tcPr>
            <w:tcW w:w="775" w:type="pct"/>
            <w:tcBorders>
              <w:top w:val="nil"/>
              <w:left w:val="nil"/>
              <w:bottom w:val="single" w:sz="4" w:space="0" w:color="333333"/>
              <w:right w:val="nil"/>
            </w:tcBorders>
            <w:tcMar>
              <w:top w:w="60" w:type="dxa"/>
              <w:left w:w="120" w:type="dxa"/>
              <w:bottom w:w="60" w:type="dxa"/>
              <w:right w:w="120" w:type="dxa"/>
            </w:tcMar>
            <w:vAlign w:val="center"/>
            <w:hideMark/>
          </w:tcPr>
          <w:p w14:paraId="7296DBE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Factor</w:t>
            </w:r>
          </w:p>
        </w:tc>
        <w:tc>
          <w:tcPr>
            <w:tcW w:w="675" w:type="pct"/>
            <w:tcBorders>
              <w:top w:val="nil"/>
              <w:left w:val="nil"/>
              <w:bottom w:val="single" w:sz="4" w:space="0" w:color="333333"/>
              <w:right w:val="nil"/>
            </w:tcBorders>
            <w:tcMar>
              <w:top w:w="60" w:type="dxa"/>
              <w:left w:w="120" w:type="dxa"/>
              <w:bottom w:w="60" w:type="dxa"/>
              <w:right w:w="120" w:type="dxa"/>
            </w:tcMar>
            <w:vAlign w:val="center"/>
            <w:hideMark/>
          </w:tcPr>
          <w:p w14:paraId="207F0E54"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Indicator</w:t>
            </w:r>
          </w:p>
        </w:tc>
        <w:tc>
          <w:tcPr>
            <w:tcW w:w="581" w:type="pct"/>
            <w:tcBorders>
              <w:top w:val="nil"/>
              <w:left w:val="nil"/>
              <w:bottom w:val="single" w:sz="4" w:space="0" w:color="333333"/>
              <w:right w:val="nil"/>
            </w:tcBorders>
            <w:tcMar>
              <w:top w:w="60" w:type="dxa"/>
              <w:left w:w="120" w:type="dxa"/>
              <w:bottom w:w="60" w:type="dxa"/>
              <w:right w:w="120" w:type="dxa"/>
            </w:tcMar>
            <w:vAlign w:val="center"/>
            <w:hideMark/>
          </w:tcPr>
          <w:p w14:paraId="4555651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Estimate</w:t>
            </w:r>
          </w:p>
        </w:tc>
        <w:tc>
          <w:tcPr>
            <w:tcW w:w="728" w:type="pct"/>
            <w:tcBorders>
              <w:top w:val="nil"/>
              <w:left w:val="nil"/>
              <w:bottom w:val="single" w:sz="4" w:space="0" w:color="333333"/>
              <w:right w:val="nil"/>
            </w:tcBorders>
            <w:tcMar>
              <w:top w:w="60" w:type="dxa"/>
              <w:left w:w="120" w:type="dxa"/>
              <w:bottom w:w="60" w:type="dxa"/>
              <w:right w:w="120" w:type="dxa"/>
            </w:tcMar>
            <w:vAlign w:val="center"/>
          </w:tcPr>
          <w:p w14:paraId="7813DC2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Cronbach’s Alpha</w:t>
            </w:r>
          </w:p>
        </w:tc>
        <w:tc>
          <w:tcPr>
            <w:tcW w:w="525" w:type="pct"/>
            <w:tcBorders>
              <w:top w:val="nil"/>
              <w:left w:val="nil"/>
              <w:bottom w:val="single" w:sz="4" w:space="0" w:color="333333"/>
              <w:right w:val="nil"/>
            </w:tcBorders>
            <w:tcMar>
              <w:top w:w="60" w:type="dxa"/>
              <w:left w:w="120" w:type="dxa"/>
              <w:bottom w:w="60" w:type="dxa"/>
              <w:right w:w="120" w:type="dxa"/>
            </w:tcMar>
            <w:vAlign w:val="center"/>
          </w:tcPr>
          <w:p w14:paraId="2CF191D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AVE</w:t>
            </w:r>
          </w:p>
        </w:tc>
        <w:tc>
          <w:tcPr>
            <w:tcW w:w="789" w:type="pct"/>
            <w:tcBorders>
              <w:top w:val="nil"/>
              <w:left w:val="nil"/>
              <w:bottom w:val="single" w:sz="4" w:space="0" w:color="333333"/>
              <w:right w:val="nil"/>
            </w:tcBorders>
            <w:tcMar>
              <w:top w:w="60" w:type="dxa"/>
              <w:left w:w="120" w:type="dxa"/>
              <w:bottom w:w="60" w:type="dxa"/>
              <w:right w:w="120" w:type="dxa"/>
            </w:tcMar>
            <w:vAlign w:val="center"/>
          </w:tcPr>
          <w:p w14:paraId="4A75D96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SE</w:t>
            </w:r>
          </w:p>
        </w:tc>
        <w:tc>
          <w:tcPr>
            <w:tcW w:w="384" w:type="pct"/>
            <w:tcBorders>
              <w:top w:val="nil"/>
              <w:left w:val="nil"/>
              <w:bottom w:val="single" w:sz="4" w:space="0" w:color="333333"/>
              <w:right w:val="nil"/>
            </w:tcBorders>
            <w:vAlign w:val="center"/>
          </w:tcPr>
          <w:p w14:paraId="2622F40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Z</w:t>
            </w:r>
          </w:p>
        </w:tc>
        <w:tc>
          <w:tcPr>
            <w:tcW w:w="380" w:type="pct"/>
            <w:tcBorders>
              <w:top w:val="nil"/>
              <w:left w:val="nil"/>
              <w:bottom w:val="single" w:sz="4" w:space="0" w:color="333333"/>
              <w:right w:val="nil"/>
            </w:tcBorders>
            <w:vAlign w:val="center"/>
          </w:tcPr>
          <w:p w14:paraId="25F88AA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p</w:t>
            </w:r>
          </w:p>
        </w:tc>
      </w:tr>
      <w:tr w:rsidR="00EB6D56" w:rsidRPr="009A515A" w14:paraId="7852B9F6"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065B356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Brand Satisfaction</w:t>
            </w:r>
          </w:p>
        </w:tc>
        <w:tc>
          <w:tcPr>
            <w:tcW w:w="675" w:type="pct"/>
            <w:tcBorders>
              <w:top w:val="nil"/>
              <w:left w:val="nil"/>
              <w:bottom w:val="nil"/>
              <w:right w:val="nil"/>
            </w:tcBorders>
            <w:tcMar>
              <w:top w:w="120" w:type="dxa"/>
              <w:left w:w="120" w:type="dxa"/>
              <w:bottom w:w="60" w:type="dxa"/>
              <w:right w:w="120" w:type="dxa"/>
            </w:tcMar>
            <w:hideMark/>
          </w:tcPr>
          <w:p w14:paraId="741BC0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BSAT_1</w:t>
            </w:r>
          </w:p>
        </w:tc>
        <w:tc>
          <w:tcPr>
            <w:tcW w:w="581" w:type="pct"/>
            <w:tcBorders>
              <w:top w:val="nil"/>
              <w:left w:val="nil"/>
              <w:bottom w:val="nil"/>
              <w:right w:val="nil"/>
            </w:tcBorders>
            <w:tcMar>
              <w:top w:w="120" w:type="dxa"/>
              <w:left w:w="120" w:type="dxa"/>
              <w:bottom w:w="30" w:type="dxa"/>
              <w:right w:w="300" w:type="dxa"/>
            </w:tcMar>
            <w:hideMark/>
          </w:tcPr>
          <w:p w14:paraId="67AE142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val="restart"/>
            <w:tcBorders>
              <w:top w:val="nil"/>
              <w:left w:val="nil"/>
              <w:right w:val="nil"/>
            </w:tcBorders>
            <w:tcMar>
              <w:top w:w="120" w:type="dxa"/>
              <w:left w:w="120" w:type="dxa"/>
              <w:bottom w:w="30" w:type="dxa"/>
              <w:right w:w="300" w:type="dxa"/>
            </w:tcMar>
          </w:tcPr>
          <w:p w14:paraId="1C49156F" w14:textId="77777777" w:rsidR="00651853" w:rsidRPr="009A515A" w:rsidRDefault="00000000">
            <w:r w:rsidRPr="009A515A">
              <w:t>0.841</w:t>
            </w:r>
          </w:p>
        </w:tc>
        <w:tc>
          <w:tcPr>
            <w:tcW w:w="525" w:type="pct"/>
            <w:vMerge w:val="restart"/>
            <w:tcBorders>
              <w:top w:val="nil"/>
              <w:left w:val="nil"/>
              <w:right w:val="nil"/>
            </w:tcBorders>
            <w:tcMar>
              <w:top w:w="120" w:type="dxa"/>
              <w:left w:w="120" w:type="dxa"/>
              <w:bottom w:w="30" w:type="dxa"/>
              <w:right w:w="300" w:type="dxa"/>
            </w:tcMar>
          </w:tcPr>
          <w:p w14:paraId="3AC80C4E" w14:textId="77777777" w:rsidR="00651853" w:rsidRPr="009A515A" w:rsidRDefault="00000000">
            <w:r w:rsidRPr="009A515A">
              <w:t>0.514</w:t>
            </w:r>
          </w:p>
        </w:tc>
        <w:tc>
          <w:tcPr>
            <w:tcW w:w="789" w:type="pct"/>
            <w:tcBorders>
              <w:top w:val="nil"/>
              <w:left w:val="nil"/>
              <w:bottom w:val="nil"/>
              <w:right w:val="nil"/>
            </w:tcBorders>
            <w:tcMar>
              <w:top w:w="120" w:type="dxa"/>
              <w:left w:w="120" w:type="dxa"/>
              <w:bottom w:w="30" w:type="dxa"/>
              <w:right w:w="300" w:type="dxa"/>
            </w:tcMar>
          </w:tcPr>
          <w:p w14:paraId="278CE30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2EE63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21.8</w:t>
            </w:r>
          </w:p>
        </w:tc>
        <w:tc>
          <w:tcPr>
            <w:tcW w:w="380" w:type="pct"/>
            <w:tcBorders>
              <w:top w:val="nil"/>
              <w:left w:val="nil"/>
              <w:bottom w:val="nil"/>
              <w:right w:val="nil"/>
            </w:tcBorders>
          </w:tcPr>
          <w:p w14:paraId="6E6A1F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E552023" w14:textId="77777777" w:rsidTr="005E6819">
        <w:trPr>
          <w:cantSplit/>
          <w:tblCellSpacing w:w="15" w:type="dxa"/>
        </w:trPr>
        <w:tc>
          <w:tcPr>
            <w:tcW w:w="775" w:type="pct"/>
            <w:vMerge/>
            <w:tcBorders>
              <w:top w:val="nil"/>
              <w:left w:val="nil"/>
              <w:bottom w:val="nil"/>
              <w:right w:val="nil"/>
            </w:tcBorders>
            <w:vAlign w:val="center"/>
            <w:hideMark/>
          </w:tcPr>
          <w:p w14:paraId="18B4FE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2A51E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BSAT_2</w:t>
            </w:r>
          </w:p>
        </w:tc>
        <w:tc>
          <w:tcPr>
            <w:tcW w:w="581" w:type="pct"/>
            <w:tcBorders>
              <w:top w:val="nil"/>
              <w:left w:val="nil"/>
              <w:bottom w:val="nil"/>
              <w:right w:val="nil"/>
            </w:tcBorders>
            <w:tcMar>
              <w:top w:w="30" w:type="dxa"/>
              <w:left w:w="120" w:type="dxa"/>
              <w:bottom w:w="30" w:type="dxa"/>
              <w:right w:w="300" w:type="dxa"/>
            </w:tcMar>
            <w:hideMark/>
          </w:tcPr>
          <w:p w14:paraId="43966C0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0.741</w:t>
            </w:r>
          </w:p>
        </w:tc>
        <w:tc>
          <w:tcPr>
            <w:tcW w:w="728" w:type="pct"/>
            <w:vMerge/>
            <w:tcBorders>
              <w:left w:val="nil"/>
              <w:right w:val="nil"/>
            </w:tcBorders>
            <w:tcMar>
              <w:top w:w="30" w:type="dxa"/>
              <w:left w:w="120" w:type="dxa"/>
              <w:bottom w:w="30" w:type="dxa"/>
              <w:right w:w="300" w:type="dxa"/>
            </w:tcMar>
          </w:tcPr>
          <w:p w14:paraId="7CBAFD3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C911B6C"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5D5BC0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0.0337</w:t>
            </w:r>
          </w:p>
        </w:tc>
        <w:tc>
          <w:tcPr>
            <w:tcW w:w="384" w:type="pct"/>
            <w:tcBorders>
              <w:top w:val="nil"/>
              <w:left w:val="nil"/>
              <w:bottom w:val="nil"/>
              <w:right w:val="nil"/>
            </w:tcBorders>
          </w:tcPr>
          <w:p w14:paraId="039C12F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158F87B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88A7D5F" w14:textId="77777777" w:rsidTr="005E6819">
        <w:trPr>
          <w:cantSplit/>
          <w:tblCellSpacing w:w="15" w:type="dxa"/>
        </w:trPr>
        <w:tc>
          <w:tcPr>
            <w:tcW w:w="775" w:type="pct"/>
            <w:vMerge/>
            <w:tcBorders>
              <w:top w:val="nil"/>
              <w:left w:val="nil"/>
              <w:bottom w:val="nil"/>
              <w:right w:val="nil"/>
            </w:tcBorders>
            <w:vAlign w:val="center"/>
            <w:hideMark/>
          </w:tcPr>
          <w:p w14:paraId="62BEB73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98733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BSAT_3</w:t>
            </w:r>
          </w:p>
        </w:tc>
        <w:tc>
          <w:tcPr>
            <w:tcW w:w="581" w:type="pct"/>
            <w:tcBorders>
              <w:top w:val="nil"/>
              <w:left w:val="nil"/>
              <w:bottom w:val="nil"/>
              <w:right w:val="nil"/>
            </w:tcBorders>
            <w:tcMar>
              <w:top w:w="30" w:type="dxa"/>
              <w:left w:w="120" w:type="dxa"/>
              <w:bottom w:w="30" w:type="dxa"/>
              <w:right w:w="300" w:type="dxa"/>
            </w:tcMar>
            <w:hideMark/>
          </w:tcPr>
          <w:p w14:paraId="62D2D85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0.721</w:t>
            </w:r>
          </w:p>
        </w:tc>
        <w:tc>
          <w:tcPr>
            <w:tcW w:w="728" w:type="pct"/>
            <w:vMerge/>
            <w:tcBorders>
              <w:left w:val="nil"/>
              <w:right w:val="nil"/>
            </w:tcBorders>
            <w:tcMar>
              <w:top w:w="30" w:type="dxa"/>
              <w:left w:w="120" w:type="dxa"/>
              <w:bottom w:w="30" w:type="dxa"/>
              <w:right w:w="300" w:type="dxa"/>
            </w:tcMar>
          </w:tcPr>
          <w:p w14:paraId="4DC222B9"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BBAF7F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EC8642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28B6EB5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0C6EFA7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46A2B1" w14:textId="77777777" w:rsidTr="005E6819">
        <w:trPr>
          <w:cantSplit/>
          <w:tblCellSpacing w:w="15" w:type="dxa"/>
        </w:trPr>
        <w:tc>
          <w:tcPr>
            <w:tcW w:w="775" w:type="pct"/>
            <w:vMerge/>
            <w:tcBorders>
              <w:top w:val="nil"/>
              <w:left w:val="nil"/>
              <w:bottom w:val="nil"/>
              <w:right w:val="nil"/>
            </w:tcBorders>
            <w:vAlign w:val="center"/>
            <w:hideMark/>
          </w:tcPr>
          <w:p w14:paraId="13F8617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ABF84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BSAT_4</w:t>
            </w:r>
          </w:p>
        </w:tc>
        <w:tc>
          <w:tcPr>
            <w:tcW w:w="581" w:type="pct"/>
            <w:tcBorders>
              <w:top w:val="nil"/>
              <w:left w:val="nil"/>
              <w:bottom w:val="nil"/>
              <w:right w:val="nil"/>
            </w:tcBorders>
            <w:tcMar>
              <w:top w:w="30" w:type="dxa"/>
              <w:left w:w="120" w:type="dxa"/>
              <w:bottom w:w="30" w:type="dxa"/>
              <w:right w:w="300" w:type="dxa"/>
            </w:tcMar>
            <w:hideMark/>
          </w:tcPr>
          <w:p w14:paraId="605CF22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0.719</w:t>
            </w:r>
          </w:p>
        </w:tc>
        <w:tc>
          <w:tcPr>
            <w:tcW w:w="728" w:type="pct"/>
            <w:vMerge/>
            <w:tcBorders>
              <w:left w:val="nil"/>
              <w:right w:val="nil"/>
            </w:tcBorders>
            <w:tcMar>
              <w:top w:w="30" w:type="dxa"/>
              <w:left w:w="120" w:type="dxa"/>
              <w:bottom w:w="30" w:type="dxa"/>
              <w:right w:w="300" w:type="dxa"/>
            </w:tcMar>
          </w:tcPr>
          <w:p w14:paraId="68C30774"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D01D0F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9B9AB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0.0335</w:t>
            </w:r>
          </w:p>
        </w:tc>
        <w:tc>
          <w:tcPr>
            <w:tcW w:w="384" w:type="pct"/>
            <w:tcBorders>
              <w:top w:val="nil"/>
              <w:left w:val="nil"/>
              <w:bottom w:val="nil"/>
              <w:right w:val="nil"/>
            </w:tcBorders>
          </w:tcPr>
          <w:p w14:paraId="12FB1A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30E17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DDB100A" w14:textId="77777777" w:rsidTr="005E6819">
        <w:trPr>
          <w:cantSplit/>
          <w:tblCellSpacing w:w="15" w:type="dxa"/>
        </w:trPr>
        <w:tc>
          <w:tcPr>
            <w:tcW w:w="775" w:type="pct"/>
            <w:vMerge/>
            <w:tcBorders>
              <w:top w:val="nil"/>
              <w:left w:val="nil"/>
              <w:bottom w:val="nil"/>
              <w:right w:val="nil"/>
            </w:tcBorders>
            <w:vAlign w:val="center"/>
            <w:hideMark/>
          </w:tcPr>
          <w:p w14:paraId="1CDC41EF"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8DA3B4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BSAT_5</w:t>
            </w:r>
          </w:p>
        </w:tc>
        <w:tc>
          <w:tcPr>
            <w:tcW w:w="581" w:type="pct"/>
            <w:tcBorders>
              <w:top w:val="nil"/>
              <w:left w:val="nil"/>
              <w:bottom w:val="nil"/>
              <w:right w:val="nil"/>
            </w:tcBorders>
            <w:tcMar>
              <w:top w:w="30" w:type="dxa"/>
              <w:left w:w="120" w:type="dxa"/>
              <w:bottom w:w="30" w:type="dxa"/>
              <w:right w:w="300" w:type="dxa"/>
            </w:tcMar>
            <w:hideMark/>
          </w:tcPr>
          <w:p w14:paraId="7721CB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0.699</w:t>
            </w:r>
          </w:p>
        </w:tc>
        <w:tc>
          <w:tcPr>
            <w:tcW w:w="728" w:type="pct"/>
            <w:vMerge/>
            <w:tcBorders>
              <w:left w:val="nil"/>
              <w:bottom w:val="nil"/>
              <w:right w:val="nil"/>
            </w:tcBorders>
            <w:tcMar>
              <w:top w:w="30" w:type="dxa"/>
              <w:left w:w="120" w:type="dxa"/>
              <w:bottom w:w="30" w:type="dxa"/>
              <w:right w:w="300" w:type="dxa"/>
            </w:tcMar>
          </w:tcPr>
          <w:p w14:paraId="66931364"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335BC07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1F3669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51B405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2504E5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8A6AF1A"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380329B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Engagement</w:t>
            </w:r>
          </w:p>
        </w:tc>
        <w:tc>
          <w:tcPr>
            <w:tcW w:w="675" w:type="pct"/>
            <w:tcBorders>
              <w:top w:val="nil"/>
              <w:left w:val="nil"/>
              <w:bottom w:val="nil"/>
              <w:right w:val="nil"/>
            </w:tcBorders>
            <w:tcMar>
              <w:top w:w="120" w:type="dxa"/>
              <w:left w:w="120" w:type="dxa"/>
              <w:bottom w:w="60" w:type="dxa"/>
              <w:right w:w="120" w:type="dxa"/>
            </w:tcMar>
            <w:hideMark/>
          </w:tcPr>
          <w:p w14:paraId="6C638F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w:t>
            </w:r>
          </w:p>
        </w:tc>
        <w:tc>
          <w:tcPr>
            <w:tcW w:w="581" w:type="pct"/>
            <w:tcBorders>
              <w:top w:val="nil"/>
              <w:left w:val="nil"/>
              <w:bottom w:val="nil"/>
              <w:right w:val="nil"/>
            </w:tcBorders>
            <w:tcMar>
              <w:top w:w="120" w:type="dxa"/>
              <w:left w:w="120" w:type="dxa"/>
              <w:bottom w:w="30" w:type="dxa"/>
              <w:right w:w="300" w:type="dxa"/>
            </w:tcMar>
            <w:hideMark/>
          </w:tcPr>
          <w:p w14:paraId="427B27D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val="restart"/>
            <w:tcBorders>
              <w:top w:val="nil"/>
              <w:left w:val="nil"/>
              <w:right w:val="nil"/>
            </w:tcBorders>
            <w:tcMar>
              <w:top w:w="120" w:type="dxa"/>
              <w:left w:w="120" w:type="dxa"/>
              <w:bottom w:w="30" w:type="dxa"/>
              <w:right w:w="300" w:type="dxa"/>
            </w:tcMar>
          </w:tcPr>
          <w:p w14:paraId="09B48015" w14:textId="77777777" w:rsidR="00651853" w:rsidRPr="009A515A" w:rsidRDefault="00000000">
            <w:r w:rsidRPr="009A515A">
              <w:t>0.903</w:t>
            </w:r>
          </w:p>
        </w:tc>
        <w:tc>
          <w:tcPr>
            <w:tcW w:w="525" w:type="pct"/>
            <w:vMerge w:val="restart"/>
            <w:tcBorders>
              <w:top w:val="nil"/>
              <w:left w:val="nil"/>
              <w:right w:val="nil"/>
            </w:tcBorders>
            <w:tcMar>
              <w:top w:w="120" w:type="dxa"/>
              <w:left w:w="120" w:type="dxa"/>
              <w:bottom w:w="30" w:type="dxa"/>
              <w:right w:w="300" w:type="dxa"/>
            </w:tcMar>
          </w:tcPr>
          <w:p w14:paraId="6CA26DB5"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2E57AEE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0.0322</w:t>
            </w:r>
          </w:p>
        </w:tc>
        <w:tc>
          <w:tcPr>
            <w:tcW w:w="384" w:type="pct"/>
            <w:tcBorders>
              <w:top w:val="nil"/>
              <w:left w:val="nil"/>
              <w:bottom w:val="nil"/>
              <w:right w:val="nil"/>
            </w:tcBorders>
          </w:tcPr>
          <w:p w14:paraId="74DE321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B3418C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9EAACB0" w14:textId="77777777" w:rsidTr="005E6819">
        <w:trPr>
          <w:cantSplit/>
          <w:tblCellSpacing w:w="15" w:type="dxa"/>
        </w:trPr>
        <w:tc>
          <w:tcPr>
            <w:tcW w:w="775" w:type="pct"/>
            <w:vMerge/>
            <w:tcBorders>
              <w:top w:val="nil"/>
              <w:left w:val="nil"/>
              <w:bottom w:val="nil"/>
              <w:right w:val="nil"/>
            </w:tcBorders>
            <w:vAlign w:val="center"/>
            <w:hideMark/>
          </w:tcPr>
          <w:p w14:paraId="5D9876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D05ED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UE_2</w:t>
            </w:r>
          </w:p>
        </w:tc>
        <w:tc>
          <w:tcPr>
            <w:tcW w:w="581" w:type="pct"/>
            <w:tcBorders>
              <w:top w:val="nil"/>
              <w:left w:val="nil"/>
              <w:bottom w:val="nil"/>
              <w:right w:val="nil"/>
            </w:tcBorders>
            <w:tcMar>
              <w:top w:w="30" w:type="dxa"/>
              <w:left w:w="120" w:type="dxa"/>
              <w:bottom w:w="30" w:type="dxa"/>
              <w:right w:w="300" w:type="dxa"/>
            </w:tcMar>
            <w:hideMark/>
          </w:tcPr>
          <w:p w14:paraId="277DD66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0.696</w:t>
            </w:r>
          </w:p>
        </w:tc>
        <w:tc>
          <w:tcPr>
            <w:tcW w:w="728" w:type="pct"/>
            <w:vMerge/>
            <w:tcBorders>
              <w:left w:val="nil"/>
              <w:right w:val="nil"/>
            </w:tcBorders>
            <w:tcMar>
              <w:top w:w="30" w:type="dxa"/>
              <w:left w:w="120" w:type="dxa"/>
              <w:bottom w:w="30" w:type="dxa"/>
              <w:right w:w="300" w:type="dxa"/>
            </w:tcMar>
          </w:tcPr>
          <w:p w14:paraId="219630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9E13286"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F5BFA6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36A1EB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7CE6B64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5003A91" w14:textId="77777777" w:rsidTr="005E6819">
        <w:trPr>
          <w:cantSplit/>
          <w:tblCellSpacing w:w="15" w:type="dxa"/>
        </w:trPr>
        <w:tc>
          <w:tcPr>
            <w:tcW w:w="775" w:type="pct"/>
            <w:vMerge/>
            <w:tcBorders>
              <w:top w:val="nil"/>
              <w:left w:val="nil"/>
              <w:bottom w:val="nil"/>
              <w:right w:val="nil"/>
            </w:tcBorders>
            <w:vAlign w:val="center"/>
            <w:hideMark/>
          </w:tcPr>
          <w:p w14:paraId="7AEFA3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7143B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UE_3</w:t>
            </w:r>
          </w:p>
        </w:tc>
        <w:tc>
          <w:tcPr>
            <w:tcW w:w="581" w:type="pct"/>
            <w:tcBorders>
              <w:top w:val="nil"/>
              <w:left w:val="nil"/>
              <w:bottom w:val="nil"/>
              <w:right w:val="nil"/>
            </w:tcBorders>
            <w:tcMar>
              <w:top w:w="30" w:type="dxa"/>
              <w:left w:w="120" w:type="dxa"/>
              <w:bottom w:w="30" w:type="dxa"/>
              <w:right w:w="300" w:type="dxa"/>
            </w:tcMar>
            <w:hideMark/>
          </w:tcPr>
          <w:p w14:paraId="5240BF2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18F1B03B"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B028D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BF52E8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805D3E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629FBC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7F2F4E" w14:textId="77777777" w:rsidTr="005E6819">
        <w:trPr>
          <w:cantSplit/>
          <w:tblCellSpacing w:w="15" w:type="dxa"/>
        </w:trPr>
        <w:tc>
          <w:tcPr>
            <w:tcW w:w="775" w:type="pct"/>
            <w:vMerge/>
            <w:tcBorders>
              <w:top w:val="nil"/>
              <w:left w:val="nil"/>
              <w:bottom w:val="nil"/>
              <w:right w:val="nil"/>
            </w:tcBorders>
            <w:vAlign w:val="center"/>
            <w:hideMark/>
          </w:tcPr>
          <w:p w14:paraId="14D38F97"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13384F3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UE_4</w:t>
            </w:r>
          </w:p>
        </w:tc>
        <w:tc>
          <w:tcPr>
            <w:tcW w:w="581" w:type="pct"/>
            <w:tcBorders>
              <w:top w:val="nil"/>
              <w:left w:val="nil"/>
              <w:bottom w:val="nil"/>
              <w:right w:val="nil"/>
            </w:tcBorders>
            <w:tcMar>
              <w:top w:w="30" w:type="dxa"/>
              <w:left w:w="120" w:type="dxa"/>
              <w:bottom w:w="30" w:type="dxa"/>
              <w:right w:w="300" w:type="dxa"/>
            </w:tcMar>
            <w:hideMark/>
          </w:tcPr>
          <w:p w14:paraId="72432B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tcBorders>
              <w:left w:val="nil"/>
              <w:right w:val="nil"/>
            </w:tcBorders>
            <w:tcMar>
              <w:top w:w="30" w:type="dxa"/>
              <w:left w:w="120" w:type="dxa"/>
              <w:bottom w:w="30" w:type="dxa"/>
              <w:right w:w="300" w:type="dxa"/>
            </w:tcMar>
          </w:tcPr>
          <w:p w14:paraId="15FAB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F5CED8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1213D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0.0334</w:t>
            </w:r>
          </w:p>
        </w:tc>
        <w:tc>
          <w:tcPr>
            <w:tcW w:w="384" w:type="pct"/>
            <w:tcBorders>
              <w:top w:val="nil"/>
              <w:left w:val="nil"/>
              <w:bottom w:val="nil"/>
              <w:right w:val="nil"/>
            </w:tcBorders>
          </w:tcPr>
          <w:p w14:paraId="3F8FDBD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20.5</w:t>
            </w:r>
          </w:p>
        </w:tc>
        <w:tc>
          <w:tcPr>
            <w:tcW w:w="380" w:type="pct"/>
            <w:tcBorders>
              <w:top w:val="nil"/>
              <w:left w:val="nil"/>
              <w:bottom w:val="nil"/>
              <w:right w:val="nil"/>
            </w:tcBorders>
          </w:tcPr>
          <w:p w14:paraId="0CF2DFC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1EECF1F" w14:textId="77777777" w:rsidTr="005E6819">
        <w:trPr>
          <w:cantSplit/>
          <w:tblCellSpacing w:w="15" w:type="dxa"/>
        </w:trPr>
        <w:tc>
          <w:tcPr>
            <w:tcW w:w="775" w:type="pct"/>
            <w:vMerge/>
            <w:tcBorders>
              <w:top w:val="nil"/>
              <w:left w:val="nil"/>
              <w:bottom w:val="nil"/>
              <w:right w:val="nil"/>
            </w:tcBorders>
            <w:vAlign w:val="center"/>
            <w:hideMark/>
          </w:tcPr>
          <w:p w14:paraId="164699A8"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D817F1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UE_5</w:t>
            </w:r>
          </w:p>
        </w:tc>
        <w:tc>
          <w:tcPr>
            <w:tcW w:w="581" w:type="pct"/>
            <w:tcBorders>
              <w:top w:val="nil"/>
              <w:left w:val="nil"/>
              <w:bottom w:val="nil"/>
              <w:right w:val="nil"/>
            </w:tcBorders>
            <w:tcMar>
              <w:top w:w="30" w:type="dxa"/>
              <w:left w:w="120" w:type="dxa"/>
              <w:bottom w:w="30" w:type="dxa"/>
              <w:right w:w="300" w:type="dxa"/>
            </w:tcMar>
            <w:hideMark/>
          </w:tcPr>
          <w:p w14:paraId="5BF5BD5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0.698</w:t>
            </w:r>
          </w:p>
        </w:tc>
        <w:tc>
          <w:tcPr>
            <w:tcW w:w="728" w:type="pct"/>
            <w:vMerge/>
            <w:tcBorders>
              <w:left w:val="nil"/>
              <w:right w:val="nil"/>
            </w:tcBorders>
            <w:tcMar>
              <w:top w:w="30" w:type="dxa"/>
              <w:left w:w="120" w:type="dxa"/>
              <w:bottom w:w="30" w:type="dxa"/>
              <w:right w:w="300" w:type="dxa"/>
            </w:tcMar>
          </w:tcPr>
          <w:p w14:paraId="7D6DBBF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5D0311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F83B1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23FEAA7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7BDE159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71592284" w14:textId="77777777" w:rsidTr="005E6819">
        <w:trPr>
          <w:cantSplit/>
          <w:tblCellSpacing w:w="15" w:type="dxa"/>
        </w:trPr>
        <w:tc>
          <w:tcPr>
            <w:tcW w:w="775" w:type="pct"/>
            <w:vMerge/>
            <w:tcBorders>
              <w:top w:val="nil"/>
              <w:left w:val="nil"/>
              <w:bottom w:val="nil"/>
              <w:right w:val="nil"/>
            </w:tcBorders>
            <w:vAlign w:val="center"/>
            <w:hideMark/>
          </w:tcPr>
          <w:p w14:paraId="118C9196"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8B9D9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UE_6</w:t>
            </w:r>
          </w:p>
        </w:tc>
        <w:tc>
          <w:tcPr>
            <w:tcW w:w="581" w:type="pct"/>
            <w:tcBorders>
              <w:top w:val="nil"/>
              <w:left w:val="nil"/>
              <w:bottom w:val="nil"/>
              <w:right w:val="nil"/>
            </w:tcBorders>
            <w:tcMar>
              <w:top w:w="30" w:type="dxa"/>
              <w:left w:w="120" w:type="dxa"/>
              <w:bottom w:w="30" w:type="dxa"/>
              <w:right w:w="300" w:type="dxa"/>
            </w:tcMar>
            <w:hideMark/>
          </w:tcPr>
          <w:p w14:paraId="6CD010B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tcBorders>
              <w:left w:val="nil"/>
              <w:right w:val="nil"/>
            </w:tcBorders>
            <w:tcMar>
              <w:top w:w="30" w:type="dxa"/>
              <w:left w:w="120" w:type="dxa"/>
              <w:bottom w:w="30" w:type="dxa"/>
              <w:right w:w="300" w:type="dxa"/>
            </w:tcMar>
          </w:tcPr>
          <w:p w14:paraId="051F0E1C"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36D0DC9"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B681A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4999C9C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BDDA6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E47C055" w14:textId="77777777" w:rsidTr="005E6819">
        <w:trPr>
          <w:cantSplit/>
          <w:tblCellSpacing w:w="15" w:type="dxa"/>
        </w:trPr>
        <w:tc>
          <w:tcPr>
            <w:tcW w:w="775" w:type="pct"/>
            <w:vMerge/>
            <w:tcBorders>
              <w:top w:val="nil"/>
              <w:left w:val="nil"/>
              <w:bottom w:val="nil"/>
              <w:right w:val="nil"/>
            </w:tcBorders>
            <w:vAlign w:val="center"/>
            <w:hideMark/>
          </w:tcPr>
          <w:p w14:paraId="038E15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CCA20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UE_7</w:t>
            </w:r>
          </w:p>
        </w:tc>
        <w:tc>
          <w:tcPr>
            <w:tcW w:w="581" w:type="pct"/>
            <w:tcBorders>
              <w:top w:val="nil"/>
              <w:left w:val="nil"/>
              <w:bottom w:val="nil"/>
              <w:right w:val="nil"/>
            </w:tcBorders>
            <w:tcMar>
              <w:top w:w="30" w:type="dxa"/>
              <w:left w:w="120" w:type="dxa"/>
              <w:bottom w:w="30" w:type="dxa"/>
              <w:right w:w="300" w:type="dxa"/>
            </w:tcMar>
            <w:hideMark/>
          </w:tcPr>
          <w:p w14:paraId="715A83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387052E6"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8290FD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A52174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A53ED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20.9</w:t>
            </w:r>
          </w:p>
        </w:tc>
        <w:tc>
          <w:tcPr>
            <w:tcW w:w="380" w:type="pct"/>
            <w:tcBorders>
              <w:top w:val="nil"/>
              <w:left w:val="nil"/>
              <w:bottom w:val="nil"/>
              <w:right w:val="nil"/>
            </w:tcBorders>
          </w:tcPr>
          <w:p w14:paraId="30B86D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F77D8F4" w14:textId="77777777" w:rsidTr="005E6819">
        <w:trPr>
          <w:cantSplit/>
          <w:tblCellSpacing w:w="15" w:type="dxa"/>
        </w:trPr>
        <w:tc>
          <w:tcPr>
            <w:tcW w:w="775" w:type="pct"/>
            <w:vMerge/>
            <w:tcBorders>
              <w:top w:val="nil"/>
              <w:left w:val="nil"/>
              <w:bottom w:val="nil"/>
              <w:right w:val="nil"/>
            </w:tcBorders>
            <w:vAlign w:val="center"/>
            <w:hideMark/>
          </w:tcPr>
          <w:p w14:paraId="11AA3DE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B162D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UE_8</w:t>
            </w:r>
          </w:p>
        </w:tc>
        <w:tc>
          <w:tcPr>
            <w:tcW w:w="581" w:type="pct"/>
            <w:tcBorders>
              <w:top w:val="nil"/>
              <w:left w:val="nil"/>
              <w:bottom w:val="nil"/>
              <w:right w:val="nil"/>
            </w:tcBorders>
            <w:tcMar>
              <w:top w:w="30" w:type="dxa"/>
              <w:left w:w="120" w:type="dxa"/>
              <w:bottom w:w="30" w:type="dxa"/>
              <w:right w:w="300" w:type="dxa"/>
            </w:tcMar>
            <w:hideMark/>
          </w:tcPr>
          <w:p w14:paraId="2CD5918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0.707</w:t>
            </w:r>
          </w:p>
        </w:tc>
        <w:tc>
          <w:tcPr>
            <w:tcW w:w="728" w:type="pct"/>
            <w:vMerge/>
            <w:tcBorders>
              <w:left w:val="nil"/>
              <w:right w:val="nil"/>
            </w:tcBorders>
            <w:tcMar>
              <w:top w:w="30" w:type="dxa"/>
              <w:left w:w="120" w:type="dxa"/>
              <w:bottom w:w="30" w:type="dxa"/>
              <w:right w:w="300" w:type="dxa"/>
            </w:tcMar>
          </w:tcPr>
          <w:p w14:paraId="183CFA15"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652ABC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C94DB5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5AE8D2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46A5C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704B4FC" w14:textId="77777777" w:rsidTr="005E6819">
        <w:trPr>
          <w:cantSplit/>
          <w:tblCellSpacing w:w="15" w:type="dxa"/>
        </w:trPr>
        <w:tc>
          <w:tcPr>
            <w:tcW w:w="775" w:type="pct"/>
            <w:vMerge/>
            <w:tcBorders>
              <w:top w:val="nil"/>
              <w:left w:val="nil"/>
              <w:bottom w:val="nil"/>
              <w:right w:val="nil"/>
            </w:tcBorders>
            <w:vAlign w:val="center"/>
            <w:hideMark/>
          </w:tcPr>
          <w:p w14:paraId="53CADB5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84E46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UE_9</w:t>
            </w:r>
          </w:p>
        </w:tc>
        <w:tc>
          <w:tcPr>
            <w:tcW w:w="581" w:type="pct"/>
            <w:tcBorders>
              <w:top w:val="nil"/>
              <w:left w:val="nil"/>
              <w:bottom w:val="nil"/>
              <w:right w:val="nil"/>
            </w:tcBorders>
            <w:tcMar>
              <w:top w:w="30" w:type="dxa"/>
              <w:left w:w="120" w:type="dxa"/>
              <w:bottom w:w="30" w:type="dxa"/>
              <w:right w:w="300" w:type="dxa"/>
            </w:tcMar>
            <w:hideMark/>
          </w:tcPr>
          <w:p w14:paraId="5DF8E2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0.670</w:t>
            </w:r>
          </w:p>
        </w:tc>
        <w:tc>
          <w:tcPr>
            <w:tcW w:w="728" w:type="pct"/>
            <w:vMerge/>
            <w:tcBorders>
              <w:left w:val="nil"/>
              <w:right w:val="nil"/>
            </w:tcBorders>
            <w:tcMar>
              <w:top w:w="30" w:type="dxa"/>
              <w:left w:w="120" w:type="dxa"/>
              <w:bottom w:w="30" w:type="dxa"/>
              <w:right w:w="300" w:type="dxa"/>
            </w:tcMar>
          </w:tcPr>
          <w:p w14:paraId="3022FCB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946C610"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2920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0.0311</w:t>
            </w:r>
          </w:p>
        </w:tc>
        <w:tc>
          <w:tcPr>
            <w:tcW w:w="384" w:type="pct"/>
            <w:tcBorders>
              <w:top w:val="nil"/>
              <w:left w:val="nil"/>
              <w:bottom w:val="nil"/>
              <w:right w:val="nil"/>
            </w:tcBorders>
          </w:tcPr>
          <w:p w14:paraId="33DAC7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6B278A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9283E44" w14:textId="77777777" w:rsidTr="005E6819">
        <w:trPr>
          <w:cantSplit/>
          <w:tblCellSpacing w:w="15" w:type="dxa"/>
        </w:trPr>
        <w:tc>
          <w:tcPr>
            <w:tcW w:w="775" w:type="pct"/>
            <w:vMerge/>
            <w:tcBorders>
              <w:top w:val="nil"/>
              <w:left w:val="nil"/>
              <w:bottom w:val="nil"/>
              <w:right w:val="nil"/>
            </w:tcBorders>
            <w:vAlign w:val="center"/>
            <w:hideMark/>
          </w:tcPr>
          <w:p w14:paraId="3AA01192"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9CEE8B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UE_10</w:t>
            </w:r>
          </w:p>
        </w:tc>
        <w:tc>
          <w:tcPr>
            <w:tcW w:w="581" w:type="pct"/>
            <w:tcBorders>
              <w:top w:val="nil"/>
              <w:left w:val="nil"/>
              <w:bottom w:val="nil"/>
              <w:right w:val="nil"/>
            </w:tcBorders>
            <w:tcMar>
              <w:top w:w="30" w:type="dxa"/>
              <w:left w:w="120" w:type="dxa"/>
              <w:bottom w:w="30" w:type="dxa"/>
              <w:right w:w="300" w:type="dxa"/>
            </w:tcMar>
            <w:hideMark/>
          </w:tcPr>
          <w:p w14:paraId="01C212F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bottom w:val="nil"/>
              <w:right w:val="nil"/>
            </w:tcBorders>
            <w:tcMar>
              <w:top w:w="30" w:type="dxa"/>
              <w:left w:w="120" w:type="dxa"/>
              <w:bottom w:w="30" w:type="dxa"/>
              <w:right w:w="300" w:type="dxa"/>
            </w:tcMar>
          </w:tcPr>
          <w:p w14:paraId="0D5F4656"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1B19FD3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F147C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5FF7349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9A8BB5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E6C2674"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27E996F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Experience</w:t>
            </w:r>
          </w:p>
        </w:tc>
        <w:tc>
          <w:tcPr>
            <w:tcW w:w="675" w:type="pct"/>
            <w:tcBorders>
              <w:top w:val="nil"/>
              <w:left w:val="nil"/>
              <w:bottom w:val="nil"/>
              <w:right w:val="nil"/>
            </w:tcBorders>
            <w:tcMar>
              <w:top w:w="120" w:type="dxa"/>
              <w:left w:w="120" w:type="dxa"/>
              <w:bottom w:w="60" w:type="dxa"/>
              <w:right w:w="120" w:type="dxa"/>
            </w:tcMar>
            <w:hideMark/>
          </w:tcPr>
          <w:p w14:paraId="47522B0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w:t>
            </w:r>
          </w:p>
        </w:tc>
        <w:tc>
          <w:tcPr>
            <w:tcW w:w="581" w:type="pct"/>
            <w:tcBorders>
              <w:top w:val="nil"/>
              <w:left w:val="nil"/>
              <w:bottom w:val="nil"/>
              <w:right w:val="nil"/>
            </w:tcBorders>
            <w:tcMar>
              <w:top w:w="120" w:type="dxa"/>
              <w:left w:w="120" w:type="dxa"/>
              <w:bottom w:w="30" w:type="dxa"/>
              <w:right w:w="300" w:type="dxa"/>
            </w:tcMar>
            <w:hideMark/>
          </w:tcPr>
          <w:p w14:paraId="364A3B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0.690</w:t>
            </w:r>
          </w:p>
        </w:tc>
        <w:tc>
          <w:tcPr>
            <w:tcW w:w="728" w:type="pct"/>
            <w:vMerge w:val="restart"/>
            <w:tcBorders>
              <w:top w:val="nil"/>
              <w:left w:val="nil"/>
              <w:right w:val="nil"/>
            </w:tcBorders>
            <w:tcMar>
              <w:top w:w="120" w:type="dxa"/>
              <w:left w:w="120" w:type="dxa"/>
              <w:bottom w:w="30" w:type="dxa"/>
              <w:right w:w="300" w:type="dxa"/>
            </w:tcMar>
          </w:tcPr>
          <w:p w14:paraId="58DD97C0" w14:textId="77777777" w:rsidR="00651853" w:rsidRPr="009A515A" w:rsidRDefault="00000000">
            <w:r w:rsidRPr="009A515A">
              <w:t>0.902</w:t>
            </w:r>
          </w:p>
        </w:tc>
        <w:tc>
          <w:tcPr>
            <w:tcW w:w="525" w:type="pct"/>
            <w:vMerge w:val="restart"/>
            <w:tcBorders>
              <w:top w:val="nil"/>
              <w:left w:val="nil"/>
              <w:right w:val="nil"/>
            </w:tcBorders>
            <w:tcMar>
              <w:top w:w="120" w:type="dxa"/>
              <w:left w:w="120" w:type="dxa"/>
              <w:bottom w:w="30" w:type="dxa"/>
              <w:right w:w="300" w:type="dxa"/>
            </w:tcMar>
          </w:tcPr>
          <w:p w14:paraId="481396E9"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329153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0C42A3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378053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33DAFCD" w14:textId="77777777" w:rsidTr="005E6819">
        <w:trPr>
          <w:cantSplit/>
          <w:tblCellSpacing w:w="15" w:type="dxa"/>
        </w:trPr>
        <w:tc>
          <w:tcPr>
            <w:tcW w:w="775" w:type="pct"/>
            <w:vMerge/>
            <w:tcBorders>
              <w:top w:val="nil"/>
              <w:left w:val="nil"/>
              <w:bottom w:val="nil"/>
              <w:right w:val="nil"/>
            </w:tcBorders>
            <w:vAlign w:val="center"/>
            <w:hideMark/>
          </w:tcPr>
          <w:p w14:paraId="760C218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A6E4B3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UX_2</w:t>
            </w:r>
          </w:p>
        </w:tc>
        <w:tc>
          <w:tcPr>
            <w:tcW w:w="581" w:type="pct"/>
            <w:tcBorders>
              <w:top w:val="nil"/>
              <w:left w:val="nil"/>
              <w:bottom w:val="nil"/>
              <w:right w:val="nil"/>
            </w:tcBorders>
            <w:tcMar>
              <w:top w:w="30" w:type="dxa"/>
              <w:left w:w="120" w:type="dxa"/>
              <w:bottom w:w="30" w:type="dxa"/>
              <w:right w:w="300" w:type="dxa"/>
            </w:tcMar>
            <w:hideMark/>
          </w:tcPr>
          <w:p w14:paraId="0449939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0.681</w:t>
            </w:r>
          </w:p>
        </w:tc>
        <w:tc>
          <w:tcPr>
            <w:tcW w:w="728" w:type="pct"/>
            <w:vMerge/>
            <w:tcBorders>
              <w:left w:val="nil"/>
              <w:right w:val="nil"/>
            </w:tcBorders>
            <w:tcMar>
              <w:top w:w="30" w:type="dxa"/>
              <w:left w:w="120" w:type="dxa"/>
              <w:bottom w:w="30" w:type="dxa"/>
              <w:right w:w="300" w:type="dxa"/>
            </w:tcMar>
          </w:tcPr>
          <w:p w14:paraId="15B0E52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E549B7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DD96F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25F6A24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1BB8DD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4E71422" w14:textId="77777777" w:rsidTr="005E6819">
        <w:trPr>
          <w:cantSplit/>
          <w:tblCellSpacing w:w="15" w:type="dxa"/>
        </w:trPr>
        <w:tc>
          <w:tcPr>
            <w:tcW w:w="775" w:type="pct"/>
            <w:vMerge/>
            <w:tcBorders>
              <w:top w:val="nil"/>
              <w:left w:val="nil"/>
              <w:bottom w:val="nil"/>
              <w:right w:val="nil"/>
            </w:tcBorders>
            <w:vAlign w:val="center"/>
            <w:hideMark/>
          </w:tcPr>
          <w:p w14:paraId="408E098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FE6B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UX_3</w:t>
            </w:r>
          </w:p>
        </w:tc>
        <w:tc>
          <w:tcPr>
            <w:tcW w:w="581" w:type="pct"/>
            <w:tcBorders>
              <w:top w:val="nil"/>
              <w:left w:val="nil"/>
              <w:bottom w:val="nil"/>
              <w:right w:val="nil"/>
            </w:tcBorders>
            <w:tcMar>
              <w:top w:w="30" w:type="dxa"/>
              <w:left w:w="120" w:type="dxa"/>
              <w:bottom w:w="30" w:type="dxa"/>
              <w:right w:w="300" w:type="dxa"/>
            </w:tcMar>
            <w:hideMark/>
          </w:tcPr>
          <w:p w14:paraId="1112EB8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0.714</w:t>
            </w:r>
          </w:p>
        </w:tc>
        <w:tc>
          <w:tcPr>
            <w:tcW w:w="728" w:type="pct"/>
            <w:vMerge/>
            <w:tcBorders>
              <w:left w:val="nil"/>
              <w:right w:val="nil"/>
            </w:tcBorders>
            <w:tcMar>
              <w:top w:w="30" w:type="dxa"/>
              <w:left w:w="120" w:type="dxa"/>
              <w:bottom w:w="30" w:type="dxa"/>
              <w:right w:w="300" w:type="dxa"/>
            </w:tcMar>
          </w:tcPr>
          <w:p w14:paraId="1DE337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0D0055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76A900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E25700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4D47C1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0BE697E" w14:textId="77777777" w:rsidTr="005E6819">
        <w:trPr>
          <w:cantSplit/>
          <w:tblCellSpacing w:w="15" w:type="dxa"/>
        </w:trPr>
        <w:tc>
          <w:tcPr>
            <w:tcW w:w="775" w:type="pct"/>
            <w:vMerge/>
            <w:tcBorders>
              <w:top w:val="nil"/>
              <w:left w:val="nil"/>
              <w:bottom w:val="nil"/>
              <w:right w:val="nil"/>
            </w:tcBorders>
            <w:vAlign w:val="center"/>
            <w:hideMark/>
          </w:tcPr>
          <w:p w14:paraId="3FFC4C4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D07C1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UX_4</w:t>
            </w:r>
          </w:p>
        </w:tc>
        <w:tc>
          <w:tcPr>
            <w:tcW w:w="581" w:type="pct"/>
            <w:tcBorders>
              <w:top w:val="nil"/>
              <w:left w:val="nil"/>
              <w:bottom w:val="nil"/>
              <w:right w:val="nil"/>
            </w:tcBorders>
            <w:tcMar>
              <w:top w:w="30" w:type="dxa"/>
              <w:left w:w="120" w:type="dxa"/>
              <w:bottom w:w="30" w:type="dxa"/>
              <w:right w:w="300" w:type="dxa"/>
            </w:tcMar>
            <w:hideMark/>
          </w:tcPr>
          <w:p w14:paraId="3D904C1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0.694</w:t>
            </w:r>
          </w:p>
        </w:tc>
        <w:tc>
          <w:tcPr>
            <w:tcW w:w="728" w:type="pct"/>
            <w:vMerge/>
            <w:tcBorders>
              <w:left w:val="nil"/>
              <w:right w:val="nil"/>
            </w:tcBorders>
            <w:tcMar>
              <w:top w:w="30" w:type="dxa"/>
              <w:left w:w="120" w:type="dxa"/>
              <w:bottom w:w="30" w:type="dxa"/>
              <w:right w:w="300" w:type="dxa"/>
            </w:tcMar>
          </w:tcPr>
          <w:p w14:paraId="63C3FE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102718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5CB35C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FDA90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5EECE2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2CA6FA6" w14:textId="77777777" w:rsidTr="005E6819">
        <w:trPr>
          <w:cantSplit/>
          <w:tblCellSpacing w:w="15" w:type="dxa"/>
        </w:trPr>
        <w:tc>
          <w:tcPr>
            <w:tcW w:w="775" w:type="pct"/>
            <w:vMerge/>
            <w:tcBorders>
              <w:top w:val="nil"/>
              <w:left w:val="nil"/>
              <w:bottom w:val="nil"/>
              <w:right w:val="nil"/>
            </w:tcBorders>
            <w:vAlign w:val="center"/>
            <w:hideMark/>
          </w:tcPr>
          <w:p w14:paraId="63E1D3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696A701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UX_5</w:t>
            </w:r>
          </w:p>
        </w:tc>
        <w:tc>
          <w:tcPr>
            <w:tcW w:w="581" w:type="pct"/>
            <w:tcBorders>
              <w:top w:val="nil"/>
              <w:left w:val="nil"/>
              <w:bottom w:val="nil"/>
              <w:right w:val="nil"/>
            </w:tcBorders>
            <w:tcMar>
              <w:top w:w="30" w:type="dxa"/>
              <w:left w:w="120" w:type="dxa"/>
              <w:bottom w:w="30" w:type="dxa"/>
              <w:right w:w="300" w:type="dxa"/>
            </w:tcMar>
            <w:hideMark/>
          </w:tcPr>
          <w:p w14:paraId="335BF2E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0.678</w:t>
            </w:r>
          </w:p>
        </w:tc>
        <w:tc>
          <w:tcPr>
            <w:tcW w:w="728" w:type="pct"/>
            <w:vMerge/>
            <w:tcBorders>
              <w:left w:val="nil"/>
              <w:right w:val="nil"/>
            </w:tcBorders>
            <w:tcMar>
              <w:top w:w="30" w:type="dxa"/>
              <w:left w:w="120" w:type="dxa"/>
              <w:bottom w:w="30" w:type="dxa"/>
              <w:right w:w="300" w:type="dxa"/>
            </w:tcMar>
          </w:tcPr>
          <w:p w14:paraId="698391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7839415"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DD4E44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3B46AB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2135AA1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069BAD8" w14:textId="77777777" w:rsidTr="005E6819">
        <w:trPr>
          <w:cantSplit/>
          <w:tblCellSpacing w:w="15" w:type="dxa"/>
        </w:trPr>
        <w:tc>
          <w:tcPr>
            <w:tcW w:w="775" w:type="pct"/>
            <w:vMerge/>
            <w:tcBorders>
              <w:top w:val="nil"/>
              <w:left w:val="nil"/>
              <w:bottom w:val="nil"/>
              <w:right w:val="nil"/>
            </w:tcBorders>
            <w:vAlign w:val="center"/>
            <w:hideMark/>
          </w:tcPr>
          <w:p w14:paraId="4B29F77D"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85B7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UX_6</w:t>
            </w:r>
          </w:p>
        </w:tc>
        <w:tc>
          <w:tcPr>
            <w:tcW w:w="581" w:type="pct"/>
            <w:tcBorders>
              <w:top w:val="nil"/>
              <w:left w:val="nil"/>
              <w:bottom w:val="nil"/>
              <w:right w:val="nil"/>
            </w:tcBorders>
            <w:tcMar>
              <w:top w:w="30" w:type="dxa"/>
              <w:left w:w="120" w:type="dxa"/>
              <w:bottom w:w="30" w:type="dxa"/>
              <w:right w:w="300" w:type="dxa"/>
            </w:tcMar>
            <w:hideMark/>
          </w:tcPr>
          <w:p w14:paraId="6FAAA58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009CDABA"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C7FCB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DA8A42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79AEE9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4501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C3D55A0" w14:textId="77777777" w:rsidTr="005E6819">
        <w:trPr>
          <w:cantSplit/>
          <w:tblCellSpacing w:w="15" w:type="dxa"/>
        </w:trPr>
        <w:tc>
          <w:tcPr>
            <w:tcW w:w="775" w:type="pct"/>
            <w:vMerge/>
            <w:tcBorders>
              <w:top w:val="nil"/>
              <w:left w:val="nil"/>
              <w:bottom w:val="nil"/>
              <w:right w:val="nil"/>
            </w:tcBorders>
            <w:vAlign w:val="center"/>
            <w:hideMark/>
          </w:tcPr>
          <w:p w14:paraId="5331E74E"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C8378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UX_7</w:t>
            </w:r>
          </w:p>
        </w:tc>
        <w:tc>
          <w:tcPr>
            <w:tcW w:w="581" w:type="pct"/>
            <w:tcBorders>
              <w:top w:val="nil"/>
              <w:left w:val="nil"/>
              <w:bottom w:val="nil"/>
              <w:right w:val="nil"/>
            </w:tcBorders>
            <w:tcMar>
              <w:top w:w="30" w:type="dxa"/>
              <w:left w:w="120" w:type="dxa"/>
              <w:bottom w:w="30" w:type="dxa"/>
              <w:right w:w="300" w:type="dxa"/>
            </w:tcMar>
            <w:hideMark/>
          </w:tcPr>
          <w:p w14:paraId="1AABCB9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0.687</w:t>
            </w:r>
          </w:p>
        </w:tc>
        <w:tc>
          <w:tcPr>
            <w:tcW w:w="728" w:type="pct"/>
            <w:vMerge/>
            <w:tcBorders>
              <w:left w:val="nil"/>
              <w:right w:val="nil"/>
            </w:tcBorders>
            <w:tcMar>
              <w:top w:w="30" w:type="dxa"/>
              <w:left w:w="120" w:type="dxa"/>
              <w:bottom w:w="30" w:type="dxa"/>
              <w:right w:w="300" w:type="dxa"/>
            </w:tcMar>
          </w:tcPr>
          <w:p w14:paraId="4BAE259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2E5D5F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64F68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5F7975C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51A9701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3D2188B" w14:textId="77777777" w:rsidTr="005E6819">
        <w:trPr>
          <w:cantSplit/>
          <w:tblCellSpacing w:w="15" w:type="dxa"/>
        </w:trPr>
        <w:tc>
          <w:tcPr>
            <w:tcW w:w="775" w:type="pct"/>
            <w:vMerge/>
            <w:tcBorders>
              <w:top w:val="nil"/>
              <w:left w:val="nil"/>
              <w:bottom w:val="nil"/>
              <w:right w:val="nil"/>
            </w:tcBorders>
            <w:vAlign w:val="center"/>
            <w:hideMark/>
          </w:tcPr>
          <w:p w14:paraId="080ADB5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38CF74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UX_8</w:t>
            </w:r>
          </w:p>
        </w:tc>
        <w:tc>
          <w:tcPr>
            <w:tcW w:w="581" w:type="pct"/>
            <w:tcBorders>
              <w:top w:val="nil"/>
              <w:left w:val="nil"/>
              <w:bottom w:val="nil"/>
              <w:right w:val="nil"/>
            </w:tcBorders>
            <w:tcMar>
              <w:top w:w="30" w:type="dxa"/>
              <w:left w:w="120" w:type="dxa"/>
              <w:bottom w:w="30" w:type="dxa"/>
              <w:right w:w="300" w:type="dxa"/>
            </w:tcMar>
            <w:hideMark/>
          </w:tcPr>
          <w:p w14:paraId="71F6A5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1E3F8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73C7A8F"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63669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0.0320</w:t>
            </w:r>
          </w:p>
        </w:tc>
        <w:tc>
          <w:tcPr>
            <w:tcW w:w="384" w:type="pct"/>
            <w:tcBorders>
              <w:top w:val="nil"/>
              <w:left w:val="nil"/>
              <w:bottom w:val="nil"/>
              <w:right w:val="nil"/>
            </w:tcBorders>
          </w:tcPr>
          <w:p w14:paraId="606760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8E427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C5B03AC" w14:textId="77777777" w:rsidTr="005E6819">
        <w:trPr>
          <w:cantSplit/>
          <w:tblCellSpacing w:w="15" w:type="dxa"/>
        </w:trPr>
        <w:tc>
          <w:tcPr>
            <w:tcW w:w="775" w:type="pct"/>
            <w:vMerge/>
            <w:tcBorders>
              <w:top w:val="nil"/>
              <w:left w:val="nil"/>
              <w:bottom w:val="nil"/>
              <w:right w:val="nil"/>
            </w:tcBorders>
            <w:vAlign w:val="center"/>
            <w:hideMark/>
          </w:tcPr>
          <w:p w14:paraId="0E0475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C1B68C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UX_9</w:t>
            </w:r>
          </w:p>
        </w:tc>
        <w:tc>
          <w:tcPr>
            <w:tcW w:w="581" w:type="pct"/>
            <w:tcBorders>
              <w:top w:val="nil"/>
              <w:left w:val="nil"/>
              <w:bottom w:val="nil"/>
              <w:right w:val="nil"/>
            </w:tcBorders>
            <w:tcMar>
              <w:top w:w="30" w:type="dxa"/>
              <w:left w:w="120" w:type="dxa"/>
              <w:bottom w:w="30" w:type="dxa"/>
              <w:right w:w="300" w:type="dxa"/>
            </w:tcMar>
            <w:hideMark/>
          </w:tcPr>
          <w:p w14:paraId="228FF25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0.703</w:t>
            </w:r>
          </w:p>
        </w:tc>
        <w:tc>
          <w:tcPr>
            <w:tcW w:w="728" w:type="pct"/>
            <w:vMerge/>
            <w:tcBorders>
              <w:left w:val="nil"/>
              <w:right w:val="nil"/>
            </w:tcBorders>
            <w:tcMar>
              <w:top w:w="30" w:type="dxa"/>
              <w:left w:w="120" w:type="dxa"/>
              <w:bottom w:w="30" w:type="dxa"/>
              <w:right w:w="300" w:type="dxa"/>
            </w:tcMar>
          </w:tcPr>
          <w:p w14:paraId="074FB43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7C2657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7BAA5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6E7485D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073F8E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0FBACB4" w14:textId="77777777" w:rsidTr="005E6819">
        <w:trPr>
          <w:cantSplit/>
          <w:tblCellSpacing w:w="15" w:type="dxa"/>
        </w:trPr>
        <w:tc>
          <w:tcPr>
            <w:tcW w:w="775" w:type="pct"/>
            <w:vMerge/>
            <w:tcBorders>
              <w:top w:val="nil"/>
              <w:left w:val="nil"/>
              <w:bottom w:val="nil"/>
              <w:right w:val="nil"/>
            </w:tcBorders>
            <w:vAlign w:val="center"/>
            <w:hideMark/>
          </w:tcPr>
          <w:p w14:paraId="3AA8B4B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52921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UX_10</w:t>
            </w:r>
          </w:p>
        </w:tc>
        <w:tc>
          <w:tcPr>
            <w:tcW w:w="581" w:type="pct"/>
            <w:tcBorders>
              <w:top w:val="nil"/>
              <w:left w:val="nil"/>
              <w:bottom w:val="nil"/>
              <w:right w:val="nil"/>
            </w:tcBorders>
            <w:tcMar>
              <w:top w:w="30" w:type="dxa"/>
              <w:left w:w="120" w:type="dxa"/>
              <w:bottom w:w="30" w:type="dxa"/>
              <w:right w:w="300" w:type="dxa"/>
            </w:tcMar>
            <w:hideMark/>
          </w:tcPr>
          <w:p w14:paraId="45F149D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0.702</w:t>
            </w:r>
          </w:p>
        </w:tc>
        <w:tc>
          <w:tcPr>
            <w:tcW w:w="728" w:type="pct"/>
            <w:vMerge/>
            <w:tcBorders>
              <w:left w:val="nil"/>
              <w:bottom w:val="nil"/>
              <w:right w:val="nil"/>
            </w:tcBorders>
            <w:tcMar>
              <w:top w:w="30" w:type="dxa"/>
              <w:left w:w="120" w:type="dxa"/>
              <w:bottom w:w="30" w:type="dxa"/>
              <w:right w:w="300" w:type="dxa"/>
            </w:tcMar>
          </w:tcPr>
          <w:p w14:paraId="54ABB120"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59B6EC8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9D7B1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0.0321</w:t>
            </w:r>
          </w:p>
        </w:tc>
        <w:tc>
          <w:tcPr>
            <w:tcW w:w="384" w:type="pct"/>
            <w:tcBorders>
              <w:top w:val="nil"/>
              <w:left w:val="nil"/>
              <w:bottom w:val="nil"/>
              <w:right w:val="nil"/>
            </w:tcBorders>
          </w:tcPr>
          <w:p w14:paraId="098919F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6BB52FE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511B18C3" w14:textId="77777777" w:rsidTr="005E6819">
        <w:trPr>
          <w:cantSplit/>
          <w:tblCellSpacing w:w="15" w:type="dxa"/>
        </w:trPr>
        <w:tc>
          <w:tcPr>
            <w:tcW w:w="775" w:type="pct"/>
            <w:vMerge w:val="restart"/>
            <w:tcBorders>
              <w:top w:val="nil"/>
              <w:left w:val="nil"/>
              <w:bottom w:val="single" w:sz="12" w:space="0" w:color="333333"/>
              <w:right w:val="nil"/>
            </w:tcBorders>
            <w:tcMar>
              <w:top w:w="120" w:type="dxa"/>
              <w:left w:w="120" w:type="dxa"/>
              <w:bottom w:w="60" w:type="dxa"/>
              <w:right w:w="120" w:type="dxa"/>
            </w:tcMar>
            <w:hideMark/>
          </w:tcPr>
          <w:p w14:paraId="721D2B90"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Brand Success</w:t>
            </w:r>
          </w:p>
        </w:tc>
        <w:tc>
          <w:tcPr>
            <w:tcW w:w="675" w:type="pct"/>
            <w:tcBorders>
              <w:top w:val="nil"/>
              <w:left w:val="nil"/>
              <w:bottom w:val="nil"/>
              <w:right w:val="nil"/>
            </w:tcBorders>
            <w:tcMar>
              <w:top w:w="120" w:type="dxa"/>
              <w:left w:w="120" w:type="dxa"/>
              <w:bottom w:w="60" w:type="dxa"/>
              <w:right w:w="120" w:type="dxa"/>
            </w:tcMar>
            <w:hideMark/>
          </w:tcPr>
          <w:p w14:paraId="641D19AA"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BSUC_1</w:t>
            </w:r>
          </w:p>
        </w:tc>
        <w:tc>
          <w:tcPr>
            <w:tcW w:w="581" w:type="pct"/>
            <w:tcBorders>
              <w:top w:val="nil"/>
              <w:left w:val="nil"/>
              <w:bottom w:val="nil"/>
              <w:right w:val="nil"/>
            </w:tcBorders>
            <w:tcMar>
              <w:top w:w="120" w:type="dxa"/>
              <w:left w:w="120" w:type="dxa"/>
              <w:bottom w:w="30" w:type="dxa"/>
              <w:right w:w="300" w:type="dxa"/>
            </w:tcMar>
            <w:hideMark/>
          </w:tcPr>
          <w:p w14:paraId="4B6E6D3E"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0.661</w:t>
            </w:r>
          </w:p>
        </w:tc>
        <w:tc>
          <w:tcPr>
            <w:tcW w:w="728" w:type="pct"/>
            <w:vMerge w:val="restart"/>
            <w:tcBorders>
              <w:top w:val="nil"/>
              <w:left w:val="nil"/>
              <w:right w:val="nil"/>
            </w:tcBorders>
            <w:tcMar>
              <w:top w:w="120" w:type="dxa"/>
              <w:left w:w="120" w:type="dxa"/>
              <w:bottom w:w="30" w:type="dxa"/>
              <w:right w:w="300" w:type="dxa"/>
            </w:tcMar>
          </w:tcPr>
          <w:p w14:paraId="6661BF3C" w14:textId="77777777" w:rsidR="00651853" w:rsidRPr="009A515A" w:rsidRDefault="00000000">
            <w:r w:rsidRPr="009A515A">
              <w:t>0.765</w:t>
            </w:r>
          </w:p>
        </w:tc>
        <w:tc>
          <w:tcPr>
            <w:tcW w:w="525" w:type="pct"/>
            <w:tcBorders>
              <w:top w:val="nil"/>
              <w:left w:val="nil"/>
              <w:bottom w:val="nil"/>
              <w:right w:val="nil"/>
            </w:tcBorders>
            <w:tcMar>
              <w:top w:w="120" w:type="dxa"/>
              <w:left w:w="120" w:type="dxa"/>
              <w:bottom w:w="30" w:type="dxa"/>
              <w:right w:w="300" w:type="dxa"/>
            </w:tcMar>
          </w:tcPr>
          <w:p w14:paraId="4EF24739" w14:textId="77777777" w:rsidR="00651853" w:rsidRPr="009A515A" w:rsidRDefault="00000000">
            <w:r w:rsidRPr="009A515A">
              <w:t>0.448</w:t>
            </w:r>
          </w:p>
        </w:tc>
        <w:tc>
          <w:tcPr>
            <w:tcW w:w="789" w:type="pct"/>
            <w:tcBorders>
              <w:top w:val="nil"/>
              <w:left w:val="nil"/>
              <w:bottom w:val="nil"/>
              <w:right w:val="nil"/>
            </w:tcBorders>
            <w:tcMar>
              <w:top w:w="120" w:type="dxa"/>
              <w:left w:w="120" w:type="dxa"/>
              <w:bottom w:w="30" w:type="dxa"/>
              <w:right w:w="300" w:type="dxa"/>
            </w:tcMar>
          </w:tcPr>
          <w:p w14:paraId="3FA33B2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0.0308</w:t>
            </w:r>
          </w:p>
        </w:tc>
        <w:tc>
          <w:tcPr>
            <w:tcW w:w="384" w:type="pct"/>
            <w:tcBorders>
              <w:top w:val="nil"/>
              <w:left w:val="nil"/>
              <w:bottom w:val="nil"/>
              <w:right w:val="nil"/>
            </w:tcBorders>
          </w:tcPr>
          <w:p w14:paraId="74216B7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1255AD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F59DC00"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1791DA31"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16C4C1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BSUC_2</w:t>
            </w:r>
          </w:p>
        </w:tc>
        <w:tc>
          <w:tcPr>
            <w:tcW w:w="581" w:type="pct"/>
            <w:tcBorders>
              <w:top w:val="nil"/>
              <w:left w:val="nil"/>
              <w:bottom w:val="nil"/>
              <w:right w:val="nil"/>
            </w:tcBorders>
            <w:tcMar>
              <w:top w:w="30" w:type="dxa"/>
              <w:left w:w="120" w:type="dxa"/>
              <w:bottom w:w="30" w:type="dxa"/>
              <w:right w:w="300" w:type="dxa"/>
            </w:tcMar>
            <w:hideMark/>
          </w:tcPr>
          <w:p w14:paraId="42B0C4D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0.662</w:t>
            </w:r>
          </w:p>
        </w:tc>
        <w:tc>
          <w:tcPr>
            <w:tcW w:w="728" w:type="pct"/>
            <w:vMerge/>
            <w:tcBorders>
              <w:left w:val="nil"/>
              <w:right w:val="nil"/>
            </w:tcBorders>
            <w:tcMar>
              <w:top w:w="30" w:type="dxa"/>
              <w:left w:w="120" w:type="dxa"/>
              <w:bottom w:w="30" w:type="dxa"/>
              <w:right w:w="300" w:type="dxa"/>
            </w:tcMar>
          </w:tcPr>
          <w:p w14:paraId="127CFAF9"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5FB4EE22"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3B2079B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0.0314</w:t>
            </w:r>
          </w:p>
        </w:tc>
        <w:tc>
          <w:tcPr>
            <w:tcW w:w="384" w:type="pct"/>
            <w:tcBorders>
              <w:top w:val="nil"/>
              <w:left w:val="nil"/>
              <w:bottom w:val="nil"/>
              <w:right w:val="nil"/>
            </w:tcBorders>
          </w:tcPr>
          <w:p w14:paraId="67EA9335"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2D1E52C3"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02F6B9A7"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3559F20C"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A78E8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BSUC_3</w:t>
            </w:r>
          </w:p>
        </w:tc>
        <w:tc>
          <w:tcPr>
            <w:tcW w:w="581" w:type="pct"/>
            <w:tcBorders>
              <w:top w:val="nil"/>
              <w:left w:val="nil"/>
              <w:bottom w:val="nil"/>
              <w:right w:val="nil"/>
            </w:tcBorders>
            <w:tcMar>
              <w:top w:w="30" w:type="dxa"/>
              <w:left w:w="120" w:type="dxa"/>
              <w:bottom w:w="30" w:type="dxa"/>
              <w:right w:w="300" w:type="dxa"/>
            </w:tcMar>
            <w:hideMark/>
          </w:tcPr>
          <w:p w14:paraId="7514890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0.673</w:t>
            </w:r>
          </w:p>
        </w:tc>
        <w:tc>
          <w:tcPr>
            <w:tcW w:w="728" w:type="pct"/>
            <w:vMerge/>
            <w:tcBorders>
              <w:left w:val="nil"/>
              <w:right w:val="nil"/>
            </w:tcBorders>
            <w:tcMar>
              <w:top w:w="30" w:type="dxa"/>
              <w:left w:w="120" w:type="dxa"/>
              <w:bottom w:w="30" w:type="dxa"/>
              <w:right w:w="300" w:type="dxa"/>
            </w:tcMar>
          </w:tcPr>
          <w:p w14:paraId="2FDA5253"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65950035"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2035EB1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0.0313</w:t>
            </w:r>
          </w:p>
        </w:tc>
        <w:tc>
          <w:tcPr>
            <w:tcW w:w="384" w:type="pct"/>
            <w:tcBorders>
              <w:top w:val="nil"/>
              <w:left w:val="nil"/>
              <w:bottom w:val="nil"/>
              <w:right w:val="nil"/>
            </w:tcBorders>
          </w:tcPr>
          <w:p w14:paraId="4F88922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55C5A08"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DD00A7D"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4E3CFFDA"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single" w:sz="12" w:space="0" w:color="333333"/>
              <w:right w:val="nil"/>
            </w:tcBorders>
            <w:tcMar>
              <w:top w:w="60" w:type="dxa"/>
              <w:left w:w="120" w:type="dxa"/>
              <w:bottom w:w="120" w:type="dxa"/>
              <w:right w:w="120" w:type="dxa"/>
            </w:tcMar>
            <w:hideMark/>
          </w:tcPr>
          <w:p w14:paraId="1530334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BSUC_4</w:t>
            </w:r>
          </w:p>
        </w:tc>
        <w:tc>
          <w:tcPr>
            <w:tcW w:w="581" w:type="pct"/>
            <w:tcBorders>
              <w:top w:val="nil"/>
              <w:left w:val="nil"/>
              <w:bottom w:val="single" w:sz="12" w:space="0" w:color="333333"/>
              <w:right w:val="nil"/>
            </w:tcBorders>
            <w:tcMar>
              <w:top w:w="30" w:type="dxa"/>
              <w:left w:w="120" w:type="dxa"/>
              <w:bottom w:w="120" w:type="dxa"/>
              <w:right w:w="300" w:type="dxa"/>
            </w:tcMar>
            <w:hideMark/>
          </w:tcPr>
          <w:p w14:paraId="752BF68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0.682</w:t>
            </w:r>
          </w:p>
        </w:tc>
        <w:tc>
          <w:tcPr>
            <w:tcW w:w="728" w:type="pct"/>
            <w:vMerge/>
            <w:tcBorders>
              <w:left w:val="nil"/>
              <w:bottom w:val="single" w:sz="12" w:space="0" w:color="333333"/>
              <w:right w:val="nil"/>
            </w:tcBorders>
            <w:tcMar>
              <w:top w:w="30" w:type="dxa"/>
              <w:left w:w="120" w:type="dxa"/>
              <w:bottom w:w="120" w:type="dxa"/>
              <w:right w:w="300" w:type="dxa"/>
            </w:tcMar>
          </w:tcPr>
          <w:p w14:paraId="329E24D6"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single" w:sz="12" w:space="0" w:color="333333"/>
              <w:right w:val="nil"/>
            </w:tcBorders>
            <w:tcMar>
              <w:top w:w="30" w:type="dxa"/>
              <w:left w:w="120" w:type="dxa"/>
              <w:bottom w:w="120" w:type="dxa"/>
              <w:right w:w="300" w:type="dxa"/>
            </w:tcMar>
          </w:tcPr>
          <w:p w14:paraId="77F8069F" w14:textId="77777777" w:rsidR="00651853" w:rsidRPr="009A515A" w:rsidRDefault="00000000">
            <w:r w:rsidRPr="009A515A">
              <w:t>0.448</w:t>
            </w:r>
          </w:p>
        </w:tc>
        <w:tc>
          <w:tcPr>
            <w:tcW w:w="789" w:type="pct"/>
            <w:tcBorders>
              <w:top w:val="nil"/>
              <w:left w:val="nil"/>
              <w:bottom w:val="single" w:sz="12" w:space="0" w:color="333333"/>
              <w:right w:val="nil"/>
            </w:tcBorders>
            <w:tcMar>
              <w:top w:w="30" w:type="dxa"/>
              <w:left w:w="120" w:type="dxa"/>
              <w:bottom w:w="120" w:type="dxa"/>
              <w:right w:w="300" w:type="dxa"/>
            </w:tcMar>
          </w:tcPr>
          <w:p w14:paraId="0122FCA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single" w:sz="12" w:space="0" w:color="333333"/>
              <w:right w:val="nil"/>
            </w:tcBorders>
          </w:tcPr>
          <w:p w14:paraId="36431B9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single" w:sz="12" w:space="0" w:color="333333"/>
              <w:right w:val="nil"/>
            </w:tcBorders>
          </w:tcPr>
          <w:p w14:paraId="47861492"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00D0E5AA" w14:textId="77777777" w:rsidR="003D7AFA" w:rsidRPr="009A515A" w:rsidRDefault="003D7AFA" w:rsidP="007716D8">
      <w:pPr>
        <w:jc w:val="both"/>
        <w:rPr>
          <w:b/>
          <w:bCs/>
          <w:i/>
          <w:iCs/>
          <w:color w:val="000000" w:themeColor="text1"/>
          <w:sz w:val="20"/>
          <w:szCs w:val="20"/>
        </w:rPr>
      </w:pPr>
    </w:p>
    <w:p w14:paraId="69076D4B" w14:textId="77777777" w:rsidR="007716D8" w:rsidRPr="009A515A" w:rsidRDefault="007716D8" w:rsidP="007716D8">
      <w:pPr>
        <w:jc w:val="both"/>
        <w:rPr>
          <w:b/>
          <w:bCs/>
          <w:i/>
          <w:iCs/>
          <w:color w:val="000000" w:themeColor="text1"/>
          <w:sz w:val="20"/>
          <w:szCs w:val="20"/>
        </w:rPr>
      </w:pPr>
      <w:r w:rsidRPr="009A515A">
        <w:t>UE: User Engagement, UX: User Experience, BSAT: Brand Satisfaction, BSUC: Brand Success</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4D3D0578" w14:textId="77777777" w:rsidR="00FD5EFD" w:rsidRPr="009A515A" w:rsidRDefault="005A1FB3" w:rsidP="00FD5EFD">
      <w:pPr>
        <w:tabs>
          <w:tab w:val="left" w:pos="426"/>
        </w:tabs>
        <w:spacing w:line="360" w:lineRule="auto"/>
        <w:jc w:val="both"/>
        <w:rPr>
          <w:color w:val="000000" w:themeColor="text1"/>
        </w:rPr>
      </w:pPr>
      <w:r w:rsidRPr="009A515A">
        <w:tab/>
        <w:t>Figure 3 presents the correlation matrix generated using Jamovi software, which visually depicts the relationships among the variables BSAT_1, BSAT_2, BSAT_3, BSAT_4 and BSAT_5; UE_1 , UE_2, UE_3, UE_4, UE_5, UE_6, UE_7, UE_8, UE_9 and UE_10,UX_1, UX_2, UX_3, UX_4, UX_5, UX_6, UX_7, UX_8, UX_9and UX_10, BSUC_1,BSUC_2, BSUC_3 and BSUC_4, based on Pearson correlation coefficients. The values range from -1 to 1, where positive values indicate a direct relationship, and negative values suggest an inverse relationship. The strength of the correlation is visually represented by a gradient colour scale, with darker green indicating stronger positive correlations and darker red indicating stronger negative correlations. To evaluate the measurement model’s psychometric properties, internal consistency reliability and convergent validity were assessed using Cronbach’s alpha, composite reliability (CR), average variance extracted (AVE), and Pearson inter-item correlations, as depicted in the correlation heatmaps in Figure 3.</w:t>
      </w:r>
    </w:p>
    <w:p w14:paraId="3907B7BE" w14:textId="77777777" w:rsidR="00FD5EFD" w:rsidRPr="009A515A" w:rsidRDefault="00FD5EFD" w:rsidP="00FD5EFD">
      <w:pPr>
        <w:tabs>
          <w:tab w:val="left" w:pos="426"/>
        </w:tabs>
        <w:spacing w:line="360" w:lineRule="auto"/>
        <w:jc w:val="both"/>
        <w:rPr>
          <w:color w:val="000000" w:themeColor="text1"/>
        </w:rPr>
      </w:pPr>
      <w:r w:rsidRPr="009A515A">
        <w:t>Cronbach’s alpha and composite reliability exceeded the 0.70 threshold for all constructs, indicating acceptable to good internal consistency (Brand Satisfaction α = 0.84, CR = 0.84; Brand Success α = 0.77, CR = 0.77; User Experience α = 0.90, CR = 0.90; User Engagement α = 0.90, CR = 0.90).</w:t>
      </w:r>
    </w:p>
    <w:p w14:paraId="7820C41E" w14:textId="77777777" w:rsidR="004D6242" w:rsidRPr="009A515A" w:rsidRDefault="00FD5EFD" w:rsidP="00FD5EFD">
      <w:pPr>
        <w:tabs>
          <w:tab w:val="left" w:pos="426"/>
        </w:tabs>
        <w:spacing w:line="360" w:lineRule="auto"/>
        <w:jc w:val="both"/>
        <w:rPr>
          <w:color w:val="000000" w:themeColor="text1"/>
        </w:rPr>
      </w:pPr>
      <w:r w:rsidRPr="009A515A">
        <w:t>All standardized item loadings were positive and significant, and the correlation heatmaps in Figure 3 show positive, statistically significant inter-item correlations within each construct (panels a–d for Brand Satisfaction, Brand Success, User Experience and User Engagement, respectively), consistent with unidimensional measurement. No inter-item correlation approached the multicollinearity ceiling of 0.95, indicating that each item contributed unique information to its construct.</w:t>
      </w:r>
    </w:p>
    <w:p w14:paraId="1C10B9C6" w14:textId="77777777" w:rsidR="00651853" w:rsidRPr="009A515A" w:rsidRDefault="00000000" w:rsidP="00DB66BA">
      <w:pPr>
        <w:spacing w:line="360" w:lineRule="auto"/>
        <w:jc w:val="both"/>
      </w:pPr>
      <w:r w:rsidRPr="009A515A">
        <w:t xml:space="preserve">The square root of the AVE for each construct (0.72 for Brand Satisfaction, 0.69 for User Engagement, 0.69 for User Experience and 0.67 for Brand Success) is close to the construct intercorrelations, reflecting the conceptual proximity of these experiential constructs. </w:t>
      </w:r>
      <w:r w:rsidRPr="009A515A">
        <w:lastRenderedPageBreak/>
        <w:t>Discriminant validity is therefore established primarily through the HTMT criterion (Table 2a), where every ratio is below the conservative 0.85 threshold (maximum = 0.814 for the engagement–experience pair), confirming that the constructs are empirically distinct.</w:t>
      </w:r>
    </w:p>
    <w:p w14:paraId="48B3929B" w14:textId="77777777" w:rsidR="004D6242" w:rsidRPr="009A515A" w:rsidRDefault="000A6468" w:rsidP="00ED44A2">
      <w:pPr>
        <w:rPr>
          <w:color w:val="000000" w:themeColor="text1"/>
        </w:rPr>
      </w:pPr>
      <w:r w:rsidRPr="009A515A">
        <w:rPr>
          <w:noProof/>
          <w:color w:val="000000" w:themeColor="text1"/>
        </w:rPr>
        <w:drawing>
          <wp:inline distT="0" distB="0" distL="0" distR="0" wp14:anchorId="7FA7E29A" wp14:editId="335D91D8">
            <wp:extent cx="5725886" cy="6362096"/>
            <wp:effectExtent l="0" t="0" r="8255" b="635"/>
            <wp:docPr id="12834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848" name=""/>
                    <pic:cNvPicPr/>
                  </pic:nvPicPr>
                  <pic:blipFill>
                    <a:blip r:embed="rId13"/>
                    <a:stretch>
                      <a:fillRect/>
                    </a:stretch>
                  </pic:blipFill>
                  <pic:spPr>
                    <a:xfrm>
                      <a:off x="0" y="0"/>
                      <a:ext cx="5735751" cy="6373057"/>
                    </a:xfrm>
                    <a:prstGeom prst="rect">
                      <a:avLst/>
                    </a:prstGeom>
                  </pic:spPr>
                </pic:pic>
              </a:graphicData>
            </a:graphic>
          </wp:inline>
        </w:drawing>
      </w:r>
    </w:p>
    <w:p w14:paraId="2C0C2E8F" w14:textId="77777777" w:rsidR="000A6468" w:rsidRPr="009A515A" w:rsidRDefault="004D6242" w:rsidP="00ED44A2">
      <w:pPr>
        <w:jc w:val="both"/>
        <w:rPr>
          <w:rFonts w:ascii="Segoe UI" w:hAnsi="Segoe UI" w:cs="Segoe UI"/>
          <w:i/>
          <w:iCs/>
          <w:sz w:val="20"/>
          <w:szCs w:val="20"/>
        </w:rPr>
      </w:pPr>
      <w:r w:rsidRPr="009A515A">
        <w:rPr>
          <w:b/>
          <w:bCs/>
          <w:i/>
          <w:iCs/>
          <w:color w:val="000000" w:themeColor="text1"/>
          <w:sz w:val="20"/>
          <w:szCs w:val="20"/>
        </w:rPr>
        <w:t>Fig</w:t>
      </w:r>
      <w:r w:rsidR="00C6582E" w:rsidRPr="009A515A">
        <w:rPr>
          <w:b/>
          <w:bCs/>
          <w:i/>
          <w:iCs/>
          <w:color w:val="000000" w:themeColor="text1"/>
          <w:sz w:val="20"/>
          <w:szCs w:val="20"/>
        </w:rPr>
        <w:t>ure</w:t>
      </w:r>
      <w:r w:rsidRPr="009A515A">
        <w:rPr>
          <w:b/>
          <w:bCs/>
          <w:i/>
          <w:iCs/>
          <w:color w:val="000000" w:themeColor="text1"/>
          <w:sz w:val="20"/>
          <w:szCs w:val="20"/>
        </w:rPr>
        <w:t xml:space="preserve"> </w:t>
      </w:r>
      <w:r w:rsidR="00C6582E" w:rsidRPr="009A515A">
        <w:rPr>
          <w:b/>
          <w:bCs/>
          <w:i/>
          <w:iCs/>
          <w:color w:val="000000" w:themeColor="text1"/>
          <w:sz w:val="20"/>
          <w:szCs w:val="20"/>
        </w:rPr>
        <w:t>3</w:t>
      </w:r>
      <w:r w:rsidRPr="009A515A">
        <w:rPr>
          <w:i/>
          <w:iCs/>
          <w:color w:val="000000" w:themeColor="text1"/>
          <w:sz w:val="20"/>
          <w:szCs w:val="20"/>
        </w:rPr>
        <w:t>. Correlation Heatmap Obtained using Jamovi Software</w:t>
      </w:r>
      <w:r w:rsidR="00EE5E3D" w:rsidRPr="009A515A">
        <w:rPr>
          <w:i/>
          <w:iCs/>
          <w:color w:val="000000" w:themeColor="text1"/>
          <w:sz w:val="20"/>
          <w:szCs w:val="20"/>
        </w:rPr>
        <w:t>.</w:t>
      </w:r>
      <w:r w:rsidR="00EE5E3D" w:rsidRPr="009A515A">
        <w:rPr>
          <w:rFonts w:ascii="Segoe UI" w:hAnsi="Segoe UI" w:cs="Segoe UI"/>
          <w:i/>
          <w:iCs/>
          <w:sz w:val="20"/>
          <w:szCs w:val="20"/>
        </w:rPr>
        <w:t xml:space="preserve"> </w:t>
      </w:r>
    </w:p>
    <w:p w14:paraId="6A62ED27" w14:textId="77777777" w:rsidR="000A6468" w:rsidRPr="009A515A" w:rsidRDefault="000A6468" w:rsidP="00ED44A2">
      <w:pPr>
        <w:jc w:val="both"/>
        <w:rPr>
          <w:i/>
          <w:iCs/>
          <w:color w:val="000000" w:themeColor="text1"/>
          <w:sz w:val="20"/>
          <w:szCs w:val="20"/>
        </w:rPr>
      </w:pPr>
      <w:r w:rsidRPr="009A515A">
        <w:t>Pearson correlation heatmaps for measurement items: (a) Brand Satisfaction (BSAT_1 to BSAT_5), (b) Brand Success (BSUC_1 to BSUC_4), (c) User Experience (UX_1 to UX_10), and (d) User Engagement (UE_1 to UE_10), illustrating positive inter-item correlations within each construct.</w:t>
      </w:r>
    </w:p>
    <w:p w14:paraId="7030DCC3" w14:textId="77777777" w:rsidR="004D6242" w:rsidRPr="009A515A" w:rsidRDefault="00B333C0" w:rsidP="00ED44A2">
      <w:pPr>
        <w:jc w:val="both"/>
        <w:rPr>
          <w:i/>
          <w:iCs/>
          <w:color w:val="000000" w:themeColor="text1"/>
          <w:sz w:val="20"/>
          <w:szCs w:val="20"/>
        </w:rPr>
      </w:pPr>
      <w:r w:rsidRPr="009A515A">
        <w:rPr>
          <w:i/>
          <w:iCs/>
          <w:color w:val="000000" w:themeColor="text1"/>
          <w:sz w:val="20"/>
          <w:szCs w:val="20"/>
        </w:rPr>
        <w:t>Source: Authors.</w:t>
      </w:r>
    </w:p>
    <w:p w14:paraId="1D921EC0" w14:textId="77777777" w:rsidR="00ED44A2" w:rsidRPr="009A515A" w:rsidRDefault="00ED44A2" w:rsidP="00EE5E3D">
      <w:pPr>
        <w:spacing w:line="360" w:lineRule="auto"/>
        <w:jc w:val="both"/>
        <w:rPr>
          <w:i/>
          <w:iCs/>
          <w:color w:val="000000" w:themeColor="text1"/>
        </w:rPr>
      </w:pPr>
    </w:p>
    <w:p w14:paraId="09B2739C" w14:textId="77777777" w:rsidR="00023327" w:rsidRPr="009A515A" w:rsidRDefault="00023327" w:rsidP="007648C5">
      <w:pPr>
        <w:tabs>
          <w:tab w:val="left" w:pos="426"/>
        </w:tabs>
        <w:spacing w:line="360" w:lineRule="auto"/>
        <w:jc w:val="both"/>
        <w:rPr>
          <w:b/>
          <w:bCs/>
          <w:i/>
          <w:iCs/>
          <w:color w:val="000000" w:themeColor="text1"/>
        </w:rPr>
      </w:pPr>
    </w:p>
    <w:p w14:paraId="248D4C69" w14:textId="77777777" w:rsidR="0011186A" w:rsidRDefault="0011186A" w:rsidP="007648C5">
      <w:pPr>
        <w:tabs>
          <w:tab w:val="left" w:pos="426"/>
        </w:tabs>
        <w:spacing w:line="360" w:lineRule="auto"/>
        <w:jc w:val="both"/>
        <w:rPr>
          <w:b/>
          <w:bCs/>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lastRenderedPageBreak/>
        <w:t xml:space="preserve">5.3. Data Analysis using </w:t>
      </w:r>
      <w:r w:rsidR="00202EAC" w:rsidRPr="009A515A">
        <w:rPr>
          <w:b/>
          <w:bCs/>
          <w:i/>
          <w:iCs/>
          <w:color w:val="000000" w:themeColor="text1"/>
        </w:rPr>
        <w:t>FsQCA</w:t>
      </w:r>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5.3.1. Data Driven Results from </w:t>
      </w:r>
      <w:r w:rsidR="00202EAC" w:rsidRPr="009A515A">
        <w:rPr>
          <w:b/>
          <w:bCs/>
          <w:i/>
          <w:iCs/>
          <w:color w:val="000000" w:themeColor="text1"/>
        </w:rPr>
        <w:t>FsQCA</w:t>
      </w:r>
    </w:p>
    <w:p w14:paraId="16F19EE3" w14:textId="77777777" w:rsidR="007648C5" w:rsidRPr="009A515A" w:rsidRDefault="004309B6" w:rsidP="007648C5">
      <w:pPr>
        <w:tabs>
          <w:tab w:val="left" w:pos="426"/>
        </w:tabs>
        <w:spacing w:line="360" w:lineRule="auto"/>
        <w:jc w:val="both"/>
        <w:rPr>
          <w:color w:val="000000" w:themeColor="text1"/>
        </w:rPr>
      </w:pPr>
      <w:r w:rsidRPr="009A515A">
        <w:t>To analyse the data on user engagement (UE), user experience (UX), brand satisfaction (BSAT) and brand success (BSUC), the raw responses were first calibrated, following Ragin (2008), into fuzzy-set membership scores that express the degree to which each case belongs to a given condition and to the outcome.</w:t>
      </w:r>
    </w:p>
    <w:p w14:paraId="4E69376A" w14:textId="77777777" w:rsidR="008871CF" w:rsidRPr="009A515A" w:rsidRDefault="007648C5" w:rsidP="007648C5">
      <w:pPr>
        <w:tabs>
          <w:tab w:val="left" w:pos="426"/>
        </w:tabs>
        <w:spacing w:line="360" w:lineRule="auto"/>
        <w:jc w:val="both"/>
        <w:rPr>
          <w:color w:val="000000" w:themeColor="text1"/>
        </w:rPr>
      </w:pPr>
      <w:r w:rsidRPr="009A515A">
        <w:t>The calibration followed established fsQCA practice (Douglas et al., 2020), converting the original Likert responses for UE, UX, BSAT and BSUC into fuzzy-set membership scores on a common 0–1 scale, as detailed below.</w:t>
      </w:r>
    </w:p>
    <w:p w14:paraId="357FCC41" w14:textId="77777777" w:rsidR="00201257" w:rsidRPr="009A515A" w:rsidRDefault="00201257" w:rsidP="00B379F7">
      <w:pPr>
        <w:spacing w:line="360" w:lineRule="auto"/>
        <w:ind w:firstLine="426"/>
        <w:jc w:val="both"/>
        <w:rPr>
          <w:color w:val="000000" w:themeColor="text1"/>
        </w:rPr>
      </w:pPr>
      <w:r w:rsidRPr="009A515A">
        <w:t>Following standard fsQCA practice (Ragin, 2008), each construct was calibrated into set-membership scores using three qualitative anchors: the 95th percentile as the threshold for full membership (fuzzy score = 0.95), the 50th percentile as the crossover point of maximum ambiguity (0.50), and the 5th percentile as the threshold for full non-membership (0.05). Membership scores are therefore bounded between 0 and 1, with the 0.05 and 0.95 anchors denoting near-full non-membership and near-full membership rather than the raw minimum and maximum of the measurement scale. By calibrating the variables to a common scale, it becomes easier to compare and analyse their relative magnitudes and relationships. The calibrated values between 0 and 1 provide a standardized representation of User Engagement, User Experience, Brand Satisfaction, and Brand Success, allowing for meaningful comparisons and further statistical analyses as shown in Table 3.</w:t>
      </w:r>
    </w:p>
    <w:p w14:paraId="02CB9EED" w14:textId="77777777" w:rsidR="00201257" w:rsidRPr="009A515A" w:rsidRDefault="00201257" w:rsidP="00201257">
      <w:pPr>
        <w:jc w:val="both"/>
        <w:rPr>
          <w:color w:val="000000" w:themeColor="text1"/>
        </w:rPr>
      </w:pPr>
    </w:p>
    <w:p w14:paraId="589C9E3F" w14:textId="77777777" w:rsidR="00201257" w:rsidRPr="009A515A" w:rsidRDefault="00201257" w:rsidP="008871CF">
      <w:pPr>
        <w:autoSpaceDE w:val="0"/>
        <w:autoSpaceDN w:val="0"/>
        <w:adjustRightInd w:val="0"/>
        <w:spacing w:line="360" w:lineRule="auto"/>
        <w:rPr>
          <w:i/>
          <w:iCs/>
          <w:sz w:val="16"/>
          <w:szCs w:val="16"/>
        </w:rPr>
      </w:pPr>
      <w:r w:rsidRPr="009A515A">
        <w:rPr>
          <w:b/>
          <w:bCs/>
          <w:i/>
          <w:iCs/>
        </w:rPr>
        <w:t xml:space="preserve">Table </w:t>
      </w:r>
      <w:r w:rsidR="00AA1ECE" w:rsidRPr="009A515A">
        <w:rPr>
          <w:b/>
          <w:bCs/>
          <w:i/>
          <w:iCs/>
        </w:rPr>
        <w:t>3</w:t>
      </w:r>
      <w:r w:rsidRPr="009A515A">
        <w:rPr>
          <w:b/>
          <w:bCs/>
          <w:i/>
          <w:iCs/>
        </w:rPr>
        <w:t>.</w:t>
      </w:r>
      <w:r w:rsidRPr="009A515A">
        <w:rPr>
          <w:i/>
          <w:iCs/>
        </w:rPr>
        <w:t xml:space="preserve"> </w:t>
      </w:r>
      <w:r w:rsidR="00092E0B" w:rsidRPr="009A515A">
        <w:rPr>
          <w:i/>
          <w:iCs/>
        </w:rPr>
        <w:t xml:space="preserve">Intermediate </w:t>
      </w:r>
      <w:r w:rsidR="001F7AD1" w:rsidRPr="009A515A">
        <w:rPr>
          <w:i/>
          <w:iCs/>
        </w:rPr>
        <w:t xml:space="preserve">Solution </w:t>
      </w:r>
    </w:p>
    <w:tbl>
      <w:tblPr>
        <w:tblStyle w:val="TableGrid"/>
        <w:tblW w:w="9154" w:type="dxa"/>
        <w:tblLook w:val="04A0" w:firstRow="1" w:lastRow="0" w:firstColumn="1" w:lastColumn="0" w:noHBand="0" w:noVBand="1"/>
      </w:tblPr>
      <w:tblGrid>
        <w:gridCol w:w="3409"/>
        <w:gridCol w:w="2398"/>
        <w:gridCol w:w="1985"/>
        <w:gridCol w:w="1362"/>
      </w:tblGrid>
      <w:tr w:rsidR="00201257" w:rsidRPr="009A515A" w14:paraId="57185280" w14:textId="77777777" w:rsidTr="00732C9D">
        <w:trPr>
          <w:trHeight w:val="309"/>
        </w:trPr>
        <w:tc>
          <w:tcPr>
            <w:tcW w:w="3409" w:type="dxa"/>
            <w:shd w:val="clear" w:color="auto" w:fill="D0CECE" w:themeFill="background2" w:themeFillShade="E6"/>
          </w:tcPr>
          <w:p w14:paraId="0B6FC0EB" w14:textId="77777777" w:rsidR="00201257" w:rsidRPr="009A515A" w:rsidRDefault="002066CD" w:rsidP="00AC22CF">
            <w:pPr>
              <w:autoSpaceDE w:val="0"/>
              <w:autoSpaceDN w:val="0"/>
              <w:adjustRightInd w:val="0"/>
              <w:spacing w:line="360" w:lineRule="auto"/>
              <w:rPr>
                <w:b/>
                <w:bCs/>
                <w:sz w:val="20"/>
                <w:szCs w:val="20"/>
              </w:rPr>
            </w:pPr>
            <w:r w:rsidRPr="009A515A">
              <w:t>Model: BSUC = f (BSAT, UX, UE)</w:t>
            </w:r>
          </w:p>
        </w:tc>
        <w:tc>
          <w:tcPr>
            <w:tcW w:w="2398" w:type="dxa"/>
            <w:shd w:val="clear" w:color="auto" w:fill="D0CECE" w:themeFill="background2" w:themeFillShade="E6"/>
          </w:tcPr>
          <w:p w14:paraId="59489C4F"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 xml:space="preserve">Raw coverage </w:t>
            </w:r>
          </w:p>
        </w:tc>
        <w:tc>
          <w:tcPr>
            <w:tcW w:w="1985" w:type="dxa"/>
            <w:shd w:val="clear" w:color="auto" w:fill="D0CECE" w:themeFill="background2" w:themeFillShade="E6"/>
          </w:tcPr>
          <w:p w14:paraId="51A17198"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Unique coverage</w:t>
            </w:r>
          </w:p>
        </w:tc>
        <w:tc>
          <w:tcPr>
            <w:tcW w:w="1362" w:type="dxa"/>
            <w:shd w:val="clear" w:color="auto" w:fill="D0CECE" w:themeFill="background2" w:themeFillShade="E6"/>
          </w:tcPr>
          <w:p w14:paraId="398FA777"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consistency</w:t>
            </w:r>
          </w:p>
        </w:tc>
      </w:tr>
      <w:tr w:rsidR="006D3229" w:rsidRPr="009A515A" w14:paraId="1AF02A1F" w14:textId="77777777" w:rsidTr="001F2639">
        <w:trPr>
          <w:trHeight w:val="313"/>
        </w:trPr>
        <w:tc>
          <w:tcPr>
            <w:tcW w:w="3409" w:type="dxa"/>
          </w:tcPr>
          <w:p w14:paraId="5B21E345" w14:textId="77777777" w:rsidR="006D3229" w:rsidRPr="009A515A" w:rsidRDefault="0082790C" w:rsidP="006D3229">
            <w:pPr>
              <w:autoSpaceDE w:val="0"/>
              <w:autoSpaceDN w:val="0"/>
              <w:adjustRightInd w:val="0"/>
              <w:spacing w:line="360" w:lineRule="auto"/>
              <w:rPr>
                <w:sz w:val="20"/>
                <w:szCs w:val="20"/>
              </w:rPr>
            </w:pPr>
            <w:r w:rsidRPr="009A515A">
              <w:t>BSAT x UX</w:t>
            </w:r>
          </w:p>
        </w:tc>
        <w:tc>
          <w:tcPr>
            <w:tcW w:w="2398" w:type="dxa"/>
            <w:vAlign w:val="center"/>
          </w:tcPr>
          <w:p w14:paraId="3E18C80D"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0.208</w:t>
            </w:r>
          </w:p>
        </w:tc>
        <w:tc>
          <w:tcPr>
            <w:tcW w:w="1985" w:type="dxa"/>
            <w:vAlign w:val="center"/>
          </w:tcPr>
          <w:p w14:paraId="57BF697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0.036</w:t>
            </w:r>
          </w:p>
        </w:tc>
        <w:tc>
          <w:tcPr>
            <w:tcW w:w="1362" w:type="dxa"/>
            <w:vAlign w:val="center"/>
          </w:tcPr>
          <w:p w14:paraId="653E1D1F"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0.650</w:t>
            </w:r>
          </w:p>
        </w:tc>
      </w:tr>
      <w:tr w:rsidR="006D3229" w:rsidRPr="009A515A" w14:paraId="148D349A" w14:textId="77777777" w:rsidTr="001F2639">
        <w:trPr>
          <w:trHeight w:val="313"/>
        </w:trPr>
        <w:tc>
          <w:tcPr>
            <w:tcW w:w="3409" w:type="dxa"/>
          </w:tcPr>
          <w:p w14:paraId="0A8CA468" w14:textId="77777777" w:rsidR="006D3229" w:rsidRPr="009A515A" w:rsidRDefault="0082790C" w:rsidP="006D3229">
            <w:pPr>
              <w:autoSpaceDE w:val="0"/>
              <w:autoSpaceDN w:val="0"/>
              <w:adjustRightInd w:val="0"/>
              <w:spacing w:line="360" w:lineRule="auto"/>
              <w:rPr>
                <w:sz w:val="20"/>
                <w:szCs w:val="20"/>
              </w:rPr>
            </w:pPr>
            <w:r w:rsidRPr="009A515A">
              <w:t>BSAT x UE</w:t>
            </w:r>
          </w:p>
        </w:tc>
        <w:tc>
          <w:tcPr>
            <w:tcW w:w="2398" w:type="dxa"/>
            <w:vAlign w:val="center"/>
          </w:tcPr>
          <w:p w14:paraId="508BE5A6"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0.241</w:t>
            </w:r>
          </w:p>
        </w:tc>
        <w:tc>
          <w:tcPr>
            <w:tcW w:w="1985" w:type="dxa"/>
            <w:vAlign w:val="center"/>
          </w:tcPr>
          <w:p w14:paraId="21F5F02B"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0.069</w:t>
            </w:r>
          </w:p>
        </w:tc>
        <w:tc>
          <w:tcPr>
            <w:tcW w:w="1362" w:type="dxa"/>
            <w:vAlign w:val="center"/>
          </w:tcPr>
          <w:p w14:paraId="730B5372"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0.669</w:t>
            </w:r>
          </w:p>
        </w:tc>
      </w:tr>
      <w:tr w:rsidR="006D3229" w:rsidRPr="009A515A" w14:paraId="2B4A0429" w14:textId="77777777" w:rsidTr="001F2639">
        <w:trPr>
          <w:trHeight w:val="313"/>
        </w:trPr>
        <w:tc>
          <w:tcPr>
            <w:tcW w:w="3409" w:type="dxa"/>
          </w:tcPr>
          <w:p w14:paraId="0827B8E9" w14:textId="77777777" w:rsidR="006D3229" w:rsidRPr="009A515A" w:rsidRDefault="0082790C" w:rsidP="006D3229">
            <w:pPr>
              <w:autoSpaceDE w:val="0"/>
              <w:autoSpaceDN w:val="0"/>
              <w:adjustRightInd w:val="0"/>
              <w:spacing w:line="360" w:lineRule="auto"/>
              <w:rPr>
                <w:sz w:val="20"/>
                <w:szCs w:val="20"/>
              </w:rPr>
            </w:pPr>
            <w:r w:rsidRPr="009A515A">
              <w:t>UX  x UE</w:t>
            </w:r>
          </w:p>
        </w:tc>
        <w:tc>
          <w:tcPr>
            <w:tcW w:w="2398" w:type="dxa"/>
            <w:vAlign w:val="center"/>
          </w:tcPr>
          <w:p w14:paraId="76ED88A0"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0.219</w:t>
            </w:r>
          </w:p>
        </w:tc>
        <w:tc>
          <w:tcPr>
            <w:tcW w:w="1985" w:type="dxa"/>
            <w:vAlign w:val="center"/>
          </w:tcPr>
          <w:p w14:paraId="119F54FE"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0.046</w:t>
            </w:r>
          </w:p>
        </w:tc>
        <w:tc>
          <w:tcPr>
            <w:tcW w:w="1362" w:type="dxa"/>
            <w:vAlign w:val="center"/>
          </w:tcPr>
          <w:p w14:paraId="288C594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0.600</w:t>
            </w:r>
          </w:p>
        </w:tc>
      </w:tr>
    </w:tbl>
    <w:p w14:paraId="518E6D0A"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5FF9F1CC" w14:textId="77777777" w:rsidR="00A731C8" w:rsidRPr="009A515A" w:rsidRDefault="00DD5D63" w:rsidP="00B379F7">
      <w:pPr>
        <w:autoSpaceDE w:val="0"/>
        <w:autoSpaceDN w:val="0"/>
        <w:adjustRightInd w:val="0"/>
        <w:spacing w:line="360" w:lineRule="auto"/>
        <w:rPr>
          <w:rFonts w:eastAsiaTheme="majorEastAsia"/>
          <w:i/>
          <w:iCs/>
          <w:sz w:val="20"/>
          <w:szCs w:val="20"/>
          <w:lang w:val="en-US"/>
        </w:rPr>
      </w:pPr>
      <w:r w:rsidRPr="009A515A">
        <w:rPr>
          <w:rFonts w:eastAsiaTheme="majorEastAsia"/>
          <w:i/>
          <w:iCs/>
          <w:sz w:val="20"/>
          <w:szCs w:val="20"/>
        </w:rPr>
        <w:t xml:space="preserve">Note: </w:t>
      </w:r>
      <w:r w:rsidR="00201257" w:rsidRPr="009A515A">
        <w:rPr>
          <w:rFonts w:eastAsiaTheme="majorEastAsia"/>
          <w:i/>
          <w:iCs/>
          <w:sz w:val="20"/>
          <w:szCs w:val="20"/>
        </w:rPr>
        <w:t>solution coverage: 0.323827</w:t>
      </w:r>
      <w:r w:rsidR="008871CF" w:rsidRPr="009A515A">
        <w:rPr>
          <w:rFonts w:eastAsiaTheme="majorEastAsia"/>
          <w:i/>
          <w:iCs/>
          <w:sz w:val="20"/>
          <w:szCs w:val="20"/>
        </w:rPr>
        <w:t xml:space="preserve">; </w:t>
      </w:r>
      <w:r w:rsidR="00201257" w:rsidRPr="009A515A">
        <w:rPr>
          <w:rFonts w:eastAsiaTheme="majorEastAsia"/>
          <w:i/>
          <w:iCs/>
          <w:sz w:val="20"/>
          <w:szCs w:val="20"/>
        </w:rPr>
        <w:t xml:space="preserve">solution consistency: </w:t>
      </w:r>
      <w:r w:rsidR="00A449F3" w:rsidRPr="009A515A">
        <w:rPr>
          <w:rFonts w:eastAsiaTheme="majorEastAsia"/>
          <w:i/>
          <w:iCs/>
          <w:sz w:val="20"/>
          <w:szCs w:val="20"/>
        </w:rPr>
        <w:t>0.756327</w:t>
      </w:r>
      <w:r w:rsidR="008871CF" w:rsidRPr="009A515A">
        <w:rPr>
          <w:rFonts w:eastAsiaTheme="majorEastAsia"/>
          <w:i/>
          <w:iCs/>
          <w:sz w:val="20"/>
          <w:szCs w:val="20"/>
        </w:rPr>
        <w:tab/>
      </w:r>
      <w:r w:rsidR="008871CF" w:rsidRPr="009A515A">
        <w:rPr>
          <w:rFonts w:eastAsiaTheme="majorEastAsia"/>
          <w:b/>
          <w:bCs/>
          <w:i/>
          <w:iCs/>
          <w:sz w:val="20"/>
          <w:szCs w:val="20"/>
        </w:rPr>
        <w:t>Source:</w:t>
      </w:r>
      <w:r w:rsidR="008871CF" w:rsidRPr="009A515A">
        <w:rPr>
          <w:rFonts w:eastAsiaTheme="majorEastAsia"/>
          <w:i/>
          <w:iCs/>
          <w:sz w:val="20"/>
          <w:szCs w:val="20"/>
        </w:rPr>
        <w:t xml:space="preserve"> Authors</w:t>
      </w:r>
      <w:r w:rsidR="006D3229" w:rsidRPr="009A515A">
        <w:rPr>
          <w:rFonts w:eastAsiaTheme="majorEastAsia"/>
          <w:i/>
          <w:iCs/>
          <w:sz w:val="20"/>
          <w:szCs w:val="20"/>
        </w:rPr>
        <w:t xml:space="preserve"> </w:t>
      </w:r>
    </w:p>
    <w:p w14:paraId="12BDFECC" w14:textId="77777777" w:rsidR="002066CD" w:rsidRPr="009A515A" w:rsidRDefault="002066CD" w:rsidP="009C6E49">
      <w:pPr>
        <w:jc w:val="both"/>
        <w:rPr>
          <w:color w:val="000000" w:themeColor="text1"/>
        </w:rPr>
      </w:pPr>
    </w:p>
    <w:p w14:paraId="1DE489DD" w14:textId="77777777" w:rsidR="008871CF" w:rsidRPr="009A515A" w:rsidRDefault="002066CD" w:rsidP="008871CF">
      <w:pPr>
        <w:spacing w:line="360" w:lineRule="auto"/>
        <w:jc w:val="both"/>
        <w:rPr>
          <w:color w:val="000000" w:themeColor="text1"/>
        </w:rPr>
      </w:pPr>
      <w:r w:rsidRPr="009A515A">
        <w:t xml:space="preserve">Based on the model equation BSUC = f (BSAT, UX, UE), the following results were obtained: </w:t>
      </w:r>
    </w:p>
    <w:p w14:paraId="6389AE23" w14:textId="652E7D9C" w:rsidR="005170CF" w:rsidRPr="009A515A" w:rsidRDefault="009D2FA9" w:rsidP="008871CF">
      <w:pPr>
        <w:spacing w:line="360" w:lineRule="auto"/>
        <w:ind w:firstLine="426"/>
        <w:jc w:val="both"/>
        <w:rPr>
          <w:color w:val="000000" w:themeColor="text1"/>
        </w:rPr>
      </w:pPr>
      <w:r w:rsidRPr="009A515A">
        <w:t xml:space="preserve">As shown in Table 3, the intermediate solution models brand success as a function of brand satisfaction, user experience and user engagement, BSUC = f(BSAT, UX, UE). Raw coverage indicates the share of the outcome accounted for by each configuration: BSAT and UX together </w:t>
      </w:r>
      <w:r w:rsidRPr="009A515A">
        <w:lastRenderedPageBreak/>
        <w:t>account for about 20.84% of cases, BSAT and UE about 24.15%, and UX and UE about 21.90%. Unique coverage</w:t>
      </w:r>
      <w:r w:rsidR="009B694E">
        <w:t xml:space="preserve"> </w:t>
      </w:r>
      <w:r w:rsidRPr="009A515A">
        <w:t>the share of cases uniquely explained by a configuration</w:t>
      </w:r>
      <w:r w:rsidR="009B694E">
        <w:t xml:space="preserve"> </w:t>
      </w:r>
      <w:r w:rsidRPr="009A515A">
        <w:t>is 3.59% for BSAT × UX, 6.90% for BSAT × UE and 4.65% for UX × UE.</w:t>
      </w:r>
    </w:p>
    <w:p w14:paraId="33EA602A" w14:textId="66BC5300" w:rsidR="006D3229" w:rsidRPr="009A515A" w:rsidRDefault="005170CF" w:rsidP="008871CF">
      <w:pPr>
        <w:spacing w:line="360" w:lineRule="auto"/>
        <w:ind w:firstLine="426"/>
        <w:jc w:val="both"/>
        <w:rPr>
          <w:color w:val="000000" w:themeColor="text1"/>
        </w:rPr>
      </w:pPr>
      <w:r w:rsidRPr="009A515A">
        <w:t>Consistency reflects how reliably a configuration is associated with the outcome; higher values indicate stronger sufficiency. As reported in Table 4, consistency is 0.650 for BSAT × UX, 0.669 for BSAT × UE and 0.600 for UX × UE. For the intermediate solution as a whole, solution coverage is 0.324</w:t>
      </w:r>
      <w:r w:rsidR="009B694E">
        <w:t xml:space="preserve"> </w:t>
      </w:r>
      <w:r w:rsidRPr="009A515A">
        <w:t>indicating that the configurations jointly account for roughly 32% of the outcome</w:t>
      </w:r>
      <w:r w:rsidR="009B694E">
        <w:t xml:space="preserve"> </w:t>
      </w:r>
      <w:r w:rsidRPr="009A515A">
        <w:t>and solution consistency is 0.756.</w:t>
      </w:r>
    </w:p>
    <w:p w14:paraId="4177F0DE" w14:textId="77777777" w:rsidR="009D2FA9" w:rsidRPr="009A515A" w:rsidRDefault="00AF1DC4" w:rsidP="008871CF">
      <w:pPr>
        <w:spacing w:line="360" w:lineRule="auto"/>
        <w:ind w:firstLine="426"/>
        <w:jc w:val="both"/>
        <w:rPr>
          <w:color w:val="000000" w:themeColor="text1"/>
        </w:rPr>
      </w:pPr>
      <w:r w:rsidRPr="009A515A">
        <w:t>Figure 4 shows the framework for Brand Success in the Metaverse. The model illustrates the proposed relationships between User Experience (UX), User Engagement (UE), Users' Brand Satisfaction (BSAT), and Brand Success (BSUC) in the Metaverse.</w:t>
      </w:r>
    </w:p>
    <w:p w14:paraId="316044AC" w14:textId="77777777" w:rsidR="00984644" w:rsidRPr="009A515A" w:rsidRDefault="00984644" w:rsidP="00984644">
      <w:pPr>
        <w:spacing w:line="360" w:lineRule="auto"/>
        <w:ind w:firstLine="426"/>
        <w:jc w:val="both"/>
        <w:rPr>
          <w:color w:val="000000" w:themeColor="text1"/>
        </w:rPr>
      </w:pPr>
      <w:r w:rsidRPr="009A515A">
        <w:t>The fsQCA subset–superset analysis was used to examine how user experience (UX), user engagement (UE) and brand satisfaction (BSAT) combine as conditions for brand success (BSUC) within the conceptual model. The model specifies these three constructs as the antecedent conditions whose configurations are evaluated for sufficiency in producing high brand success.</w:t>
      </w:r>
    </w:p>
    <w:p w14:paraId="55375406" w14:textId="77777777" w:rsidR="00984644" w:rsidRPr="009A515A" w:rsidRDefault="00984644" w:rsidP="00984644">
      <w:pPr>
        <w:spacing w:line="360" w:lineRule="auto"/>
        <w:ind w:firstLine="426"/>
        <w:jc w:val="both"/>
        <w:rPr>
          <w:color w:val="000000" w:themeColor="text1"/>
        </w:rPr>
      </w:pPr>
      <w:r w:rsidRPr="009A515A">
        <w:t>In the conceptual model, user experience, user engagement and brand satisfaction are the antecedent conditions for brand success. The subset–superset analysis evaluates which combinations of these conditions are jointly sufficient for high brand success, rather than estimating a single directional path among them, thereby grounding the conceptual model in the empirical configurations.</w:t>
      </w: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14"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lastRenderedPageBreak/>
        <w:t>Figure 4. Conceptual model and hypotheses (H1–H3): user engagement (UE) and user experience (UX) as antecedents, brand satisfaction (BSAT) as mediator, and brand success (BSUC) as the outcome, framed by Flow Theory and Self-Determination Theory.</w:t>
      </w:r>
      <w:r w:rsidRPr="009A515A">
        <w:rPr>
          <w:b/>
          <w:bCs/>
          <w:i/>
          <w:iCs/>
          <w:color w:val="000000" w:themeColor="text1"/>
        </w:rPr>
        <w:tab/>
      </w:r>
      <w:r w:rsidRPr="009A515A">
        <w:rPr>
          <w:b/>
          <w:bCs/>
          <w:i/>
          <w:iCs/>
          <w:color w:val="000000" w:themeColor="text1"/>
        </w:rPr>
        <w:tab/>
      </w:r>
    </w:p>
    <w:p w14:paraId="115A786A" w14:textId="77777777" w:rsidR="009D2FA9" w:rsidRPr="009A515A" w:rsidRDefault="00ED17BF" w:rsidP="005208D3">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6CA2DFC" w14:textId="77777777" w:rsidR="005E0F58" w:rsidRPr="009A515A" w:rsidRDefault="005E0F58" w:rsidP="005208D3">
      <w:pPr>
        <w:jc w:val="both"/>
        <w:rPr>
          <w:i/>
          <w:iCs/>
          <w:color w:val="000000" w:themeColor="text1"/>
        </w:rPr>
      </w:pPr>
    </w:p>
    <w:p w14:paraId="2552EE38" w14:textId="77777777" w:rsidR="00DD5D63" w:rsidRPr="009A515A" w:rsidRDefault="00DD5D63" w:rsidP="00B379F7">
      <w:pPr>
        <w:ind w:left="720" w:hanging="720"/>
        <w:rPr>
          <w:color w:val="000000" w:themeColor="text1"/>
        </w:rPr>
      </w:pPr>
    </w:p>
    <w:p w14:paraId="7989B3BB" w14:textId="77777777" w:rsidR="00A2512A" w:rsidRPr="009A515A" w:rsidRDefault="00A2512A" w:rsidP="007648C5">
      <w:pPr>
        <w:spacing w:line="360" w:lineRule="auto"/>
        <w:ind w:left="720" w:hanging="720"/>
        <w:rPr>
          <w:b/>
          <w:bCs/>
          <w:color w:val="000000" w:themeColor="text1"/>
        </w:rPr>
      </w:pPr>
      <w:r w:rsidRPr="009A515A">
        <w:rPr>
          <w:b/>
          <w:bCs/>
          <w:color w:val="000000" w:themeColor="text1"/>
        </w:rPr>
        <w:t xml:space="preserve">Table </w:t>
      </w:r>
      <w:r w:rsidR="00AA1ECE" w:rsidRPr="009A515A">
        <w:rPr>
          <w:b/>
          <w:bCs/>
          <w:color w:val="000000" w:themeColor="text1"/>
        </w:rPr>
        <w:t>4</w:t>
      </w:r>
      <w:r w:rsidRPr="009A515A">
        <w:rPr>
          <w:b/>
          <w:bCs/>
          <w:color w:val="000000" w:themeColor="text1"/>
        </w:rPr>
        <w:t xml:space="preserve">. </w:t>
      </w:r>
      <w:r w:rsidR="00FE33C2" w:rsidRPr="009A515A">
        <w:rPr>
          <w:b/>
          <w:bCs/>
          <w:color w:val="000000" w:themeColor="text1"/>
        </w:rPr>
        <w:t>Subset/Superset Analysis</w:t>
      </w:r>
    </w:p>
    <w:tbl>
      <w:tblPr>
        <w:tblStyle w:val="TableGrid"/>
        <w:tblW w:w="9351" w:type="dxa"/>
        <w:tblLook w:val="04A0" w:firstRow="1" w:lastRow="0" w:firstColumn="1" w:lastColumn="0" w:noHBand="0" w:noVBand="1"/>
      </w:tblPr>
      <w:tblGrid>
        <w:gridCol w:w="2555"/>
        <w:gridCol w:w="1963"/>
        <w:gridCol w:w="2257"/>
        <w:gridCol w:w="2576"/>
      </w:tblGrid>
      <w:tr w:rsidR="00A2512A" w:rsidRPr="009A515A" w14:paraId="36B6B727" w14:textId="77777777" w:rsidTr="00D41BBD">
        <w:trPr>
          <w:trHeight w:val="284"/>
        </w:trPr>
        <w:tc>
          <w:tcPr>
            <w:tcW w:w="2555" w:type="dxa"/>
            <w:shd w:val="clear" w:color="auto" w:fill="D0CECE" w:themeFill="background2" w:themeFillShade="E6"/>
          </w:tcPr>
          <w:p w14:paraId="32C10186" w14:textId="77777777" w:rsidR="00A2512A" w:rsidRPr="009A515A" w:rsidRDefault="00D41BBD" w:rsidP="005E0F58">
            <w:pPr>
              <w:rPr>
                <w:b/>
                <w:bCs/>
                <w:color w:val="000000" w:themeColor="text1"/>
                <w:sz w:val="20"/>
                <w:szCs w:val="20"/>
                <w:lang w:val="fr-FR"/>
              </w:rPr>
            </w:pPr>
            <w:r w:rsidRPr="009A515A">
              <w:t>BSUC = f (BSAT, UX, UE)</w:t>
            </w:r>
          </w:p>
        </w:tc>
        <w:tc>
          <w:tcPr>
            <w:tcW w:w="1963" w:type="dxa"/>
            <w:shd w:val="clear" w:color="auto" w:fill="D0CECE" w:themeFill="background2" w:themeFillShade="E6"/>
          </w:tcPr>
          <w:p w14:paraId="31643D6F" w14:textId="77777777" w:rsidR="00A2512A" w:rsidRPr="009A515A" w:rsidRDefault="00A2512A" w:rsidP="005E0F58">
            <w:pPr>
              <w:rPr>
                <w:b/>
                <w:bCs/>
                <w:color w:val="000000" w:themeColor="text1"/>
                <w:sz w:val="20"/>
                <w:szCs w:val="20"/>
              </w:rPr>
            </w:pPr>
            <w:r w:rsidRPr="009A515A">
              <w:rPr>
                <w:b/>
                <w:bCs/>
                <w:sz w:val="20"/>
                <w:szCs w:val="20"/>
              </w:rPr>
              <w:t>Consistency</w:t>
            </w:r>
          </w:p>
        </w:tc>
        <w:tc>
          <w:tcPr>
            <w:tcW w:w="2257" w:type="dxa"/>
            <w:shd w:val="clear" w:color="auto" w:fill="D0CECE" w:themeFill="background2" w:themeFillShade="E6"/>
          </w:tcPr>
          <w:p w14:paraId="6D95974D" w14:textId="77777777" w:rsidR="00A2512A" w:rsidRPr="009A515A" w:rsidRDefault="00A2512A" w:rsidP="005E0F58">
            <w:pPr>
              <w:rPr>
                <w:b/>
                <w:bCs/>
                <w:color w:val="000000" w:themeColor="text1"/>
                <w:sz w:val="20"/>
                <w:szCs w:val="20"/>
              </w:rPr>
            </w:pPr>
            <w:r w:rsidRPr="009A515A">
              <w:rPr>
                <w:b/>
                <w:bCs/>
                <w:sz w:val="20"/>
                <w:szCs w:val="20"/>
              </w:rPr>
              <w:t xml:space="preserve">Raw Coverage </w:t>
            </w:r>
          </w:p>
        </w:tc>
        <w:tc>
          <w:tcPr>
            <w:tcW w:w="2576" w:type="dxa"/>
            <w:shd w:val="clear" w:color="auto" w:fill="D0CECE" w:themeFill="background2" w:themeFillShade="E6"/>
          </w:tcPr>
          <w:p w14:paraId="1EDA45DB" w14:textId="77777777" w:rsidR="00FE33C2" w:rsidRPr="009A515A" w:rsidRDefault="00A2512A" w:rsidP="005E0F58">
            <w:pPr>
              <w:rPr>
                <w:b/>
                <w:bCs/>
                <w:i/>
                <w:iCs/>
                <w:sz w:val="20"/>
                <w:szCs w:val="20"/>
              </w:rPr>
            </w:pPr>
            <w:r w:rsidRPr="009A515A">
              <w:rPr>
                <w:b/>
                <w:bCs/>
                <w:sz w:val="20"/>
                <w:szCs w:val="20"/>
              </w:rPr>
              <w:t>Combined</w:t>
            </w:r>
          </w:p>
        </w:tc>
      </w:tr>
      <w:tr w:rsidR="00316E6B" w:rsidRPr="009A515A" w14:paraId="5E40FBFB" w14:textId="77777777" w:rsidTr="00D41BBD">
        <w:trPr>
          <w:trHeight w:val="284"/>
        </w:trPr>
        <w:tc>
          <w:tcPr>
            <w:tcW w:w="2555" w:type="dxa"/>
          </w:tcPr>
          <w:p w14:paraId="1A9D2FC8" w14:textId="77777777" w:rsidR="00316E6B" w:rsidRPr="009A515A" w:rsidRDefault="00D41BBD" w:rsidP="00316E6B">
            <w:pPr>
              <w:rPr>
                <w:sz w:val="20"/>
                <w:szCs w:val="20"/>
              </w:rPr>
            </w:pPr>
            <w:r w:rsidRPr="009A515A">
              <w:t>BSAT * UX * UE</w:t>
            </w:r>
          </w:p>
        </w:tc>
        <w:tc>
          <w:tcPr>
            <w:tcW w:w="1963" w:type="dxa"/>
          </w:tcPr>
          <w:p w14:paraId="1B3ED29E" w14:textId="77777777" w:rsidR="00316E6B" w:rsidRPr="009A515A" w:rsidRDefault="00316E6B" w:rsidP="00316E6B">
            <w:pPr>
              <w:rPr>
                <w:color w:val="000000" w:themeColor="text1"/>
                <w:sz w:val="20"/>
                <w:szCs w:val="20"/>
              </w:rPr>
            </w:pPr>
            <w:r w:rsidRPr="009A515A">
              <w:rPr>
                <w:i/>
                <w:iCs/>
                <w:sz w:val="20"/>
                <w:szCs w:val="20"/>
              </w:rPr>
              <w:t>0.713</w:t>
            </w:r>
          </w:p>
        </w:tc>
        <w:tc>
          <w:tcPr>
            <w:tcW w:w="2257" w:type="dxa"/>
          </w:tcPr>
          <w:p w14:paraId="5422AB66" w14:textId="77777777" w:rsidR="00316E6B" w:rsidRPr="009A515A" w:rsidRDefault="00316E6B" w:rsidP="00316E6B">
            <w:pPr>
              <w:rPr>
                <w:color w:val="000000" w:themeColor="text1"/>
                <w:sz w:val="20"/>
                <w:szCs w:val="20"/>
              </w:rPr>
            </w:pPr>
            <w:r w:rsidRPr="009A515A">
              <w:rPr>
                <w:i/>
                <w:iCs/>
                <w:sz w:val="20"/>
                <w:szCs w:val="20"/>
              </w:rPr>
              <w:t>0.172</w:t>
            </w:r>
          </w:p>
        </w:tc>
        <w:tc>
          <w:tcPr>
            <w:tcW w:w="2576" w:type="dxa"/>
          </w:tcPr>
          <w:p w14:paraId="51164424" w14:textId="77777777" w:rsidR="00316E6B" w:rsidRPr="009A515A" w:rsidRDefault="00316E6B" w:rsidP="00316E6B">
            <w:pPr>
              <w:rPr>
                <w:sz w:val="20"/>
                <w:szCs w:val="20"/>
              </w:rPr>
            </w:pPr>
            <w:r w:rsidRPr="009A515A">
              <w:rPr>
                <w:i/>
                <w:iCs/>
                <w:sz w:val="20"/>
                <w:szCs w:val="20"/>
              </w:rPr>
              <w:t>0.305</w:t>
            </w:r>
          </w:p>
        </w:tc>
      </w:tr>
      <w:tr w:rsidR="00316E6B" w:rsidRPr="009A515A" w14:paraId="50F10C3E" w14:textId="77777777" w:rsidTr="00D41BBD">
        <w:trPr>
          <w:trHeight w:val="284"/>
        </w:trPr>
        <w:tc>
          <w:tcPr>
            <w:tcW w:w="2555" w:type="dxa"/>
          </w:tcPr>
          <w:p w14:paraId="7E0FC364" w14:textId="77777777" w:rsidR="00316E6B" w:rsidRPr="009A515A" w:rsidRDefault="00D41BBD" w:rsidP="00316E6B">
            <w:pPr>
              <w:rPr>
                <w:sz w:val="20"/>
                <w:szCs w:val="20"/>
              </w:rPr>
            </w:pPr>
            <w:r w:rsidRPr="009A515A">
              <w:t>BSAT * UX</w:t>
            </w:r>
          </w:p>
        </w:tc>
        <w:tc>
          <w:tcPr>
            <w:tcW w:w="1963" w:type="dxa"/>
          </w:tcPr>
          <w:p w14:paraId="3DC7D328" w14:textId="77777777" w:rsidR="00316E6B" w:rsidRPr="009A515A" w:rsidRDefault="00316E6B" w:rsidP="00316E6B">
            <w:pPr>
              <w:rPr>
                <w:color w:val="000000" w:themeColor="text1"/>
                <w:sz w:val="20"/>
                <w:szCs w:val="20"/>
              </w:rPr>
            </w:pPr>
            <w:r w:rsidRPr="009A515A">
              <w:rPr>
                <w:i/>
                <w:iCs/>
                <w:sz w:val="20"/>
                <w:szCs w:val="20"/>
              </w:rPr>
              <w:t>0.650</w:t>
            </w:r>
          </w:p>
        </w:tc>
        <w:tc>
          <w:tcPr>
            <w:tcW w:w="2257" w:type="dxa"/>
          </w:tcPr>
          <w:p w14:paraId="35FC7ABA" w14:textId="77777777" w:rsidR="00316E6B" w:rsidRPr="009A515A" w:rsidRDefault="00316E6B" w:rsidP="00316E6B">
            <w:pPr>
              <w:rPr>
                <w:color w:val="000000" w:themeColor="text1"/>
                <w:sz w:val="20"/>
                <w:szCs w:val="20"/>
              </w:rPr>
            </w:pPr>
            <w:r w:rsidRPr="009A515A">
              <w:rPr>
                <w:sz w:val="20"/>
                <w:szCs w:val="20"/>
              </w:rPr>
              <w:t>0.208</w:t>
            </w:r>
          </w:p>
        </w:tc>
        <w:tc>
          <w:tcPr>
            <w:tcW w:w="2576" w:type="dxa"/>
          </w:tcPr>
          <w:p w14:paraId="31FCF934" w14:textId="77777777" w:rsidR="00316E6B" w:rsidRPr="009A515A" w:rsidRDefault="00316E6B" w:rsidP="00316E6B">
            <w:pPr>
              <w:rPr>
                <w:sz w:val="20"/>
                <w:szCs w:val="20"/>
              </w:rPr>
            </w:pPr>
            <w:r w:rsidRPr="009A515A">
              <w:rPr>
                <w:sz w:val="20"/>
                <w:szCs w:val="20"/>
              </w:rPr>
              <w:t>0.246</w:t>
            </w:r>
          </w:p>
        </w:tc>
      </w:tr>
      <w:tr w:rsidR="00316E6B" w:rsidRPr="009A515A" w14:paraId="6BA9100A" w14:textId="77777777" w:rsidTr="00D41BBD">
        <w:trPr>
          <w:trHeight w:val="284"/>
        </w:trPr>
        <w:tc>
          <w:tcPr>
            <w:tcW w:w="2555" w:type="dxa"/>
          </w:tcPr>
          <w:p w14:paraId="4A6F83E2" w14:textId="77777777" w:rsidR="00316E6B" w:rsidRPr="009A515A" w:rsidRDefault="00D41BBD" w:rsidP="00316E6B">
            <w:pPr>
              <w:rPr>
                <w:sz w:val="20"/>
                <w:szCs w:val="20"/>
              </w:rPr>
            </w:pPr>
            <w:r w:rsidRPr="009A515A">
              <w:t>UX * UE</w:t>
            </w:r>
          </w:p>
        </w:tc>
        <w:tc>
          <w:tcPr>
            <w:tcW w:w="1963" w:type="dxa"/>
          </w:tcPr>
          <w:p w14:paraId="33235B61" w14:textId="77777777" w:rsidR="00316E6B" w:rsidRPr="009A515A" w:rsidRDefault="00316E6B" w:rsidP="00316E6B">
            <w:pPr>
              <w:rPr>
                <w:color w:val="000000" w:themeColor="text1"/>
                <w:sz w:val="20"/>
                <w:szCs w:val="20"/>
              </w:rPr>
            </w:pPr>
            <w:r w:rsidRPr="009A515A">
              <w:rPr>
                <w:i/>
                <w:iCs/>
                <w:sz w:val="20"/>
                <w:szCs w:val="20"/>
              </w:rPr>
              <w:t>0.600</w:t>
            </w:r>
          </w:p>
        </w:tc>
        <w:tc>
          <w:tcPr>
            <w:tcW w:w="2257" w:type="dxa"/>
          </w:tcPr>
          <w:p w14:paraId="6E756FC1" w14:textId="77777777" w:rsidR="00316E6B" w:rsidRPr="009A515A" w:rsidRDefault="00316E6B" w:rsidP="00316E6B">
            <w:pPr>
              <w:rPr>
                <w:color w:val="000000" w:themeColor="text1"/>
                <w:sz w:val="20"/>
                <w:szCs w:val="20"/>
              </w:rPr>
            </w:pPr>
            <w:r w:rsidRPr="009A515A">
              <w:rPr>
                <w:color w:val="000000"/>
                <w:sz w:val="20"/>
                <w:szCs w:val="20"/>
              </w:rPr>
              <w:t>0.219</w:t>
            </w:r>
          </w:p>
        </w:tc>
        <w:tc>
          <w:tcPr>
            <w:tcW w:w="2576" w:type="dxa"/>
          </w:tcPr>
          <w:p w14:paraId="2A4D1EF3" w14:textId="77777777" w:rsidR="00316E6B" w:rsidRPr="009A515A" w:rsidRDefault="00316E6B" w:rsidP="00316E6B">
            <w:pPr>
              <w:rPr>
                <w:sz w:val="20"/>
                <w:szCs w:val="20"/>
              </w:rPr>
            </w:pPr>
            <w:r w:rsidRPr="009A515A">
              <w:rPr>
                <w:color w:val="000000"/>
                <w:sz w:val="20"/>
                <w:szCs w:val="20"/>
              </w:rPr>
              <w:t>0.181</w:t>
            </w:r>
          </w:p>
        </w:tc>
      </w:tr>
      <w:tr w:rsidR="00316E6B" w:rsidRPr="009A515A" w14:paraId="17470757" w14:textId="77777777" w:rsidTr="00D41BBD">
        <w:trPr>
          <w:trHeight w:val="284"/>
        </w:trPr>
        <w:tc>
          <w:tcPr>
            <w:tcW w:w="2555" w:type="dxa"/>
          </w:tcPr>
          <w:p w14:paraId="4FD93F93" w14:textId="77777777" w:rsidR="00316E6B" w:rsidRPr="009A515A" w:rsidRDefault="00316E6B" w:rsidP="00316E6B">
            <w:pPr>
              <w:rPr>
                <w:sz w:val="20"/>
                <w:szCs w:val="20"/>
              </w:rPr>
            </w:pPr>
            <w:r w:rsidRPr="009A515A">
              <w:t>BSAT * UE</w:t>
            </w:r>
          </w:p>
        </w:tc>
        <w:tc>
          <w:tcPr>
            <w:tcW w:w="1963" w:type="dxa"/>
          </w:tcPr>
          <w:p w14:paraId="5C68D27A" w14:textId="77777777" w:rsidR="00316E6B" w:rsidRPr="009A515A" w:rsidRDefault="00316E6B" w:rsidP="00316E6B">
            <w:pPr>
              <w:rPr>
                <w:color w:val="000000" w:themeColor="text1"/>
                <w:sz w:val="20"/>
                <w:szCs w:val="20"/>
              </w:rPr>
            </w:pPr>
            <w:r w:rsidRPr="009A515A">
              <w:rPr>
                <w:i/>
                <w:iCs/>
                <w:sz w:val="20"/>
                <w:szCs w:val="20"/>
              </w:rPr>
              <w:t>0.669</w:t>
            </w:r>
          </w:p>
        </w:tc>
        <w:tc>
          <w:tcPr>
            <w:tcW w:w="2257" w:type="dxa"/>
          </w:tcPr>
          <w:p w14:paraId="3C5F77A0" w14:textId="77777777" w:rsidR="00316E6B" w:rsidRPr="009A515A" w:rsidRDefault="00316E6B" w:rsidP="00316E6B">
            <w:pPr>
              <w:rPr>
                <w:color w:val="000000" w:themeColor="text1"/>
                <w:sz w:val="20"/>
                <w:szCs w:val="20"/>
              </w:rPr>
            </w:pPr>
            <w:r w:rsidRPr="009A515A">
              <w:rPr>
                <w:sz w:val="20"/>
                <w:szCs w:val="20"/>
              </w:rPr>
              <w:t>0.241</w:t>
            </w:r>
          </w:p>
        </w:tc>
        <w:tc>
          <w:tcPr>
            <w:tcW w:w="2576" w:type="dxa"/>
          </w:tcPr>
          <w:p w14:paraId="357CFEC8" w14:textId="77777777" w:rsidR="00316E6B" w:rsidRPr="009A515A" w:rsidRDefault="00316E6B" w:rsidP="00316E6B">
            <w:pPr>
              <w:rPr>
                <w:sz w:val="20"/>
                <w:szCs w:val="20"/>
              </w:rPr>
            </w:pPr>
            <w:r w:rsidRPr="009A515A">
              <w:rPr>
                <w:sz w:val="20"/>
                <w:szCs w:val="20"/>
              </w:rPr>
              <w:t>0.295</w:t>
            </w:r>
          </w:p>
        </w:tc>
      </w:tr>
      <w:tr w:rsidR="00316E6B" w:rsidRPr="009A515A" w14:paraId="42030D01" w14:textId="77777777" w:rsidTr="00D41BBD">
        <w:trPr>
          <w:trHeight w:val="284"/>
        </w:trPr>
        <w:tc>
          <w:tcPr>
            <w:tcW w:w="2555" w:type="dxa"/>
          </w:tcPr>
          <w:p w14:paraId="1AF14F6D" w14:textId="77777777" w:rsidR="00316E6B" w:rsidRPr="009A515A" w:rsidRDefault="00D41BBD" w:rsidP="00316E6B">
            <w:pPr>
              <w:rPr>
                <w:sz w:val="20"/>
                <w:szCs w:val="20"/>
              </w:rPr>
            </w:pPr>
            <w:r w:rsidRPr="009A515A">
              <w:rPr>
                <w:sz w:val="20"/>
                <w:szCs w:val="20"/>
              </w:rPr>
              <w:t>UX</w:t>
            </w:r>
          </w:p>
        </w:tc>
        <w:tc>
          <w:tcPr>
            <w:tcW w:w="1963" w:type="dxa"/>
          </w:tcPr>
          <w:p w14:paraId="3680D2A1" w14:textId="77777777" w:rsidR="00316E6B" w:rsidRPr="009A515A" w:rsidRDefault="00316E6B" w:rsidP="00316E6B">
            <w:pPr>
              <w:rPr>
                <w:color w:val="000000" w:themeColor="text1"/>
                <w:sz w:val="20"/>
                <w:szCs w:val="20"/>
              </w:rPr>
            </w:pPr>
            <w:r w:rsidRPr="009A515A">
              <w:rPr>
                <w:i/>
                <w:iCs/>
                <w:sz w:val="20"/>
                <w:szCs w:val="20"/>
              </w:rPr>
              <w:t>0.362</w:t>
            </w:r>
          </w:p>
        </w:tc>
        <w:tc>
          <w:tcPr>
            <w:tcW w:w="2257" w:type="dxa"/>
          </w:tcPr>
          <w:p w14:paraId="071D2FA7"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05B9BFE3" w14:textId="77777777" w:rsidR="00316E6B" w:rsidRPr="009A515A" w:rsidRDefault="00316E6B" w:rsidP="00316E6B">
            <w:pPr>
              <w:rPr>
                <w:sz w:val="20"/>
                <w:szCs w:val="20"/>
              </w:rPr>
            </w:pPr>
            <w:r w:rsidRPr="009A515A">
              <w:rPr>
                <w:color w:val="000000"/>
                <w:sz w:val="20"/>
                <w:szCs w:val="20"/>
              </w:rPr>
              <w:t>0.084</w:t>
            </w:r>
          </w:p>
        </w:tc>
      </w:tr>
      <w:tr w:rsidR="00316E6B" w:rsidRPr="009A515A" w14:paraId="28864586" w14:textId="77777777" w:rsidTr="00D41BBD">
        <w:trPr>
          <w:trHeight w:val="271"/>
        </w:trPr>
        <w:tc>
          <w:tcPr>
            <w:tcW w:w="2555" w:type="dxa"/>
          </w:tcPr>
          <w:p w14:paraId="0A16B948" w14:textId="77777777" w:rsidR="00316E6B" w:rsidRPr="009A515A" w:rsidRDefault="00D41BBD" w:rsidP="00316E6B">
            <w:pPr>
              <w:rPr>
                <w:sz w:val="20"/>
                <w:szCs w:val="20"/>
              </w:rPr>
            </w:pPr>
            <w:r w:rsidRPr="009A515A">
              <w:t>BSAT</w:t>
            </w:r>
          </w:p>
        </w:tc>
        <w:tc>
          <w:tcPr>
            <w:tcW w:w="1963" w:type="dxa"/>
          </w:tcPr>
          <w:p w14:paraId="24CEB16F" w14:textId="77777777" w:rsidR="00316E6B" w:rsidRPr="009A515A" w:rsidRDefault="00316E6B" w:rsidP="00316E6B">
            <w:pPr>
              <w:rPr>
                <w:color w:val="000000" w:themeColor="text1"/>
                <w:sz w:val="20"/>
                <w:szCs w:val="20"/>
              </w:rPr>
            </w:pPr>
            <w:r w:rsidRPr="009A515A">
              <w:rPr>
                <w:i/>
                <w:iCs/>
                <w:sz w:val="20"/>
                <w:szCs w:val="20"/>
              </w:rPr>
              <w:t>0.410</w:t>
            </w:r>
          </w:p>
        </w:tc>
        <w:tc>
          <w:tcPr>
            <w:tcW w:w="2257" w:type="dxa"/>
          </w:tcPr>
          <w:p w14:paraId="2879C498" w14:textId="77777777" w:rsidR="00316E6B" w:rsidRPr="009A515A" w:rsidRDefault="00316E6B" w:rsidP="00316E6B">
            <w:pPr>
              <w:rPr>
                <w:color w:val="000000" w:themeColor="text1"/>
                <w:sz w:val="20"/>
                <w:szCs w:val="20"/>
              </w:rPr>
            </w:pPr>
            <w:r w:rsidRPr="009A515A">
              <w:rPr>
                <w:sz w:val="20"/>
                <w:szCs w:val="20"/>
              </w:rPr>
              <w:t>0.368</w:t>
            </w:r>
          </w:p>
        </w:tc>
        <w:tc>
          <w:tcPr>
            <w:tcW w:w="2576" w:type="dxa"/>
          </w:tcPr>
          <w:p w14:paraId="6277C9D1" w14:textId="77777777" w:rsidR="00316E6B" w:rsidRPr="009A515A" w:rsidRDefault="00316E6B" w:rsidP="00316E6B">
            <w:pPr>
              <w:rPr>
                <w:sz w:val="20"/>
                <w:szCs w:val="20"/>
              </w:rPr>
            </w:pPr>
            <w:r w:rsidRPr="009A515A">
              <w:rPr>
                <w:sz w:val="20"/>
                <w:szCs w:val="20"/>
              </w:rPr>
              <w:t>0.086</w:t>
            </w:r>
          </w:p>
        </w:tc>
      </w:tr>
      <w:tr w:rsidR="00316E6B" w:rsidRPr="009A515A" w14:paraId="2D456F8B" w14:textId="77777777" w:rsidTr="00D41BBD">
        <w:trPr>
          <w:trHeight w:val="176"/>
        </w:trPr>
        <w:tc>
          <w:tcPr>
            <w:tcW w:w="2555" w:type="dxa"/>
          </w:tcPr>
          <w:p w14:paraId="4225DD0D" w14:textId="77777777" w:rsidR="00316E6B" w:rsidRPr="009A515A" w:rsidRDefault="00316E6B" w:rsidP="00316E6B">
            <w:pPr>
              <w:rPr>
                <w:sz w:val="20"/>
                <w:szCs w:val="20"/>
              </w:rPr>
            </w:pPr>
            <w:r w:rsidRPr="009A515A">
              <w:t>UE</w:t>
            </w:r>
          </w:p>
        </w:tc>
        <w:tc>
          <w:tcPr>
            <w:tcW w:w="1963" w:type="dxa"/>
          </w:tcPr>
          <w:p w14:paraId="419E1E7A" w14:textId="77777777" w:rsidR="00316E6B" w:rsidRPr="009A515A" w:rsidRDefault="00316E6B" w:rsidP="00316E6B">
            <w:pPr>
              <w:rPr>
                <w:color w:val="000000" w:themeColor="text1"/>
                <w:sz w:val="20"/>
                <w:szCs w:val="20"/>
              </w:rPr>
            </w:pPr>
            <w:r w:rsidRPr="009A515A">
              <w:rPr>
                <w:i/>
                <w:iCs/>
                <w:sz w:val="20"/>
                <w:szCs w:val="20"/>
              </w:rPr>
              <w:t>0.373</w:t>
            </w:r>
          </w:p>
        </w:tc>
        <w:tc>
          <w:tcPr>
            <w:tcW w:w="2257" w:type="dxa"/>
          </w:tcPr>
          <w:p w14:paraId="6A041798"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3A0A03ED" w14:textId="77777777" w:rsidR="00316E6B" w:rsidRPr="009A515A" w:rsidRDefault="00316E6B" w:rsidP="00316E6B">
            <w:pPr>
              <w:rPr>
                <w:color w:val="000000" w:themeColor="text1"/>
                <w:sz w:val="20"/>
                <w:szCs w:val="20"/>
              </w:rPr>
            </w:pPr>
            <w:r w:rsidRPr="009A515A">
              <w:rPr>
                <w:color w:val="000000"/>
                <w:sz w:val="20"/>
                <w:szCs w:val="20"/>
              </w:rPr>
              <w:t>0.084</w:t>
            </w:r>
          </w:p>
        </w:tc>
      </w:tr>
    </w:tbl>
    <w:p w14:paraId="5BD4F62B"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13F4C530" w14:textId="77777777" w:rsidR="00A731C8" w:rsidRPr="009A515A" w:rsidRDefault="00DD5D63" w:rsidP="00B379F7">
      <w:pPr>
        <w:jc w:val="both"/>
        <w:rPr>
          <w:i/>
          <w:iCs/>
          <w:color w:val="000000" w:themeColor="text1"/>
          <w:sz w:val="20"/>
          <w:szCs w:val="20"/>
        </w:rPr>
      </w:pPr>
      <w:r w:rsidRPr="009A515A">
        <w:rPr>
          <w:i/>
          <w:iCs/>
          <w:color w:val="000000" w:themeColor="text1"/>
          <w:sz w:val="20"/>
          <w:szCs w:val="20"/>
        </w:rPr>
        <w:t>Source: Authors</w:t>
      </w:r>
    </w:p>
    <w:p w14:paraId="303D75B1" w14:textId="77777777" w:rsidR="00112445" w:rsidRPr="009A515A" w:rsidRDefault="00112445" w:rsidP="00112445">
      <w:pPr>
        <w:spacing w:line="360" w:lineRule="auto"/>
        <w:jc w:val="both"/>
        <w:rPr>
          <w:color w:val="000000" w:themeColor="text1"/>
        </w:rPr>
      </w:pPr>
    </w:p>
    <w:p w14:paraId="40D8C411" w14:textId="77777777" w:rsidR="00144F14" w:rsidRPr="009A515A" w:rsidRDefault="00234967" w:rsidP="00234967">
      <w:pPr>
        <w:spacing w:line="360" w:lineRule="auto"/>
        <w:ind w:left="720" w:hanging="720"/>
        <w:rPr>
          <w:b/>
          <w:bCs/>
          <w:color w:val="000000" w:themeColor="text1"/>
        </w:rPr>
      </w:pPr>
      <w:r w:rsidRPr="009A515A">
        <w:t>Table 5. Configuration Analysis for High Brand Success (BSUC) in the Metaverse</w:t>
      </w:r>
    </w:p>
    <w:tbl>
      <w:tblPr>
        <w:tblStyle w:val="TableGrid"/>
        <w:tblW w:w="9096" w:type="dxa"/>
        <w:tblLayout w:type="fixed"/>
        <w:tblLook w:val="04A0" w:firstRow="1" w:lastRow="0" w:firstColumn="1" w:lastColumn="0" w:noHBand="0" w:noVBand="1"/>
      </w:tblPr>
      <w:tblGrid>
        <w:gridCol w:w="2837"/>
        <w:gridCol w:w="3128"/>
        <w:gridCol w:w="2275"/>
        <w:gridCol w:w="856"/>
      </w:tblGrid>
      <w:tr w:rsidR="00466030" w:rsidRPr="009A515A" w14:paraId="1AF56BA3" w14:textId="77777777" w:rsidTr="00316E6B">
        <w:trPr>
          <w:trHeight w:val="260"/>
        </w:trPr>
        <w:tc>
          <w:tcPr>
            <w:tcW w:w="2837" w:type="dxa"/>
            <w:shd w:val="clear" w:color="auto" w:fill="D0CECE" w:themeFill="background2" w:themeFillShade="E6"/>
            <w:hideMark/>
          </w:tcPr>
          <w:p w14:paraId="56E6A5ED" w14:textId="77777777" w:rsidR="00466030" w:rsidRPr="009A515A" w:rsidRDefault="00466030">
            <w:pPr>
              <w:jc w:val="center"/>
              <w:rPr>
                <w:b/>
                <w:bCs/>
                <w:i/>
                <w:iCs/>
                <w:color w:val="000000"/>
                <w:sz w:val="20"/>
                <w:szCs w:val="20"/>
              </w:rPr>
            </w:pPr>
            <w:r w:rsidRPr="009A515A">
              <w:rPr>
                <w:b/>
                <w:bCs/>
                <w:i/>
                <w:iCs/>
                <w:color w:val="000000" w:themeColor="text1"/>
                <w:sz w:val="20"/>
                <w:szCs w:val="20"/>
              </w:rPr>
              <w:t>Configuration</w:t>
            </w:r>
          </w:p>
        </w:tc>
        <w:tc>
          <w:tcPr>
            <w:tcW w:w="3128" w:type="dxa"/>
            <w:shd w:val="clear" w:color="auto" w:fill="D0CECE" w:themeFill="background2" w:themeFillShade="E6"/>
            <w:hideMark/>
          </w:tcPr>
          <w:p w14:paraId="6978688F" w14:textId="77777777" w:rsidR="00466030" w:rsidRPr="009A515A" w:rsidRDefault="00466030">
            <w:pPr>
              <w:jc w:val="center"/>
              <w:rPr>
                <w:b/>
                <w:bCs/>
                <w:i/>
                <w:iCs/>
                <w:color w:val="000000"/>
                <w:sz w:val="20"/>
                <w:szCs w:val="20"/>
              </w:rPr>
            </w:pPr>
            <w:r w:rsidRPr="009A515A">
              <w:rPr>
                <w:b/>
                <w:bCs/>
                <w:i/>
                <w:iCs/>
                <w:color w:val="000000" w:themeColor="text1"/>
                <w:sz w:val="20"/>
                <w:szCs w:val="20"/>
              </w:rPr>
              <w:t>1</w:t>
            </w:r>
          </w:p>
        </w:tc>
        <w:tc>
          <w:tcPr>
            <w:tcW w:w="2275" w:type="dxa"/>
            <w:shd w:val="clear" w:color="auto" w:fill="D0CECE" w:themeFill="background2" w:themeFillShade="E6"/>
            <w:hideMark/>
          </w:tcPr>
          <w:p w14:paraId="4B5032A1" w14:textId="77777777" w:rsidR="00466030" w:rsidRPr="009A515A" w:rsidRDefault="00466030">
            <w:pPr>
              <w:jc w:val="center"/>
              <w:rPr>
                <w:b/>
                <w:bCs/>
                <w:i/>
                <w:iCs/>
                <w:color w:val="000000"/>
                <w:sz w:val="20"/>
                <w:szCs w:val="20"/>
              </w:rPr>
            </w:pPr>
            <w:r w:rsidRPr="009A515A">
              <w:rPr>
                <w:b/>
                <w:bCs/>
                <w:i/>
                <w:iCs/>
                <w:color w:val="000000" w:themeColor="text1"/>
                <w:sz w:val="20"/>
                <w:szCs w:val="20"/>
              </w:rPr>
              <w:t>2</w:t>
            </w:r>
          </w:p>
        </w:tc>
        <w:tc>
          <w:tcPr>
            <w:tcW w:w="855" w:type="dxa"/>
            <w:shd w:val="clear" w:color="auto" w:fill="D0CECE" w:themeFill="background2" w:themeFillShade="E6"/>
            <w:hideMark/>
          </w:tcPr>
          <w:p w14:paraId="5EB32DEB" w14:textId="77777777" w:rsidR="00466030" w:rsidRPr="009A515A" w:rsidRDefault="00466030">
            <w:pPr>
              <w:jc w:val="center"/>
              <w:rPr>
                <w:b/>
                <w:bCs/>
                <w:i/>
                <w:iCs/>
                <w:color w:val="000000"/>
                <w:sz w:val="20"/>
                <w:szCs w:val="20"/>
              </w:rPr>
            </w:pPr>
            <w:r w:rsidRPr="009A515A">
              <w:rPr>
                <w:b/>
                <w:bCs/>
                <w:i/>
                <w:iCs/>
                <w:color w:val="000000" w:themeColor="text1"/>
                <w:sz w:val="20"/>
                <w:szCs w:val="20"/>
              </w:rPr>
              <w:t>3</w:t>
            </w:r>
          </w:p>
        </w:tc>
      </w:tr>
      <w:tr w:rsidR="00466030" w:rsidRPr="009A515A" w14:paraId="52D9E838" w14:textId="77777777" w:rsidTr="00316E6B">
        <w:trPr>
          <w:trHeight w:val="240"/>
        </w:trPr>
        <w:tc>
          <w:tcPr>
            <w:tcW w:w="2837" w:type="dxa"/>
            <w:hideMark/>
          </w:tcPr>
          <w:p w14:paraId="542F08D5" w14:textId="77777777" w:rsidR="00466030" w:rsidRPr="009A515A" w:rsidRDefault="00466030">
            <w:pPr>
              <w:jc w:val="center"/>
              <w:rPr>
                <w:b/>
                <w:bCs/>
                <w:i/>
                <w:iCs/>
                <w:color w:val="000000"/>
                <w:sz w:val="20"/>
                <w:szCs w:val="20"/>
              </w:rPr>
            </w:pPr>
            <w:r w:rsidRPr="009A515A">
              <w:rPr>
                <w:i/>
                <w:iCs/>
                <w:color w:val="000000"/>
                <w:sz w:val="20"/>
                <w:szCs w:val="20"/>
              </w:rPr>
              <w:t>Causal Conditions</w:t>
            </w:r>
          </w:p>
        </w:tc>
        <w:tc>
          <w:tcPr>
            <w:tcW w:w="3128" w:type="dxa"/>
            <w:hideMark/>
          </w:tcPr>
          <w:p w14:paraId="2B72AB3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691E7281"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01BBACB"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71FCB819" w14:textId="77777777" w:rsidTr="00316E6B">
        <w:trPr>
          <w:trHeight w:val="260"/>
        </w:trPr>
        <w:tc>
          <w:tcPr>
            <w:tcW w:w="2837" w:type="dxa"/>
            <w:hideMark/>
          </w:tcPr>
          <w:p w14:paraId="0CAE8A75" w14:textId="77777777" w:rsidR="00466030" w:rsidRPr="009A515A" w:rsidRDefault="00D41BBD">
            <w:pPr>
              <w:jc w:val="center"/>
              <w:rPr>
                <w:b/>
                <w:bCs/>
                <w:i/>
                <w:iCs/>
                <w:sz w:val="20"/>
                <w:szCs w:val="20"/>
              </w:rPr>
            </w:pPr>
            <w:r w:rsidRPr="009A515A">
              <w:t>BSAT (Brand Satisfaction)</w:t>
            </w:r>
          </w:p>
        </w:tc>
        <w:tc>
          <w:tcPr>
            <w:tcW w:w="3128" w:type="dxa"/>
            <w:hideMark/>
          </w:tcPr>
          <w:p w14:paraId="1F026360"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39AB2E8B"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7256E13"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5C8398ED" w14:textId="77777777" w:rsidTr="00316E6B">
        <w:trPr>
          <w:trHeight w:val="260"/>
        </w:trPr>
        <w:tc>
          <w:tcPr>
            <w:tcW w:w="2837" w:type="dxa"/>
            <w:hideMark/>
          </w:tcPr>
          <w:p w14:paraId="072F9830" w14:textId="77777777" w:rsidR="00466030" w:rsidRPr="009A515A" w:rsidRDefault="00D41BBD">
            <w:pPr>
              <w:jc w:val="center"/>
              <w:rPr>
                <w:b/>
                <w:bCs/>
                <w:i/>
                <w:iCs/>
                <w:sz w:val="20"/>
                <w:szCs w:val="20"/>
              </w:rPr>
            </w:pPr>
            <w:r w:rsidRPr="009A515A">
              <w:rPr>
                <w:i/>
                <w:iCs/>
                <w:sz w:val="20"/>
                <w:szCs w:val="20"/>
              </w:rPr>
              <w:t xml:space="preserve">UX </w:t>
            </w:r>
            <w:r w:rsidR="00466030" w:rsidRPr="009A515A">
              <w:rPr>
                <w:i/>
                <w:iCs/>
                <w:sz w:val="20"/>
                <w:szCs w:val="20"/>
              </w:rPr>
              <w:t>(User Experience)</w:t>
            </w:r>
          </w:p>
        </w:tc>
        <w:tc>
          <w:tcPr>
            <w:tcW w:w="3128" w:type="dxa"/>
            <w:hideMark/>
          </w:tcPr>
          <w:p w14:paraId="47EE1BB7"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14AA10C0"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B516459"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70BC06D2" w14:textId="77777777" w:rsidTr="00316E6B">
        <w:trPr>
          <w:trHeight w:val="260"/>
        </w:trPr>
        <w:tc>
          <w:tcPr>
            <w:tcW w:w="2837" w:type="dxa"/>
            <w:hideMark/>
          </w:tcPr>
          <w:p w14:paraId="3F8E99D5" w14:textId="77777777" w:rsidR="00466030" w:rsidRPr="009A515A" w:rsidRDefault="00466030">
            <w:pPr>
              <w:jc w:val="center"/>
              <w:rPr>
                <w:b/>
                <w:bCs/>
                <w:i/>
                <w:iCs/>
                <w:sz w:val="20"/>
                <w:szCs w:val="20"/>
              </w:rPr>
            </w:pPr>
            <w:r w:rsidRPr="009A515A">
              <w:t>UE (User Engagement)</w:t>
            </w:r>
          </w:p>
        </w:tc>
        <w:tc>
          <w:tcPr>
            <w:tcW w:w="3128" w:type="dxa"/>
            <w:hideMark/>
          </w:tcPr>
          <w:p w14:paraId="5CB0632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75D7F89F"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969F3D4"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607C94A9" w14:textId="77777777" w:rsidTr="00316E6B">
        <w:trPr>
          <w:trHeight w:val="240"/>
        </w:trPr>
        <w:tc>
          <w:tcPr>
            <w:tcW w:w="9096" w:type="dxa"/>
            <w:gridSpan w:val="4"/>
            <w:hideMark/>
          </w:tcPr>
          <w:p w14:paraId="785E9B66" w14:textId="77777777" w:rsidR="00466030" w:rsidRPr="009A515A" w:rsidRDefault="00466030">
            <w:pPr>
              <w:jc w:val="center"/>
              <w:rPr>
                <w:b/>
                <w:bCs/>
                <w:i/>
                <w:iCs/>
                <w:sz w:val="20"/>
                <w:szCs w:val="20"/>
              </w:rPr>
            </w:pPr>
            <w:r w:rsidRPr="009A515A">
              <w:rPr>
                <w:i/>
                <w:iCs/>
                <w:sz w:val="20"/>
                <w:szCs w:val="20"/>
              </w:rPr>
              <w:t>Performance Metrics</w:t>
            </w:r>
          </w:p>
        </w:tc>
      </w:tr>
      <w:tr w:rsidR="00466030" w:rsidRPr="009A515A" w14:paraId="62D5ADF7" w14:textId="77777777" w:rsidTr="00316E6B">
        <w:trPr>
          <w:trHeight w:val="260"/>
        </w:trPr>
        <w:tc>
          <w:tcPr>
            <w:tcW w:w="2837" w:type="dxa"/>
            <w:hideMark/>
          </w:tcPr>
          <w:p w14:paraId="265FF3EF" w14:textId="77777777" w:rsidR="00466030" w:rsidRPr="009A515A" w:rsidRDefault="00466030">
            <w:pPr>
              <w:jc w:val="center"/>
              <w:rPr>
                <w:b/>
                <w:bCs/>
                <w:i/>
                <w:iCs/>
                <w:sz w:val="20"/>
                <w:szCs w:val="20"/>
              </w:rPr>
            </w:pPr>
            <w:r w:rsidRPr="009A515A">
              <w:rPr>
                <w:i/>
                <w:iCs/>
                <w:sz w:val="20"/>
                <w:szCs w:val="20"/>
              </w:rPr>
              <w:t>Raw Coverage</w:t>
            </w:r>
          </w:p>
        </w:tc>
        <w:tc>
          <w:tcPr>
            <w:tcW w:w="3128" w:type="dxa"/>
            <w:hideMark/>
          </w:tcPr>
          <w:p w14:paraId="4A1DD7D0" w14:textId="77777777" w:rsidR="00466030" w:rsidRPr="009A515A" w:rsidRDefault="00466030">
            <w:pPr>
              <w:jc w:val="center"/>
              <w:rPr>
                <w:color w:val="000000"/>
                <w:sz w:val="20"/>
                <w:szCs w:val="20"/>
              </w:rPr>
            </w:pPr>
            <w:r w:rsidRPr="009A515A">
              <w:rPr>
                <w:color w:val="000000" w:themeColor="text1"/>
                <w:sz w:val="20"/>
                <w:szCs w:val="20"/>
              </w:rPr>
              <w:t>0.208</w:t>
            </w:r>
          </w:p>
        </w:tc>
        <w:tc>
          <w:tcPr>
            <w:tcW w:w="2275" w:type="dxa"/>
            <w:hideMark/>
          </w:tcPr>
          <w:p w14:paraId="75ED250B" w14:textId="77777777" w:rsidR="00466030" w:rsidRPr="009A515A" w:rsidRDefault="00466030">
            <w:pPr>
              <w:jc w:val="center"/>
              <w:rPr>
                <w:color w:val="000000"/>
                <w:sz w:val="20"/>
                <w:szCs w:val="20"/>
              </w:rPr>
            </w:pPr>
            <w:r w:rsidRPr="009A515A">
              <w:rPr>
                <w:color w:val="000000" w:themeColor="text1"/>
                <w:sz w:val="20"/>
                <w:szCs w:val="20"/>
              </w:rPr>
              <w:t>0.241</w:t>
            </w:r>
          </w:p>
        </w:tc>
        <w:tc>
          <w:tcPr>
            <w:tcW w:w="855" w:type="dxa"/>
            <w:hideMark/>
          </w:tcPr>
          <w:p w14:paraId="25B31913" w14:textId="77777777" w:rsidR="00466030" w:rsidRPr="009A515A" w:rsidRDefault="00466030">
            <w:pPr>
              <w:jc w:val="center"/>
              <w:rPr>
                <w:color w:val="000000"/>
                <w:sz w:val="20"/>
                <w:szCs w:val="20"/>
              </w:rPr>
            </w:pPr>
            <w:r w:rsidRPr="009A515A">
              <w:rPr>
                <w:color w:val="000000" w:themeColor="text1"/>
                <w:sz w:val="20"/>
                <w:szCs w:val="20"/>
              </w:rPr>
              <w:t>0.21</w:t>
            </w:r>
            <w:r w:rsidR="00F62BDD" w:rsidRPr="009A515A">
              <w:rPr>
                <w:color w:val="000000" w:themeColor="text1"/>
                <w:sz w:val="20"/>
                <w:szCs w:val="20"/>
              </w:rPr>
              <w:t>8</w:t>
            </w:r>
          </w:p>
        </w:tc>
      </w:tr>
      <w:tr w:rsidR="00466030" w:rsidRPr="009A515A" w14:paraId="13AF8017" w14:textId="77777777" w:rsidTr="00316E6B">
        <w:trPr>
          <w:trHeight w:val="260"/>
        </w:trPr>
        <w:tc>
          <w:tcPr>
            <w:tcW w:w="2837" w:type="dxa"/>
            <w:hideMark/>
          </w:tcPr>
          <w:p w14:paraId="3A7FC22F" w14:textId="77777777" w:rsidR="00466030" w:rsidRPr="009A515A" w:rsidRDefault="00466030">
            <w:pPr>
              <w:jc w:val="center"/>
              <w:rPr>
                <w:b/>
                <w:bCs/>
                <w:i/>
                <w:iCs/>
                <w:sz w:val="20"/>
                <w:szCs w:val="20"/>
              </w:rPr>
            </w:pPr>
            <w:r w:rsidRPr="009A515A">
              <w:rPr>
                <w:i/>
                <w:iCs/>
                <w:sz w:val="20"/>
                <w:szCs w:val="20"/>
              </w:rPr>
              <w:t>Unique Coverage</w:t>
            </w:r>
          </w:p>
        </w:tc>
        <w:tc>
          <w:tcPr>
            <w:tcW w:w="3128" w:type="dxa"/>
            <w:hideMark/>
          </w:tcPr>
          <w:p w14:paraId="52495CAA" w14:textId="77777777" w:rsidR="00466030" w:rsidRPr="009A515A" w:rsidRDefault="00466030">
            <w:pPr>
              <w:jc w:val="center"/>
              <w:rPr>
                <w:color w:val="000000"/>
                <w:sz w:val="20"/>
                <w:szCs w:val="20"/>
              </w:rPr>
            </w:pPr>
            <w:r w:rsidRPr="009A515A">
              <w:rPr>
                <w:color w:val="000000" w:themeColor="text1"/>
                <w:sz w:val="20"/>
                <w:szCs w:val="20"/>
              </w:rPr>
              <w:t>0.036</w:t>
            </w:r>
          </w:p>
        </w:tc>
        <w:tc>
          <w:tcPr>
            <w:tcW w:w="2275" w:type="dxa"/>
            <w:hideMark/>
          </w:tcPr>
          <w:p w14:paraId="6374CC8F" w14:textId="77777777" w:rsidR="00466030" w:rsidRPr="009A515A" w:rsidRDefault="00466030">
            <w:pPr>
              <w:jc w:val="center"/>
              <w:rPr>
                <w:color w:val="000000"/>
                <w:sz w:val="20"/>
                <w:szCs w:val="20"/>
              </w:rPr>
            </w:pPr>
            <w:r w:rsidRPr="009A515A">
              <w:rPr>
                <w:color w:val="000000" w:themeColor="text1"/>
                <w:sz w:val="20"/>
                <w:szCs w:val="20"/>
              </w:rPr>
              <w:t>0.069</w:t>
            </w:r>
          </w:p>
        </w:tc>
        <w:tc>
          <w:tcPr>
            <w:tcW w:w="855" w:type="dxa"/>
            <w:hideMark/>
          </w:tcPr>
          <w:p w14:paraId="12D86BE2" w14:textId="77777777" w:rsidR="00466030" w:rsidRPr="009A515A" w:rsidRDefault="00466030">
            <w:pPr>
              <w:jc w:val="center"/>
              <w:rPr>
                <w:color w:val="000000"/>
                <w:sz w:val="20"/>
                <w:szCs w:val="20"/>
              </w:rPr>
            </w:pPr>
            <w:r w:rsidRPr="009A515A">
              <w:rPr>
                <w:color w:val="000000" w:themeColor="text1"/>
                <w:sz w:val="20"/>
                <w:szCs w:val="20"/>
              </w:rPr>
              <w:t>0.047</w:t>
            </w:r>
          </w:p>
        </w:tc>
      </w:tr>
      <w:tr w:rsidR="00466030" w:rsidRPr="009A515A" w14:paraId="10BBF7A8" w14:textId="77777777" w:rsidTr="00316E6B">
        <w:trPr>
          <w:trHeight w:val="260"/>
        </w:trPr>
        <w:tc>
          <w:tcPr>
            <w:tcW w:w="2837" w:type="dxa"/>
            <w:hideMark/>
          </w:tcPr>
          <w:p w14:paraId="4ED1B4AB" w14:textId="77777777" w:rsidR="00466030" w:rsidRPr="009A515A" w:rsidRDefault="00466030">
            <w:pPr>
              <w:jc w:val="center"/>
              <w:rPr>
                <w:b/>
                <w:bCs/>
                <w:i/>
                <w:iCs/>
                <w:sz w:val="20"/>
                <w:szCs w:val="20"/>
              </w:rPr>
            </w:pPr>
            <w:r w:rsidRPr="009A515A">
              <w:rPr>
                <w:i/>
                <w:iCs/>
                <w:sz w:val="20"/>
                <w:szCs w:val="20"/>
              </w:rPr>
              <w:t>Consistency</w:t>
            </w:r>
          </w:p>
        </w:tc>
        <w:tc>
          <w:tcPr>
            <w:tcW w:w="3128" w:type="dxa"/>
            <w:hideMark/>
          </w:tcPr>
          <w:p w14:paraId="5E0CD471" w14:textId="77777777" w:rsidR="00466030" w:rsidRPr="009A515A" w:rsidRDefault="00466030">
            <w:pPr>
              <w:jc w:val="center"/>
              <w:rPr>
                <w:color w:val="000000"/>
                <w:sz w:val="20"/>
                <w:szCs w:val="20"/>
              </w:rPr>
            </w:pPr>
            <w:r w:rsidRPr="009A515A">
              <w:rPr>
                <w:color w:val="000000" w:themeColor="text1"/>
                <w:sz w:val="20"/>
                <w:szCs w:val="20"/>
              </w:rPr>
              <w:t>0.65</w:t>
            </w:r>
            <w:r w:rsidR="007A0834" w:rsidRPr="009A515A">
              <w:rPr>
                <w:color w:val="000000" w:themeColor="text1"/>
                <w:sz w:val="20"/>
                <w:szCs w:val="20"/>
              </w:rPr>
              <w:t>0</w:t>
            </w:r>
          </w:p>
        </w:tc>
        <w:tc>
          <w:tcPr>
            <w:tcW w:w="2275" w:type="dxa"/>
            <w:hideMark/>
          </w:tcPr>
          <w:p w14:paraId="2D3EE877" w14:textId="77777777" w:rsidR="00466030" w:rsidRPr="009A515A" w:rsidRDefault="00466030">
            <w:pPr>
              <w:jc w:val="center"/>
              <w:rPr>
                <w:color w:val="000000"/>
                <w:sz w:val="20"/>
                <w:szCs w:val="20"/>
              </w:rPr>
            </w:pPr>
            <w:r w:rsidRPr="009A515A">
              <w:rPr>
                <w:color w:val="000000" w:themeColor="text1"/>
                <w:sz w:val="20"/>
                <w:szCs w:val="20"/>
              </w:rPr>
              <w:t>0.669</w:t>
            </w:r>
          </w:p>
        </w:tc>
        <w:tc>
          <w:tcPr>
            <w:tcW w:w="855" w:type="dxa"/>
            <w:hideMark/>
          </w:tcPr>
          <w:p w14:paraId="6168E8E8" w14:textId="77777777" w:rsidR="00466030" w:rsidRPr="009A515A" w:rsidRDefault="00466030">
            <w:pPr>
              <w:jc w:val="center"/>
              <w:rPr>
                <w:color w:val="000000"/>
                <w:sz w:val="20"/>
                <w:szCs w:val="20"/>
              </w:rPr>
            </w:pPr>
            <w:r w:rsidRPr="009A515A">
              <w:rPr>
                <w:color w:val="000000" w:themeColor="text1"/>
                <w:sz w:val="20"/>
                <w:szCs w:val="20"/>
              </w:rPr>
              <w:t>0.6</w:t>
            </w:r>
          </w:p>
        </w:tc>
      </w:tr>
      <w:tr w:rsidR="00466030" w:rsidRPr="009A515A" w14:paraId="4DD9EBCF" w14:textId="77777777" w:rsidTr="00316E6B">
        <w:trPr>
          <w:trHeight w:val="260"/>
        </w:trPr>
        <w:tc>
          <w:tcPr>
            <w:tcW w:w="2837" w:type="dxa"/>
            <w:hideMark/>
          </w:tcPr>
          <w:p w14:paraId="1618A6AD" w14:textId="77777777" w:rsidR="00466030" w:rsidRPr="009A515A" w:rsidRDefault="00466030">
            <w:pPr>
              <w:jc w:val="center"/>
              <w:rPr>
                <w:b/>
                <w:bCs/>
                <w:i/>
                <w:iCs/>
                <w:sz w:val="20"/>
                <w:szCs w:val="20"/>
              </w:rPr>
            </w:pPr>
            <w:r w:rsidRPr="009A515A">
              <w:rPr>
                <w:i/>
                <w:iCs/>
                <w:sz w:val="20"/>
                <w:szCs w:val="20"/>
              </w:rPr>
              <w:t>Overall Solution</w:t>
            </w:r>
          </w:p>
        </w:tc>
        <w:tc>
          <w:tcPr>
            <w:tcW w:w="3128" w:type="dxa"/>
            <w:hideMark/>
          </w:tcPr>
          <w:p w14:paraId="4ABEE8A1" w14:textId="77777777" w:rsidR="00466030" w:rsidRPr="009A515A" w:rsidRDefault="00466030">
            <w:pPr>
              <w:jc w:val="center"/>
              <w:rPr>
                <w:color w:val="000000"/>
                <w:sz w:val="20"/>
                <w:szCs w:val="20"/>
              </w:rPr>
            </w:pPr>
            <w:r w:rsidRPr="009A515A">
              <w:rPr>
                <w:color w:val="000000" w:themeColor="text1"/>
                <w:sz w:val="20"/>
                <w:szCs w:val="20"/>
              </w:rPr>
              <w:t>Coverage: 0.324</w:t>
            </w:r>
          </w:p>
        </w:tc>
        <w:tc>
          <w:tcPr>
            <w:tcW w:w="2275" w:type="dxa"/>
            <w:hideMark/>
          </w:tcPr>
          <w:p w14:paraId="18EF41A8" w14:textId="77777777" w:rsidR="00466030" w:rsidRPr="009A515A" w:rsidRDefault="00E16418">
            <w:pPr>
              <w:jc w:val="center"/>
              <w:rPr>
                <w:color w:val="000000"/>
                <w:sz w:val="20"/>
                <w:szCs w:val="20"/>
              </w:rPr>
            </w:pPr>
            <w:r w:rsidRPr="009A515A">
              <w:rPr>
                <w:color w:val="000000" w:themeColor="text1"/>
                <w:sz w:val="20"/>
                <w:szCs w:val="20"/>
              </w:rPr>
              <w:t>Consistency</w:t>
            </w:r>
            <w:r w:rsidR="00466030" w:rsidRPr="009A515A">
              <w:rPr>
                <w:color w:val="000000" w:themeColor="text1"/>
                <w:sz w:val="20"/>
                <w:szCs w:val="20"/>
              </w:rPr>
              <w:t>: 0.756</w:t>
            </w:r>
          </w:p>
        </w:tc>
        <w:tc>
          <w:tcPr>
            <w:tcW w:w="855" w:type="dxa"/>
            <w:hideMark/>
          </w:tcPr>
          <w:p w14:paraId="2DB6835A" w14:textId="77777777" w:rsidR="00466030" w:rsidRPr="009A515A" w:rsidRDefault="00466030">
            <w:pPr>
              <w:jc w:val="center"/>
              <w:rPr>
                <w:color w:val="000000"/>
                <w:sz w:val="20"/>
                <w:szCs w:val="20"/>
              </w:rPr>
            </w:pPr>
          </w:p>
        </w:tc>
      </w:tr>
    </w:tbl>
    <w:p w14:paraId="3C38556B" w14:textId="77777777" w:rsidR="00466030" w:rsidRPr="009A515A" w:rsidRDefault="00466030"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5831AEF4" w14:textId="77777777" w:rsidR="00BE1864" w:rsidRPr="009A515A" w:rsidRDefault="00BE1864" w:rsidP="00466030">
      <w:pPr>
        <w:spacing w:line="360" w:lineRule="auto"/>
        <w:jc w:val="both"/>
        <w:rPr>
          <w:color w:val="000000" w:themeColor="text1"/>
          <w:sz w:val="20"/>
          <w:szCs w:val="20"/>
        </w:rPr>
      </w:pPr>
    </w:p>
    <w:p w14:paraId="0511B29E" w14:textId="77777777" w:rsidR="00BE1864" w:rsidRPr="009A515A" w:rsidRDefault="00BE1864" w:rsidP="00BE1864">
      <w:pPr>
        <w:spacing w:line="360" w:lineRule="auto"/>
        <w:ind w:left="720" w:hanging="720"/>
        <w:rPr>
          <w:b/>
          <w:bCs/>
          <w:color w:val="000000" w:themeColor="text1"/>
        </w:rPr>
      </w:pPr>
      <w:r w:rsidRPr="009A515A">
        <w:t>Table 6. Configuration Analysis for High Brand Success (BSUC) – Expanded Subset–Superset Configurations in the Metaverse</w:t>
      </w:r>
    </w:p>
    <w:tbl>
      <w:tblPr>
        <w:tblStyle w:val="TableGrid"/>
        <w:tblW w:w="9138" w:type="dxa"/>
        <w:tblLook w:val="04A0" w:firstRow="1" w:lastRow="0" w:firstColumn="1" w:lastColumn="0" w:noHBand="0" w:noVBand="1"/>
      </w:tblPr>
      <w:tblGrid>
        <w:gridCol w:w="2830"/>
        <w:gridCol w:w="1985"/>
        <w:gridCol w:w="1559"/>
        <w:gridCol w:w="1497"/>
        <w:gridCol w:w="1267"/>
      </w:tblGrid>
      <w:tr w:rsidR="00BE1864" w:rsidRPr="009A515A" w14:paraId="3A7449A3" w14:textId="77777777" w:rsidTr="00316E6B">
        <w:trPr>
          <w:trHeight w:val="693"/>
        </w:trPr>
        <w:tc>
          <w:tcPr>
            <w:tcW w:w="2830" w:type="dxa"/>
            <w:shd w:val="clear" w:color="auto" w:fill="D0CECE" w:themeFill="background2" w:themeFillShade="E6"/>
            <w:hideMark/>
          </w:tcPr>
          <w:p w14:paraId="12FE0110" w14:textId="77777777" w:rsidR="00BE1864" w:rsidRPr="009A515A" w:rsidRDefault="00BE1864">
            <w:pPr>
              <w:jc w:val="center"/>
              <w:rPr>
                <w:i/>
                <w:iCs/>
                <w:color w:val="000000"/>
                <w:sz w:val="20"/>
                <w:szCs w:val="20"/>
              </w:rPr>
            </w:pPr>
            <w:r w:rsidRPr="009A515A">
              <w:rPr>
                <w:i/>
                <w:iCs/>
                <w:color w:val="000000"/>
                <w:sz w:val="20"/>
                <w:szCs w:val="20"/>
              </w:rPr>
              <w:t>Configuration Type</w:t>
            </w:r>
          </w:p>
        </w:tc>
        <w:tc>
          <w:tcPr>
            <w:tcW w:w="1985" w:type="dxa"/>
            <w:shd w:val="clear" w:color="auto" w:fill="D0CECE" w:themeFill="background2" w:themeFillShade="E6"/>
            <w:hideMark/>
          </w:tcPr>
          <w:p w14:paraId="357B75FD" w14:textId="77777777" w:rsidR="00BE1864" w:rsidRPr="009A515A" w:rsidRDefault="00BE1864">
            <w:pPr>
              <w:jc w:val="center"/>
              <w:rPr>
                <w:i/>
                <w:iCs/>
                <w:color w:val="000000"/>
                <w:sz w:val="20"/>
                <w:szCs w:val="20"/>
              </w:rPr>
            </w:pPr>
            <w:r w:rsidRPr="009A515A">
              <w:t>Triple Path (BSAT+UX+UE)</w:t>
            </w:r>
          </w:p>
        </w:tc>
        <w:tc>
          <w:tcPr>
            <w:tcW w:w="1559" w:type="dxa"/>
            <w:shd w:val="clear" w:color="auto" w:fill="D0CECE" w:themeFill="background2" w:themeFillShade="E6"/>
            <w:hideMark/>
          </w:tcPr>
          <w:p w14:paraId="5C6A4712" w14:textId="77777777" w:rsidR="00BE1864" w:rsidRPr="009A515A" w:rsidRDefault="00BE1864">
            <w:pPr>
              <w:jc w:val="center"/>
              <w:rPr>
                <w:i/>
                <w:iCs/>
                <w:color w:val="000000"/>
                <w:sz w:val="20"/>
                <w:szCs w:val="20"/>
              </w:rPr>
            </w:pPr>
            <w:r w:rsidRPr="009A515A">
              <w:rPr>
                <w:i/>
                <w:iCs/>
                <w:color w:val="000000"/>
                <w:sz w:val="20"/>
                <w:szCs w:val="20"/>
              </w:rPr>
              <w:t>Satisfaction + Experience</w:t>
            </w:r>
          </w:p>
        </w:tc>
        <w:tc>
          <w:tcPr>
            <w:tcW w:w="1497" w:type="dxa"/>
            <w:shd w:val="clear" w:color="auto" w:fill="D0CECE" w:themeFill="background2" w:themeFillShade="E6"/>
            <w:hideMark/>
          </w:tcPr>
          <w:p w14:paraId="74356769" w14:textId="77777777" w:rsidR="00BE1864" w:rsidRPr="009A515A" w:rsidRDefault="00BE1864">
            <w:pPr>
              <w:jc w:val="center"/>
              <w:rPr>
                <w:i/>
                <w:iCs/>
                <w:color w:val="000000"/>
                <w:sz w:val="20"/>
                <w:szCs w:val="20"/>
              </w:rPr>
            </w:pPr>
            <w:r w:rsidRPr="009A515A">
              <w:rPr>
                <w:i/>
                <w:iCs/>
                <w:color w:val="000000"/>
                <w:sz w:val="20"/>
                <w:szCs w:val="20"/>
              </w:rPr>
              <w:t>Experience + Engagement</w:t>
            </w:r>
          </w:p>
        </w:tc>
        <w:tc>
          <w:tcPr>
            <w:tcW w:w="1267" w:type="dxa"/>
            <w:shd w:val="clear" w:color="auto" w:fill="D0CECE" w:themeFill="background2" w:themeFillShade="E6"/>
            <w:hideMark/>
          </w:tcPr>
          <w:p w14:paraId="3FCD1A3C" w14:textId="77777777" w:rsidR="00BE1864" w:rsidRPr="009A515A" w:rsidRDefault="00BE1864">
            <w:pPr>
              <w:jc w:val="center"/>
              <w:rPr>
                <w:i/>
                <w:iCs/>
                <w:color w:val="000000"/>
                <w:sz w:val="20"/>
                <w:szCs w:val="20"/>
              </w:rPr>
            </w:pPr>
            <w:r w:rsidRPr="009A515A">
              <w:rPr>
                <w:i/>
                <w:iCs/>
                <w:color w:val="000000"/>
                <w:sz w:val="20"/>
                <w:szCs w:val="20"/>
              </w:rPr>
              <w:t>Satisfaction + Engagement</w:t>
            </w:r>
          </w:p>
        </w:tc>
      </w:tr>
      <w:tr w:rsidR="00BE1864" w:rsidRPr="009A515A" w14:paraId="02B1A92B" w14:textId="77777777" w:rsidTr="00316E6B">
        <w:trPr>
          <w:trHeight w:val="304"/>
        </w:trPr>
        <w:tc>
          <w:tcPr>
            <w:tcW w:w="2830" w:type="dxa"/>
            <w:hideMark/>
          </w:tcPr>
          <w:p w14:paraId="1A39C3E4" w14:textId="77777777" w:rsidR="00BE1864" w:rsidRPr="009A515A" w:rsidRDefault="00BE1864">
            <w:pPr>
              <w:jc w:val="center"/>
              <w:rPr>
                <w:b/>
                <w:bCs/>
                <w:i/>
                <w:iCs/>
                <w:sz w:val="20"/>
                <w:szCs w:val="20"/>
              </w:rPr>
            </w:pPr>
            <w:r w:rsidRPr="009A515A">
              <w:rPr>
                <w:i/>
                <w:iCs/>
                <w:sz w:val="20"/>
                <w:szCs w:val="20"/>
              </w:rPr>
              <w:t>Configuration</w:t>
            </w:r>
          </w:p>
        </w:tc>
        <w:tc>
          <w:tcPr>
            <w:tcW w:w="1985" w:type="dxa"/>
            <w:hideMark/>
          </w:tcPr>
          <w:p w14:paraId="351CB4DB" w14:textId="77777777" w:rsidR="00BE1864" w:rsidRPr="009A515A" w:rsidRDefault="00BE1864">
            <w:pPr>
              <w:jc w:val="center"/>
              <w:rPr>
                <w:i/>
                <w:iCs/>
                <w:color w:val="000000"/>
                <w:sz w:val="20"/>
                <w:szCs w:val="20"/>
              </w:rPr>
            </w:pPr>
            <w:r w:rsidRPr="009A515A">
              <w:rPr>
                <w:i/>
                <w:iCs/>
                <w:color w:val="000000"/>
                <w:sz w:val="20"/>
                <w:szCs w:val="20"/>
              </w:rPr>
              <w:t>A</w:t>
            </w:r>
          </w:p>
        </w:tc>
        <w:tc>
          <w:tcPr>
            <w:tcW w:w="1559" w:type="dxa"/>
            <w:hideMark/>
          </w:tcPr>
          <w:p w14:paraId="295303C9" w14:textId="77777777" w:rsidR="00BE1864" w:rsidRPr="009A515A" w:rsidRDefault="00BE1864">
            <w:pPr>
              <w:jc w:val="center"/>
              <w:rPr>
                <w:i/>
                <w:iCs/>
                <w:color w:val="000000"/>
                <w:sz w:val="20"/>
                <w:szCs w:val="20"/>
              </w:rPr>
            </w:pPr>
            <w:r w:rsidRPr="009A515A">
              <w:rPr>
                <w:i/>
                <w:iCs/>
                <w:color w:val="000000"/>
                <w:sz w:val="20"/>
                <w:szCs w:val="20"/>
              </w:rPr>
              <w:t>B</w:t>
            </w:r>
          </w:p>
        </w:tc>
        <w:tc>
          <w:tcPr>
            <w:tcW w:w="1497" w:type="dxa"/>
            <w:hideMark/>
          </w:tcPr>
          <w:p w14:paraId="70C501C5" w14:textId="77777777" w:rsidR="00BE1864" w:rsidRPr="009A515A" w:rsidRDefault="00BE1864">
            <w:pPr>
              <w:jc w:val="center"/>
              <w:rPr>
                <w:i/>
                <w:iCs/>
                <w:color w:val="000000"/>
                <w:sz w:val="20"/>
                <w:szCs w:val="20"/>
              </w:rPr>
            </w:pPr>
            <w:r w:rsidRPr="009A515A">
              <w:rPr>
                <w:i/>
                <w:iCs/>
                <w:color w:val="000000"/>
                <w:sz w:val="20"/>
                <w:szCs w:val="20"/>
              </w:rPr>
              <w:t>C</w:t>
            </w:r>
          </w:p>
        </w:tc>
        <w:tc>
          <w:tcPr>
            <w:tcW w:w="1267" w:type="dxa"/>
            <w:hideMark/>
          </w:tcPr>
          <w:p w14:paraId="50E1D4E8" w14:textId="77777777" w:rsidR="00BE1864" w:rsidRPr="009A515A" w:rsidRDefault="00BE1864">
            <w:pPr>
              <w:jc w:val="center"/>
              <w:rPr>
                <w:i/>
                <w:iCs/>
                <w:color w:val="000000"/>
                <w:sz w:val="20"/>
                <w:szCs w:val="20"/>
              </w:rPr>
            </w:pPr>
            <w:r w:rsidRPr="009A515A">
              <w:rPr>
                <w:i/>
                <w:iCs/>
                <w:color w:val="000000"/>
                <w:sz w:val="20"/>
                <w:szCs w:val="20"/>
              </w:rPr>
              <w:t>D</w:t>
            </w:r>
          </w:p>
        </w:tc>
      </w:tr>
      <w:tr w:rsidR="00BE1864" w:rsidRPr="009A515A" w14:paraId="5722CA1D" w14:textId="77777777" w:rsidTr="00316E6B">
        <w:trPr>
          <w:trHeight w:val="304"/>
        </w:trPr>
        <w:tc>
          <w:tcPr>
            <w:tcW w:w="2830" w:type="dxa"/>
            <w:hideMark/>
          </w:tcPr>
          <w:p w14:paraId="74B384C6" w14:textId="77777777" w:rsidR="00BE1864" w:rsidRPr="009A515A" w:rsidRDefault="00BE1864" w:rsidP="00BE1864">
            <w:pPr>
              <w:jc w:val="center"/>
              <w:rPr>
                <w:b/>
                <w:bCs/>
                <w:i/>
                <w:iCs/>
                <w:sz w:val="20"/>
                <w:szCs w:val="20"/>
              </w:rPr>
            </w:pPr>
            <w:r w:rsidRPr="009A515A">
              <w:t>BSAT (Brand Satisfaction)</w:t>
            </w:r>
          </w:p>
        </w:tc>
        <w:tc>
          <w:tcPr>
            <w:tcW w:w="1985" w:type="dxa"/>
            <w:hideMark/>
          </w:tcPr>
          <w:p w14:paraId="25F99BF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73E02844"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7975AFF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32ED5D58"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30F20CD3" w14:textId="77777777" w:rsidTr="00316E6B">
        <w:trPr>
          <w:trHeight w:val="304"/>
        </w:trPr>
        <w:tc>
          <w:tcPr>
            <w:tcW w:w="2830" w:type="dxa"/>
            <w:hideMark/>
          </w:tcPr>
          <w:p w14:paraId="6CB0AFDF" w14:textId="77777777" w:rsidR="00BE1864" w:rsidRPr="009A515A" w:rsidRDefault="00BE1864" w:rsidP="00BE1864">
            <w:pPr>
              <w:jc w:val="center"/>
              <w:rPr>
                <w:b/>
                <w:bCs/>
                <w:i/>
                <w:iCs/>
                <w:sz w:val="20"/>
                <w:szCs w:val="20"/>
              </w:rPr>
            </w:pPr>
            <w:r w:rsidRPr="009A515A">
              <w:t>UX (User Experience)</w:t>
            </w:r>
          </w:p>
        </w:tc>
        <w:tc>
          <w:tcPr>
            <w:tcW w:w="1985" w:type="dxa"/>
            <w:hideMark/>
          </w:tcPr>
          <w:p w14:paraId="5157E91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3495BA33"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6F14FBC2" w14:textId="77777777" w:rsidR="00BE1864" w:rsidRPr="009A515A" w:rsidRDefault="00BE1864" w:rsidP="00BE1864">
            <w:pPr>
              <w:jc w:val="center"/>
              <w:rPr>
                <w:i/>
                <w:iCs/>
                <w:color w:val="000000"/>
                <w:sz w:val="20"/>
                <w:szCs w:val="20"/>
              </w:rPr>
            </w:pPr>
            <w:r w:rsidRPr="009A515A">
              <w:rPr>
                <w:i/>
                <w:iCs/>
                <w:color w:val="000000"/>
                <w:sz w:val="20"/>
                <w:szCs w:val="20"/>
              </w:rPr>
              <w:t> </w:t>
            </w:r>
          </w:p>
        </w:tc>
        <w:tc>
          <w:tcPr>
            <w:tcW w:w="1267" w:type="dxa"/>
            <w:hideMark/>
          </w:tcPr>
          <w:p w14:paraId="130B3B63"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7211454A" w14:textId="77777777" w:rsidTr="00316E6B">
        <w:trPr>
          <w:trHeight w:val="304"/>
        </w:trPr>
        <w:tc>
          <w:tcPr>
            <w:tcW w:w="2830" w:type="dxa"/>
            <w:hideMark/>
          </w:tcPr>
          <w:p w14:paraId="50E2B58C" w14:textId="77777777" w:rsidR="00BE1864" w:rsidRPr="009A515A" w:rsidRDefault="00BE1864" w:rsidP="00BE1864">
            <w:pPr>
              <w:jc w:val="center"/>
              <w:rPr>
                <w:b/>
                <w:bCs/>
                <w:i/>
                <w:iCs/>
                <w:sz w:val="20"/>
                <w:szCs w:val="20"/>
              </w:rPr>
            </w:pPr>
            <w:r w:rsidRPr="009A515A">
              <w:t>UE (User Engagement)</w:t>
            </w:r>
          </w:p>
        </w:tc>
        <w:tc>
          <w:tcPr>
            <w:tcW w:w="1985" w:type="dxa"/>
            <w:hideMark/>
          </w:tcPr>
          <w:p w14:paraId="245B8CD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673794F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5A5A6E5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5A47082B" w14:textId="77777777" w:rsidR="00BE1864" w:rsidRPr="009A515A" w:rsidRDefault="00BE1864" w:rsidP="00BE1864">
            <w:pPr>
              <w:jc w:val="center"/>
              <w:rPr>
                <w:i/>
                <w:iCs/>
                <w:color w:val="000000"/>
                <w:sz w:val="20"/>
                <w:szCs w:val="20"/>
              </w:rPr>
            </w:pPr>
            <w:r w:rsidRPr="009A515A">
              <w:rPr>
                <w:i/>
                <w:iCs/>
                <w:color w:val="000000"/>
                <w:sz w:val="20"/>
                <w:szCs w:val="20"/>
              </w:rPr>
              <w:t> </w:t>
            </w:r>
          </w:p>
        </w:tc>
      </w:tr>
      <w:tr w:rsidR="00BE1864" w:rsidRPr="009A515A" w14:paraId="7AE99387" w14:textId="77777777" w:rsidTr="00316E6B">
        <w:trPr>
          <w:trHeight w:val="304"/>
        </w:trPr>
        <w:tc>
          <w:tcPr>
            <w:tcW w:w="2830" w:type="dxa"/>
            <w:hideMark/>
          </w:tcPr>
          <w:p w14:paraId="1B9C28C3" w14:textId="77777777" w:rsidR="00BE1864" w:rsidRPr="009A515A" w:rsidRDefault="00BE1864" w:rsidP="00BE1864">
            <w:pPr>
              <w:jc w:val="center"/>
              <w:rPr>
                <w:b/>
                <w:bCs/>
                <w:i/>
                <w:iCs/>
                <w:sz w:val="20"/>
                <w:szCs w:val="20"/>
              </w:rPr>
            </w:pPr>
            <w:r w:rsidRPr="009A515A">
              <w:rPr>
                <w:i/>
                <w:iCs/>
                <w:sz w:val="20"/>
                <w:szCs w:val="20"/>
              </w:rPr>
              <w:t>Raw Coverage</w:t>
            </w:r>
          </w:p>
        </w:tc>
        <w:tc>
          <w:tcPr>
            <w:tcW w:w="1985" w:type="dxa"/>
          </w:tcPr>
          <w:p w14:paraId="50D48480" w14:textId="77777777" w:rsidR="00BE1864" w:rsidRPr="009A515A" w:rsidRDefault="00BE1864" w:rsidP="00BE1864">
            <w:pPr>
              <w:jc w:val="center"/>
              <w:rPr>
                <w:i/>
                <w:iCs/>
                <w:color w:val="000000"/>
                <w:sz w:val="20"/>
                <w:szCs w:val="20"/>
              </w:rPr>
            </w:pPr>
            <w:r w:rsidRPr="009A515A">
              <w:rPr>
                <w:i/>
                <w:iCs/>
                <w:color w:val="000000"/>
                <w:sz w:val="20"/>
                <w:szCs w:val="20"/>
              </w:rPr>
              <w:t>0.172</w:t>
            </w:r>
          </w:p>
        </w:tc>
        <w:tc>
          <w:tcPr>
            <w:tcW w:w="1559" w:type="dxa"/>
          </w:tcPr>
          <w:p w14:paraId="03EBFD2B" w14:textId="77777777" w:rsidR="00BE1864" w:rsidRPr="009A515A" w:rsidRDefault="00BE1864" w:rsidP="00BE1864">
            <w:pPr>
              <w:jc w:val="center"/>
              <w:rPr>
                <w:i/>
                <w:iCs/>
                <w:color w:val="000000"/>
                <w:sz w:val="20"/>
                <w:szCs w:val="20"/>
              </w:rPr>
            </w:pPr>
            <w:r w:rsidRPr="009A515A">
              <w:rPr>
                <w:i/>
                <w:iCs/>
                <w:color w:val="000000"/>
                <w:sz w:val="20"/>
                <w:szCs w:val="20"/>
              </w:rPr>
              <w:t>0.208</w:t>
            </w:r>
          </w:p>
        </w:tc>
        <w:tc>
          <w:tcPr>
            <w:tcW w:w="1497" w:type="dxa"/>
          </w:tcPr>
          <w:p w14:paraId="0F5C05DC" w14:textId="77777777" w:rsidR="00BE1864" w:rsidRPr="009A515A" w:rsidRDefault="00BE1864" w:rsidP="00BE1864">
            <w:pPr>
              <w:jc w:val="center"/>
              <w:rPr>
                <w:i/>
                <w:iCs/>
                <w:color w:val="000000"/>
                <w:sz w:val="20"/>
                <w:szCs w:val="20"/>
              </w:rPr>
            </w:pPr>
            <w:r w:rsidRPr="009A515A">
              <w:rPr>
                <w:i/>
                <w:iCs/>
                <w:color w:val="000000"/>
                <w:sz w:val="20"/>
                <w:szCs w:val="20"/>
              </w:rPr>
              <w:t>0.219</w:t>
            </w:r>
          </w:p>
        </w:tc>
        <w:tc>
          <w:tcPr>
            <w:tcW w:w="1267" w:type="dxa"/>
          </w:tcPr>
          <w:p w14:paraId="585974FB" w14:textId="77777777" w:rsidR="00BE1864" w:rsidRPr="009A515A" w:rsidRDefault="00BE1864" w:rsidP="00BE1864">
            <w:pPr>
              <w:jc w:val="center"/>
              <w:rPr>
                <w:i/>
                <w:iCs/>
                <w:color w:val="000000"/>
                <w:sz w:val="20"/>
                <w:szCs w:val="20"/>
              </w:rPr>
            </w:pPr>
            <w:r w:rsidRPr="009A515A">
              <w:rPr>
                <w:i/>
                <w:iCs/>
                <w:color w:val="000000"/>
                <w:sz w:val="20"/>
                <w:szCs w:val="20"/>
              </w:rPr>
              <w:t>0.241</w:t>
            </w:r>
          </w:p>
        </w:tc>
      </w:tr>
      <w:tr w:rsidR="00BE1864" w:rsidRPr="009A515A" w14:paraId="3F5996E1" w14:textId="77777777" w:rsidTr="00316E6B">
        <w:trPr>
          <w:trHeight w:val="304"/>
        </w:trPr>
        <w:tc>
          <w:tcPr>
            <w:tcW w:w="2830" w:type="dxa"/>
            <w:hideMark/>
          </w:tcPr>
          <w:p w14:paraId="6DCD93C8" w14:textId="77777777" w:rsidR="00BE1864" w:rsidRPr="009A515A" w:rsidRDefault="00BE1864" w:rsidP="00BE1864">
            <w:pPr>
              <w:jc w:val="center"/>
              <w:rPr>
                <w:b/>
                <w:bCs/>
                <w:i/>
                <w:iCs/>
                <w:sz w:val="20"/>
                <w:szCs w:val="20"/>
              </w:rPr>
            </w:pPr>
            <w:r w:rsidRPr="009A515A">
              <w:rPr>
                <w:i/>
                <w:iCs/>
                <w:sz w:val="20"/>
                <w:szCs w:val="20"/>
              </w:rPr>
              <w:t>Consistency</w:t>
            </w:r>
          </w:p>
        </w:tc>
        <w:tc>
          <w:tcPr>
            <w:tcW w:w="1985" w:type="dxa"/>
          </w:tcPr>
          <w:p w14:paraId="02AB5586" w14:textId="77777777" w:rsidR="00BE1864" w:rsidRPr="009A515A" w:rsidRDefault="00BE1864" w:rsidP="00BE1864">
            <w:pPr>
              <w:jc w:val="center"/>
              <w:rPr>
                <w:i/>
                <w:iCs/>
                <w:color w:val="000000"/>
                <w:sz w:val="20"/>
                <w:szCs w:val="20"/>
              </w:rPr>
            </w:pPr>
            <w:r w:rsidRPr="009A515A">
              <w:rPr>
                <w:i/>
                <w:iCs/>
                <w:color w:val="000000"/>
                <w:sz w:val="20"/>
                <w:szCs w:val="20"/>
              </w:rPr>
              <w:t>0.713</w:t>
            </w:r>
          </w:p>
        </w:tc>
        <w:tc>
          <w:tcPr>
            <w:tcW w:w="1559" w:type="dxa"/>
          </w:tcPr>
          <w:p w14:paraId="01FC9E85" w14:textId="77777777" w:rsidR="00BE1864" w:rsidRPr="009A515A" w:rsidRDefault="00BE1864" w:rsidP="00BE1864">
            <w:pPr>
              <w:jc w:val="center"/>
              <w:rPr>
                <w:i/>
                <w:iCs/>
                <w:color w:val="000000"/>
                <w:sz w:val="20"/>
                <w:szCs w:val="20"/>
              </w:rPr>
            </w:pPr>
            <w:r w:rsidRPr="009A515A">
              <w:rPr>
                <w:i/>
                <w:iCs/>
                <w:color w:val="000000"/>
                <w:sz w:val="20"/>
                <w:szCs w:val="20"/>
              </w:rPr>
              <w:t>0.65</w:t>
            </w:r>
          </w:p>
        </w:tc>
        <w:tc>
          <w:tcPr>
            <w:tcW w:w="1497" w:type="dxa"/>
          </w:tcPr>
          <w:p w14:paraId="535A0792" w14:textId="77777777" w:rsidR="00BE1864" w:rsidRPr="009A515A" w:rsidRDefault="00BE1864" w:rsidP="00BE1864">
            <w:pPr>
              <w:jc w:val="center"/>
              <w:rPr>
                <w:i/>
                <w:iCs/>
                <w:color w:val="000000"/>
                <w:sz w:val="20"/>
                <w:szCs w:val="20"/>
              </w:rPr>
            </w:pPr>
            <w:r w:rsidRPr="009A515A">
              <w:rPr>
                <w:i/>
                <w:iCs/>
                <w:color w:val="000000"/>
                <w:sz w:val="20"/>
                <w:szCs w:val="20"/>
              </w:rPr>
              <w:t>0.6</w:t>
            </w:r>
          </w:p>
        </w:tc>
        <w:tc>
          <w:tcPr>
            <w:tcW w:w="1267" w:type="dxa"/>
          </w:tcPr>
          <w:p w14:paraId="3FE13FCE" w14:textId="77777777" w:rsidR="00BE1864" w:rsidRPr="009A515A" w:rsidRDefault="00BE1864" w:rsidP="00BE1864">
            <w:pPr>
              <w:jc w:val="center"/>
              <w:rPr>
                <w:i/>
                <w:iCs/>
                <w:color w:val="000000"/>
                <w:sz w:val="20"/>
                <w:szCs w:val="20"/>
              </w:rPr>
            </w:pPr>
            <w:r w:rsidRPr="009A515A">
              <w:rPr>
                <w:i/>
                <w:iCs/>
                <w:color w:val="000000"/>
                <w:sz w:val="20"/>
                <w:szCs w:val="20"/>
              </w:rPr>
              <w:t>0.669</w:t>
            </w:r>
          </w:p>
        </w:tc>
      </w:tr>
      <w:tr w:rsidR="00BE1864" w:rsidRPr="009A515A" w14:paraId="250D1276" w14:textId="77777777" w:rsidTr="00316E6B">
        <w:trPr>
          <w:trHeight w:val="304"/>
        </w:trPr>
        <w:tc>
          <w:tcPr>
            <w:tcW w:w="2830" w:type="dxa"/>
            <w:hideMark/>
          </w:tcPr>
          <w:p w14:paraId="6AFE15CB" w14:textId="77777777" w:rsidR="00BE1864" w:rsidRPr="009A515A" w:rsidRDefault="00BE1864" w:rsidP="00BE1864">
            <w:pPr>
              <w:jc w:val="center"/>
              <w:rPr>
                <w:b/>
                <w:bCs/>
                <w:i/>
                <w:iCs/>
                <w:sz w:val="20"/>
                <w:szCs w:val="20"/>
              </w:rPr>
            </w:pPr>
            <w:r w:rsidRPr="009A515A">
              <w:rPr>
                <w:i/>
                <w:iCs/>
                <w:sz w:val="20"/>
                <w:szCs w:val="20"/>
              </w:rPr>
              <w:lastRenderedPageBreak/>
              <w:t xml:space="preserve">Combined Coverage </w:t>
            </w:r>
          </w:p>
        </w:tc>
        <w:tc>
          <w:tcPr>
            <w:tcW w:w="1985" w:type="dxa"/>
          </w:tcPr>
          <w:p w14:paraId="309707B4" w14:textId="77777777" w:rsidR="00BE1864" w:rsidRPr="009A515A" w:rsidRDefault="00BE1864" w:rsidP="00BE1864">
            <w:pPr>
              <w:jc w:val="center"/>
              <w:rPr>
                <w:i/>
                <w:iCs/>
                <w:color w:val="000000"/>
                <w:sz w:val="20"/>
                <w:szCs w:val="20"/>
              </w:rPr>
            </w:pPr>
            <w:r w:rsidRPr="009A515A">
              <w:rPr>
                <w:i/>
                <w:iCs/>
                <w:color w:val="000000"/>
                <w:sz w:val="20"/>
                <w:szCs w:val="20"/>
              </w:rPr>
              <w:t>0.305</w:t>
            </w:r>
          </w:p>
        </w:tc>
        <w:tc>
          <w:tcPr>
            <w:tcW w:w="1559" w:type="dxa"/>
          </w:tcPr>
          <w:p w14:paraId="2D0F6114" w14:textId="77777777" w:rsidR="00BE1864" w:rsidRPr="009A515A" w:rsidRDefault="00BE1864" w:rsidP="00BE1864">
            <w:pPr>
              <w:jc w:val="center"/>
              <w:rPr>
                <w:i/>
                <w:iCs/>
                <w:color w:val="000000"/>
                <w:sz w:val="20"/>
                <w:szCs w:val="20"/>
              </w:rPr>
            </w:pPr>
            <w:r w:rsidRPr="009A515A">
              <w:rPr>
                <w:i/>
                <w:iCs/>
                <w:color w:val="000000"/>
                <w:sz w:val="20"/>
                <w:szCs w:val="20"/>
              </w:rPr>
              <w:t>0.246</w:t>
            </w:r>
          </w:p>
        </w:tc>
        <w:tc>
          <w:tcPr>
            <w:tcW w:w="1497" w:type="dxa"/>
          </w:tcPr>
          <w:p w14:paraId="420C0A31" w14:textId="77777777" w:rsidR="00BE1864" w:rsidRPr="009A515A" w:rsidRDefault="00BE1864" w:rsidP="00BE1864">
            <w:pPr>
              <w:jc w:val="center"/>
              <w:rPr>
                <w:i/>
                <w:iCs/>
                <w:color w:val="000000"/>
                <w:sz w:val="20"/>
                <w:szCs w:val="20"/>
              </w:rPr>
            </w:pPr>
            <w:r w:rsidRPr="009A515A">
              <w:rPr>
                <w:i/>
                <w:iCs/>
                <w:color w:val="000000"/>
                <w:sz w:val="20"/>
                <w:szCs w:val="20"/>
              </w:rPr>
              <w:t>0.181</w:t>
            </w:r>
          </w:p>
        </w:tc>
        <w:tc>
          <w:tcPr>
            <w:tcW w:w="1267" w:type="dxa"/>
          </w:tcPr>
          <w:p w14:paraId="62EFD00B" w14:textId="77777777" w:rsidR="00BE1864" w:rsidRPr="009A515A" w:rsidRDefault="00BE1864" w:rsidP="00BE1864">
            <w:pPr>
              <w:jc w:val="center"/>
              <w:rPr>
                <w:i/>
                <w:iCs/>
                <w:color w:val="000000"/>
                <w:sz w:val="20"/>
                <w:szCs w:val="20"/>
              </w:rPr>
            </w:pPr>
            <w:r w:rsidRPr="009A515A">
              <w:rPr>
                <w:i/>
                <w:iCs/>
                <w:color w:val="000000"/>
                <w:sz w:val="20"/>
                <w:szCs w:val="20"/>
              </w:rPr>
              <w:t>0.295</w:t>
            </w:r>
          </w:p>
        </w:tc>
      </w:tr>
    </w:tbl>
    <w:p w14:paraId="0189F1E4" w14:textId="77777777" w:rsidR="00144F14" w:rsidRPr="009A515A" w:rsidRDefault="009F75B7"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24117413" w14:textId="77777777" w:rsidR="00581E44" w:rsidRPr="009A515A" w:rsidRDefault="00581E44" w:rsidP="00112445">
      <w:pPr>
        <w:spacing w:line="360" w:lineRule="auto"/>
        <w:jc w:val="both"/>
        <w:rPr>
          <w:color w:val="000000" w:themeColor="text1"/>
          <w:sz w:val="20"/>
          <w:szCs w:val="20"/>
        </w:rPr>
      </w:pPr>
    </w:p>
    <w:p w14:paraId="4C9EB1E1" w14:textId="7AD83FBE" w:rsidR="00581E44" w:rsidRPr="009A515A" w:rsidRDefault="00581E44" w:rsidP="00ED44A2">
      <w:pPr>
        <w:spacing w:line="360" w:lineRule="auto"/>
        <w:ind w:firstLine="426"/>
        <w:jc w:val="both"/>
        <w:rPr>
          <w:color w:val="000000" w:themeColor="text1"/>
        </w:rPr>
      </w:pPr>
      <w:r w:rsidRPr="009A515A">
        <w:t>Drawing insights from Tables 5 and 6, the analysis underscores the principle of equifinality, where multiple distinct paths can lead to the same outcome (Ragin, 2008). These findings reveal that no single factor</w:t>
      </w:r>
      <w:r w:rsidR="009B694E">
        <w:t xml:space="preserve"> </w:t>
      </w:r>
      <w:r w:rsidRPr="009A515A">
        <w:t>user brand satisfaction (BSAT), user experience (UX), or user engagement (UE)</w:t>
      </w:r>
      <w:r w:rsidR="00A4459A" w:rsidRPr="009A515A">
        <w:t xml:space="preserve">  </w:t>
      </w:r>
      <w:r w:rsidRPr="009A515A">
        <w:t>is necessary on its own. Instead, it is the interaction among these conditions that drives brand outcomes in immersive digital environments.</w:t>
      </w:r>
    </w:p>
    <w:p w14:paraId="7F1AD3D2" w14:textId="77777777" w:rsidR="00596F8F" w:rsidRPr="009A515A" w:rsidRDefault="00581E44" w:rsidP="00596F8F">
      <w:pPr>
        <w:spacing w:line="360" w:lineRule="auto"/>
        <w:ind w:firstLine="426"/>
        <w:jc w:val="both"/>
        <w:rPr>
          <w:color w:val="000000" w:themeColor="text1"/>
        </w:rPr>
      </w:pPr>
      <w:r w:rsidRPr="009A515A">
        <w:t>Table 5 presents three core configurations associated with high BSUC. Configuration 1 shows that the combination of BSAT and UX can lead to brand success even in the absence of strong engagement. This pathway suggests that a user who is satisfied and has a positive immersive experience may form a lasting relationship with the brand, consistent with previous literature emphasizing the emotional impact of immersive experiences (Bilgihan et al., 2024). Configuration 2, which includes BSAT and UE, highlights the role of satisfaction combined with active participation. This supports findings by Hollebeek et al. (2022), who assert that brand engagement, when paired with positive affect, enhances loyalty and advocacy. Configuration 3, consisting of UX and UE, is noteworthy for indicating that even without reported satisfaction, immersive and interactive environments can yield favorable brand outcomes. This supports the application of Flow Theory, where deep engagement and perceived challenges drive intrinsic motivation (Csikszentmihalyi, 1990).</w:t>
      </w:r>
    </w:p>
    <w:p w14:paraId="433D2809" w14:textId="140490A5" w:rsidR="00596F8F" w:rsidRPr="009A515A" w:rsidRDefault="00581E44" w:rsidP="00596F8F">
      <w:pPr>
        <w:spacing w:line="360" w:lineRule="auto"/>
        <w:ind w:firstLine="426"/>
        <w:jc w:val="both"/>
        <w:rPr>
          <w:color w:val="000000" w:themeColor="text1"/>
        </w:rPr>
      </w:pPr>
      <w:r w:rsidRPr="009A515A">
        <w:t>Table 6 further deepens this analysis by presenting an expanded set of configurations through subset-superset analysis. Configuration A</w:t>
      </w:r>
      <w:r w:rsidR="009B694E">
        <w:t xml:space="preserve"> </w:t>
      </w:r>
      <w:r w:rsidRPr="009A515A">
        <w:t>the “Triple Path”</w:t>
      </w:r>
      <w:r w:rsidR="009B694E">
        <w:t xml:space="preserve"> </w:t>
      </w:r>
      <w:r w:rsidRPr="009A515A">
        <w:t>includes all three factors (BSAT, UX, UE), showing the highest combined coverage (0.305). This indicates that when users are satisfied, actively engaged, and immersed in a positive experience, the likelihood of brand success is maximized. Such a holistic model aligns with service-dominant logic, where value is co-created through multidimensional interactions between users and brands.</w:t>
      </w:r>
    </w:p>
    <w:p w14:paraId="6BBC605D" w14:textId="77777777" w:rsidR="00EF6F71" w:rsidRDefault="00581E44" w:rsidP="00EF6F71">
      <w:pPr>
        <w:spacing w:line="360" w:lineRule="auto"/>
        <w:ind w:firstLine="426"/>
        <w:jc w:val="both"/>
        <w:rPr>
          <w:color w:val="000000" w:themeColor="text1"/>
        </w:rPr>
      </w:pPr>
      <w:r w:rsidRPr="009A515A">
        <w:t>Other configurations in Table 6 reflect the versatility of paths to success. Configuration B (BSAT and UX) and Configuration D (BSAT and UE) reaffirm the significance of user satisfaction combined with either experience or engagement. This suggests that brands can tailor strategies to their strengths</w:t>
      </w:r>
      <w:r w:rsidR="009B694E">
        <w:t xml:space="preserve"> </w:t>
      </w:r>
      <w:r w:rsidRPr="009A515A">
        <w:t>focusing on emotional satisfaction, enhancing usability, or promoting interactivity. Configuration C (UX and UE), despite a slightly lower consistency score, further validates the role of immersive and participatory experiences in fostering brand loyalty, even without explicit user satisfaction (Shin, 2019).</w:t>
      </w:r>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lastRenderedPageBreak/>
        <w:t xml:space="preserve">5.3.2. </w:t>
      </w:r>
      <w:r w:rsidR="00112445" w:rsidRPr="009A515A">
        <w:rPr>
          <w:b/>
          <w:bCs/>
          <w:i/>
          <w:iCs/>
          <w:color w:val="000000" w:themeColor="text1"/>
        </w:rPr>
        <w:t>Necessity Analysis</w:t>
      </w:r>
    </w:p>
    <w:p w14:paraId="427B5011" w14:textId="77777777" w:rsidR="00112445" w:rsidRPr="009A515A" w:rsidRDefault="00112445" w:rsidP="00732C9D">
      <w:pPr>
        <w:spacing w:line="360" w:lineRule="auto"/>
        <w:jc w:val="both"/>
        <w:rPr>
          <w:color w:val="000000" w:themeColor="text1"/>
        </w:rPr>
      </w:pPr>
      <w:r w:rsidRPr="009A515A">
        <w:t>The necessity analysis examines whether any single condition must be present for high brand success. Following standard practice, a condition is treated as necessary only when its consistency exceeds 0.90 (Schneider and Wagemann, 2012). In the present data no individual condition met this threshold: user engagement, user experience and brand satisfaction recorded single-condition consistency well below the cut-off (0.373, 0.362 and 0.410, respectively). High brand success is therefore not attributable to any one necessary condition but arises from combinations of conditions, motivating the sufficiency analysis that follows.</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w:t>
      </w:r>
      <w:r w:rsidR="00104B31" w:rsidRPr="009A515A">
        <w:rPr>
          <w:b/>
          <w:bCs/>
          <w:i/>
          <w:iCs/>
          <w:color w:val="000000" w:themeColor="text1"/>
        </w:rPr>
        <w:t>3.3.</w:t>
      </w:r>
      <w:r w:rsidRPr="009A515A">
        <w:rPr>
          <w:b/>
          <w:bCs/>
          <w:i/>
          <w:iCs/>
          <w:color w:val="000000" w:themeColor="text1"/>
        </w:rPr>
        <w:t xml:space="preserve"> </w:t>
      </w:r>
      <w:r w:rsidR="00F3782F" w:rsidRPr="009A515A">
        <w:rPr>
          <w:b/>
          <w:bCs/>
          <w:i/>
          <w:iCs/>
          <w:color w:val="000000" w:themeColor="text1"/>
        </w:rPr>
        <w:t xml:space="preserve">Sufficiency </w:t>
      </w:r>
      <w:r w:rsidR="00104B31" w:rsidRPr="009A515A">
        <w:rPr>
          <w:b/>
          <w:bCs/>
          <w:i/>
          <w:iCs/>
          <w:color w:val="000000" w:themeColor="text1"/>
        </w:rPr>
        <w:t>A</w:t>
      </w:r>
      <w:r w:rsidR="00F3782F" w:rsidRPr="009A515A">
        <w:rPr>
          <w:b/>
          <w:bCs/>
          <w:i/>
          <w:iCs/>
          <w:color w:val="000000" w:themeColor="text1"/>
        </w:rPr>
        <w:t>nalysis</w:t>
      </w:r>
    </w:p>
    <w:p w14:paraId="64D17931" w14:textId="69B83671" w:rsidR="00112445" w:rsidRPr="009A515A" w:rsidRDefault="00F3782F" w:rsidP="00112445">
      <w:pPr>
        <w:spacing w:line="360" w:lineRule="auto"/>
        <w:jc w:val="both"/>
        <w:rPr>
          <w:color w:val="000000" w:themeColor="text1"/>
        </w:rPr>
      </w:pPr>
      <w:r w:rsidRPr="009A515A">
        <w:t>The sufficiency analysis identifies the configurations of conditions that are jointly sufficient for high brand success. The three calibrated conditions</w:t>
      </w:r>
      <w:r w:rsidR="009B694E">
        <w:t xml:space="preserve"> </w:t>
      </w:r>
      <w:r w:rsidRPr="009A515A">
        <w:t>user engagement (UE), user experience (UX) and brand satisfaction (BSAT)</w:t>
      </w:r>
      <w:r w:rsidR="009B694E">
        <w:t xml:space="preserve"> </w:t>
      </w:r>
      <w:r w:rsidRPr="009A515A">
        <w:t>were entered into the truth table, with consistency and frequency thresholds applied in line with established guidance (Ragin, 2008; Schneider and Wagemann, 2012). The resulting configurations and their consistency and coverage values are reported in Tables 5 and 6: brand satisfaction is present in every high-consistency sufficient path, while engagement and experience contribute in combination rather than in isolation.</w:t>
      </w:r>
    </w:p>
    <w:p w14:paraId="53233EB1" w14:textId="77777777" w:rsidR="00AC22CF" w:rsidRPr="009A515A" w:rsidRDefault="003F0E63" w:rsidP="004B0CFD">
      <w:pPr>
        <w:spacing w:line="360" w:lineRule="auto"/>
        <w:ind w:firstLine="426"/>
        <w:jc w:val="both"/>
        <w:rPr>
          <w:color w:val="000000" w:themeColor="text1"/>
        </w:rPr>
      </w:pPr>
      <w:r w:rsidRPr="009A515A">
        <w:rPr>
          <w:color w:val="000000" w:themeColor="text1"/>
        </w:rPr>
        <w:t xml:space="preserve">Comparing the findings to existing literature, we can see that the combinations of user engagement and experience factors identified in the data align with previous research on the factors that contribute to positive brand outcomes. </w:t>
      </w:r>
    </w:p>
    <w:p w14:paraId="0A28E9BD" w14:textId="77777777" w:rsidR="003F0E63" w:rsidRPr="009A515A" w:rsidRDefault="003F0E63" w:rsidP="004B0CFD">
      <w:pPr>
        <w:spacing w:line="360" w:lineRule="auto"/>
        <w:jc w:val="both"/>
        <w:rPr>
          <w:b/>
          <w:bCs/>
          <w:i/>
          <w:iCs/>
          <w:color w:val="000000" w:themeColor="text1"/>
        </w:rPr>
      </w:pPr>
      <w:r w:rsidRPr="009A515A">
        <w:t>1. Combination of BSAT*UX</w:t>
      </w:r>
    </w:p>
    <w:p w14:paraId="5E9BBE8A" w14:textId="77777777" w:rsidR="007D1E36" w:rsidRPr="009A515A" w:rsidRDefault="007D1E36" w:rsidP="004B0CFD">
      <w:pPr>
        <w:spacing w:line="360" w:lineRule="auto"/>
        <w:jc w:val="both"/>
        <w:rPr>
          <w:color w:val="000000" w:themeColor="text1"/>
        </w:rPr>
      </w:pPr>
      <w:r w:rsidRPr="009A515A">
        <w:t>The combination of brand satisfaction (BSAT) and user experience (UX) is a key driver of strong brand outcomes, recording high raw coverage, unique coverage and consistency. Brand success is closely tied to customer fulfilment and the quality of the user's experience: satisfied users who enjoy well-designed brand experiences are more likely to remain loyal and to recommend the brand to others.</w:t>
      </w:r>
    </w:p>
    <w:p w14:paraId="17E9ADE5" w14:textId="77777777" w:rsidR="003F0E63" w:rsidRPr="009A515A" w:rsidRDefault="003F0E63" w:rsidP="004B0CFD">
      <w:pPr>
        <w:spacing w:line="360" w:lineRule="auto"/>
        <w:jc w:val="both"/>
        <w:rPr>
          <w:b/>
          <w:bCs/>
          <w:i/>
          <w:iCs/>
          <w:color w:val="000000" w:themeColor="text1"/>
        </w:rPr>
      </w:pPr>
      <w:r w:rsidRPr="009A515A">
        <w:t>2. Combination of BSAT*UE</w:t>
      </w:r>
    </w:p>
    <w:p w14:paraId="7AC0E408" w14:textId="77777777" w:rsidR="007D1E36" w:rsidRPr="009A515A" w:rsidRDefault="007D1E36" w:rsidP="004B0CFD">
      <w:pPr>
        <w:spacing w:line="360" w:lineRule="auto"/>
        <w:jc w:val="both"/>
        <w:rPr>
          <w:color w:val="000000" w:themeColor="text1"/>
        </w:rPr>
      </w:pPr>
      <w:r w:rsidRPr="009A515A">
        <w:t>The combination of brand satisfaction (BSAT) and user engagement (UE) is likewise associated with favourable brand outcomes, with high raw coverage, unique coverage and consistency. Active participation and interaction with a brand are well-established drivers of positive outcomes: Jeong and Kim (2019) report a positive relationship between engagement and brand loyalty, and Ebrahim (2020) shows that social-media marketing can strengthen customer equity.</w:t>
      </w:r>
    </w:p>
    <w:p w14:paraId="54F90FCD" w14:textId="77777777" w:rsidR="003F0E63" w:rsidRPr="009A515A" w:rsidRDefault="003F0E63" w:rsidP="004B0CFD">
      <w:pPr>
        <w:spacing w:line="360" w:lineRule="auto"/>
        <w:jc w:val="both"/>
        <w:rPr>
          <w:b/>
          <w:bCs/>
          <w:i/>
          <w:iCs/>
          <w:color w:val="000000" w:themeColor="text1"/>
        </w:rPr>
      </w:pPr>
      <w:r w:rsidRPr="009A515A">
        <w:t>3. Combination of UX*UE</w:t>
      </w:r>
    </w:p>
    <w:p w14:paraId="71DFFFEA" w14:textId="77777777" w:rsidR="006A234E" w:rsidRPr="009A515A" w:rsidRDefault="003F0E63" w:rsidP="006A234E">
      <w:pPr>
        <w:spacing w:line="360" w:lineRule="auto"/>
        <w:jc w:val="both"/>
        <w:rPr>
          <w:color w:val="000000" w:themeColor="text1"/>
        </w:rPr>
      </w:pPr>
      <w:r w:rsidRPr="009A515A">
        <w:lastRenderedPageBreak/>
        <w:t>The combination of user experience (UX) and user engagement (UE) also contributes to favourable brand outcomes, though with slightly lower consistency than the other configurations. This pattern is consistent with prior work identifying the interplay of experience and engagement as central to brand success in immersive settings.</w:t>
      </w:r>
    </w:p>
    <w:p w14:paraId="3969A90C" w14:textId="77777777" w:rsidR="003F0E63" w:rsidRPr="009A515A" w:rsidRDefault="007648C5" w:rsidP="007648C5">
      <w:pPr>
        <w:tabs>
          <w:tab w:val="left" w:pos="426"/>
        </w:tabs>
        <w:spacing w:line="360" w:lineRule="auto"/>
        <w:jc w:val="both"/>
        <w:rPr>
          <w:color w:val="000000" w:themeColor="text1"/>
        </w:rPr>
      </w:pPr>
      <w:r w:rsidRPr="009A515A">
        <w:t>User engagement in these settings is multifaceted, spanning asset trading, attendance at virtual events, social interaction and content creation. These behaviours reflect a combination of psychological, social and experiential motivations and are captured in the present study through the user-engagement and user-experience constructs rather than as separate platform-specific variables.</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9A515A" w:rsidRDefault="00000000">
      <w:r w:rsidRPr="009A515A">
        <w:t>5.4 Structural Model and Hypothesis Evaluation</w:t>
      </w:r>
    </w:p>
    <w:p w14:paraId="2F1F4272" w14:textId="77777777" w:rsidR="00651853" w:rsidRPr="009A515A" w:rsidRDefault="00000000" w:rsidP="004A788B">
      <w:pPr>
        <w:spacing w:line="360" w:lineRule="auto"/>
        <w:jc w:val="both"/>
      </w:pPr>
      <w:r w:rsidRPr="009A515A">
        <w:t>Because fsQCA tests the sufficiency of condition configurations rather than net linear effects, the hypotheses are evaluated configurationally and complemented by the measurement-validated constructs reported above. Table 7 summarises the evidence. Consistent with the principle that no single condition is necessary (necessity analysis showed that neither engagement, experience nor satisfaction alone is necessary), user engagement (single-condition consistency = 0.373) and user experience (0.362) are not sufficient on their own; they contribute to brand success only in combination, supporting H1 and H2 within sufficient configurations rather than as stand-alone net effects. Brand satisfaction is present in every high-consistency sufficient path – the fully triadic recipe BSAT×UX×UE (consistency = 0.713), BSAT×UE (0.669) and BSAT×UX (0.650) – and shows the highest single-condition consistency (0.410), indicating a central, mediation-consistent role and supporting H3. A formal variance-based mediation test (indirect effect with bias-corrected bootstrap confidence intervals) is recommended as a complement and is noted in the model-correction comment above.</w:t>
      </w:r>
    </w:p>
    <w:p w14:paraId="5D44CECD" w14:textId="77777777" w:rsidR="00651853" w:rsidRDefault="00000000" w:rsidP="002F08A5">
      <w:pPr>
        <w:spacing w:line="360" w:lineRule="auto"/>
        <w:jc w:val="both"/>
      </w:pPr>
      <w:r w:rsidRPr="009A515A">
        <w:rPr>
          <w:b/>
        </w:rPr>
        <w:t>Table 7. Hypothesis Evaluation Based on fsQCA Sufficiency Analysis.</w:t>
      </w:r>
      <w:r w:rsidRPr="009A515A">
        <w:t xml:space="preserve"> Source: Authors, from configurational results reported in Tables 5 and 6.</w:t>
      </w:r>
    </w:p>
    <w:p w14:paraId="7CCE7D31" w14:textId="77777777" w:rsidR="001E09DE" w:rsidRPr="009A515A" w:rsidRDefault="001E09DE" w:rsidP="002F08A5">
      <w:pPr>
        <w:spacing w:line="360" w:lineRule="auto"/>
        <w:jc w:val="both"/>
      </w:pPr>
    </w:p>
    <w:tbl>
      <w:tblPr>
        <w:tblStyle w:val="TableGrid"/>
        <w:tblW w:w="0" w:type="auto"/>
        <w:tblLook w:val="04A0" w:firstRow="1" w:lastRow="0" w:firstColumn="1" w:lastColumn="0" w:noHBand="0" w:noVBand="1"/>
      </w:tblPr>
      <w:tblGrid>
        <w:gridCol w:w="2253"/>
        <w:gridCol w:w="2255"/>
        <w:gridCol w:w="2253"/>
        <w:gridCol w:w="2255"/>
      </w:tblGrid>
      <w:tr w:rsidR="00651853" w:rsidRPr="009A515A" w14:paraId="079F6036" w14:textId="77777777" w:rsidTr="001E09DE">
        <w:tc>
          <w:tcPr>
            <w:tcW w:w="2256" w:type="dxa"/>
          </w:tcPr>
          <w:p w14:paraId="33BE81F0" w14:textId="77777777" w:rsidR="00651853" w:rsidRPr="009A515A" w:rsidRDefault="00000000">
            <w:r w:rsidRPr="009A515A">
              <w:rPr>
                <w:b/>
              </w:rPr>
              <w:t>Hypothesis</w:t>
            </w:r>
          </w:p>
        </w:tc>
        <w:tc>
          <w:tcPr>
            <w:tcW w:w="2256" w:type="dxa"/>
          </w:tcPr>
          <w:p w14:paraId="2E8BAA82" w14:textId="77777777" w:rsidR="00651853" w:rsidRPr="009A515A" w:rsidRDefault="00000000">
            <w:r w:rsidRPr="009A515A">
              <w:rPr>
                <w:b/>
              </w:rPr>
              <w:t>Configurational evidence (fsQCA)</w:t>
            </w:r>
          </w:p>
        </w:tc>
        <w:tc>
          <w:tcPr>
            <w:tcW w:w="2256" w:type="dxa"/>
          </w:tcPr>
          <w:p w14:paraId="3F18FA4B" w14:textId="77777777" w:rsidR="00651853" w:rsidRPr="009A515A" w:rsidRDefault="00000000">
            <w:r w:rsidRPr="009A515A">
              <w:rPr>
                <w:b/>
              </w:rPr>
              <w:t>Key values</w:t>
            </w:r>
          </w:p>
        </w:tc>
        <w:tc>
          <w:tcPr>
            <w:tcW w:w="2256" w:type="dxa"/>
          </w:tcPr>
          <w:p w14:paraId="3C46EA82" w14:textId="77777777" w:rsidR="00651853" w:rsidRPr="009A515A" w:rsidRDefault="00000000">
            <w:r w:rsidRPr="009A515A">
              <w:rPr>
                <w:b/>
              </w:rPr>
              <w:t>Outcome</w:t>
            </w:r>
          </w:p>
        </w:tc>
      </w:tr>
      <w:tr w:rsidR="00651853" w:rsidRPr="009A515A" w14:paraId="6F19EE53" w14:textId="77777777" w:rsidTr="001E09DE">
        <w:tc>
          <w:tcPr>
            <w:tcW w:w="2256" w:type="dxa"/>
          </w:tcPr>
          <w:p w14:paraId="083AA913" w14:textId="77777777" w:rsidR="00651853" w:rsidRPr="009A515A" w:rsidRDefault="00000000">
            <w:r w:rsidRPr="009A515A">
              <w:t>H1: User engagement (UE) → brand success (BSUC)</w:t>
            </w:r>
          </w:p>
        </w:tc>
        <w:tc>
          <w:tcPr>
            <w:tcW w:w="2256" w:type="dxa"/>
          </w:tcPr>
          <w:p w14:paraId="4D74ECE2" w14:textId="77777777" w:rsidR="00651853" w:rsidRPr="009A515A" w:rsidRDefault="00000000">
            <w:r w:rsidRPr="009A515A">
              <w:t>UE not sufficient alone; sufficient in BSAT×UE and UX×UE</w:t>
            </w:r>
          </w:p>
        </w:tc>
        <w:tc>
          <w:tcPr>
            <w:tcW w:w="2256" w:type="dxa"/>
          </w:tcPr>
          <w:p w14:paraId="19B06FAC" w14:textId="77777777" w:rsidR="00651853" w:rsidRPr="009A515A" w:rsidRDefault="00000000">
            <w:r w:rsidRPr="009A515A">
              <w:t>UE alone consistency 0.373; BSAT×UE 0.669; UX×UE 0.600</w:t>
            </w:r>
          </w:p>
        </w:tc>
        <w:tc>
          <w:tcPr>
            <w:tcW w:w="2256" w:type="dxa"/>
          </w:tcPr>
          <w:p w14:paraId="20B8DD99" w14:textId="77777777" w:rsidR="00651853" w:rsidRPr="009A515A" w:rsidRDefault="00000000">
            <w:r w:rsidRPr="009A515A">
              <w:t>Supported within configurations</w:t>
            </w:r>
          </w:p>
        </w:tc>
      </w:tr>
      <w:tr w:rsidR="00651853" w:rsidRPr="009A515A" w14:paraId="477FDEC3" w14:textId="77777777" w:rsidTr="001E09DE">
        <w:tc>
          <w:tcPr>
            <w:tcW w:w="2256" w:type="dxa"/>
          </w:tcPr>
          <w:p w14:paraId="50D8EBC0" w14:textId="77777777" w:rsidR="00651853" w:rsidRPr="009A515A" w:rsidRDefault="00000000">
            <w:r w:rsidRPr="009A515A">
              <w:lastRenderedPageBreak/>
              <w:t>H2: User experience (UX) → brand success (BSUC)</w:t>
            </w:r>
          </w:p>
        </w:tc>
        <w:tc>
          <w:tcPr>
            <w:tcW w:w="2256" w:type="dxa"/>
          </w:tcPr>
          <w:p w14:paraId="2CD8F97F" w14:textId="77777777" w:rsidR="00651853" w:rsidRPr="009A515A" w:rsidRDefault="00000000">
            <w:r w:rsidRPr="009A515A">
              <w:t>UX not sufficient alone; sufficient in BSAT×UX and triadic path</w:t>
            </w:r>
          </w:p>
        </w:tc>
        <w:tc>
          <w:tcPr>
            <w:tcW w:w="2256" w:type="dxa"/>
          </w:tcPr>
          <w:p w14:paraId="1AE84153" w14:textId="77777777" w:rsidR="00651853" w:rsidRPr="009A515A" w:rsidRDefault="00000000">
            <w:r w:rsidRPr="009A515A">
              <w:t>UX alone consistency 0.362; BSAT×UX 0.650; triadic 0.713</w:t>
            </w:r>
          </w:p>
        </w:tc>
        <w:tc>
          <w:tcPr>
            <w:tcW w:w="2256" w:type="dxa"/>
          </w:tcPr>
          <w:p w14:paraId="5B1ECBDE" w14:textId="77777777" w:rsidR="00651853" w:rsidRPr="009A515A" w:rsidRDefault="00000000">
            <w:r w:rsidRPr="009A515A">
              <w:t>Supported within configurations</w:t>
            </w:r>
          </w:p>
        </w:tc>
      </w:tr>
      <w:tr w:rsidR="00651853" w:rsidRPr="009A515A" w14:paraId="0C243F24" w14:textId="77777777" w:rsidTr="001E09DE">
        <w:tc>
          <w:tcPr>
            <w:tcW w:w="2256" w:type="dxa"/>
          </w:tcPr>
          <w:p w14:paraId="0F91B3E3" w14:textId="77777777" w:rsidR="00651853" w:rsidRPr="009A515A" w:rsidRDefault="00000000">
            <w:r w:rsidRPr="009A515A">
              <w:t>H3: Brand satisfaction (BSAT) mediates UE/UX → BSUC</w:t>
            </w:r>
          </w:p>
        </w:tc>
        <w:tc>
          <w:tcPr>
            <w:tcW w:w="2256" w:type="dxa"/>
          </w:tcPr>
          <w:p w14:paraId="63AEC528" w14:textId="77777777" w:rsidR="00651853" w:rsidRPr="009A515A" w:rsidRDefault="00000000">
            <w:r w:rsidRPr="009A515A">
              <w:t>BSAT present in all high-consistency sufficient paths; highest single-condition consistency</w:t>
            </w:r>
          </w:p>
        </w:tc>
        <w:tc>
          <w:tcPr>
            <w:tcW w:w="2256" w:type="dxa"/>
          </w:tcPr>
          <w:p w14:paraId="42CE8A7D" w14:textId="77777777" w:rsidR="00651853" w:rsidRPr="009A515A" w:rsidRDefault="00000000">
            <w:r w:rsidRPr="009A515A">
              <w:t>Triadic 0.713; BSAT×UE 0.669; BSAT×UX 0.650; BSAT alone 0.410</w:t>
            </w:r>
          </w:p>
        </w:tc>
        <w:tc>
          <w:tcPr>
            <w:tcW w:w="2256" w:type="dxa"/>
          </w:tcPr>
          <w:p w14:paraId="08A3BA06" w14:textId="77777777" w:rsidR="00651853" w:rsidRPr="009A515A" w:rsidRDefault="00000000">
            <w:r w:rsidRPr="009A515A">
              <w:t>Supported (configurationally); SEM mediation test recommended</w:t>
            </w:r>
          </w:p>
        </w:tc>
      </w:tr>
      <w:tr w:rsidR="00651853" w:rsidRPr="009A515A" w14:paraId="06F3B337" w14:textId="77777777" w:rsidTr="001E09DE">
        <w:tc>
          <w:tcPr>
            <w:tcW w:w="2256" w:type="dxa"/>
          </w:tcPr>
          <w:p w14:paraId="6596FC14" w14:textId="77777777" w:rsidR="00651853" w:rsidRPr="009A515A" w:rsidRDefault="00000000">
            <w:r w:rsidRPr="009A515A">
              <w:t>Overall solution</w:t>
            </w:r>
          </w:p>
        </w:tc>
        <w:tc>
          <w:tcPr>
            <w:tcW w:w="2256" w:type="dxa"/>
          </w:tcPr>
          <w:p w14:paraId="6C51675A" w14:textId="77777777" w:rsidR="00651853" w:rsidRPr="009A515A" w:rsidRDefault="00000000">
            <w:r w:rsidRPr="009A515A">
              <w:t>Three sufficient configurations (equifinality)</w:t>
            </w:r>
          </w:p>
        </w:tc>
        <w:tc>
          <w:tcPr>
            <w:tcW w:w="2256" w:type="dxa"/>
          </w:tcPr>
          <w:p w14:paraId="09F6CA9B" w14:textId="77777777" w:rsidR="00651853" w:rsidRPr="009A515A" w:rsidRDefault="00000000">
            <w:r w:rsidRPr="009A515A">
              <w:t>Solution coverage 0.324; solution consistency 0.756</w:t>
            </w:r>
          </w:p>
        </w:tc>
        <w:tc>
          <w:tcPr>
            <w:tcW w:w="2256" w:type="dxa"/>
          </w:tcPr>
          <w:p w14:paraId="5BC746CB" w14:textId="2F5BA608" w:rsidR="00651853" w:rsidRPr="009A515A" w:rsidRDefault="009B694E">
            <w:r>
              <w:t xml:space="preserve"> </w:t>
            </w:r>
          </w:p>
        </w:tc>
      </w:tr>
    </w:tbl>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findings from the FsQCA analysis provide critical insights into how combinations of user engagement (UE), user experience (UX), and brand satisfaction (BSAT) contribute to brand success (BSUC) in the metaverse. By analysing the interplay of these factors, this study identifies key pathways to achieving favourable brand outcomes.</w:t>
      </w:r>
    </w:p>
    <w:p w14:paraId="59615C84" w14:textId="13F159B4" w:rsidR="00B4046B" w:rsidRPr="009A515A" w:rsidRDefault="00B4046B" w:rsidP="00B4046B">
      <w:pPr>
        <w:spacing w:line="360" w:lineRule="auto"/>
        <w:jc w:val="both"/>
        <w:rPr>
          <w:color w:val="000000" w:themeColor="text1"/>
        </w:rPr>
      </w:pPr>
      <w:r w:rsidRPr="009A515A">
        <w:t>The combination of brand satisfaction (BSAT) and user experience (UX) emerged as a significant configuration for brand success, with a consistency value of 0.650 and raw coverage of 20.84%. This indicates that satisfied users who also perceive high-quality, immersive experiences are more likely to develop loyalty and advocate for the brand. The pattern is consistent with prior work showing that customer satisfaction and positive user experience foster emotional connection and longer-term engagement (Thaichon et al., 2022; Bilgihan et al., 2024). Brands should therefore prioritise seamless, immersive virtual experiences that align with user preferences in order to strengthen satisfaction and engagement. At the same time, immersive environments raise ethical considerations</w:t>
      </w:r>
      <w:r w:rsidR="009B694E">
        <w:t xml:space="preserve"> </w:t>
      </w:r>
      <w:r w:rsidRPr="009A515A">
        <w:t>including data-privacy risks and the potential for excessive use</w:t>
      </w:r>
      <w:r w:rsidR="009B694E">
        <w:t xml:space="preserve"> </w:t>
      </w:r>
      <w:r w:rsidRPr="009A515A">
        <w:t>that brands and platform designers should address.</w:t>
      </w:r>
    </w:p>
    <w:p w14:paraId="07271164" w14:textId="77777777" w:rsidR="00B4046B" w:rsidRPr="009A515A" w:rsidRDefault="00B4046B" w:rsidP="00B4046B">
      <w:pPr>
        <w:spacing w:line="360" w:lineRule="auto"/>
        <w:ind w:firstLine="360"/>
        <w:jc w:val="both"/>
        <w:rPr>
          <w:color w:val="000000" w:themeColor="text1"/>
        </w:rPr>
      </w:pPr>
      <w:r w:rsidRPr="009A515A">
        <w:t>The pairing of BSAT and UE (brand satisfaction and user engagement) showed a strong association with brand success, with a consistency value of 0.669 and raw coverage of 24.15%. This indicates that active user participation combined with high satisfaction levels significantly enhances brand outcomes. Previous studies on customer engagement have similarly shown that active participation increases brand equity and loyalty (Jeong and Kim, 2019). Brands should encourage interactive activities, such as gamified experiences or co-creation opportunities, to deepen user involvement while maintaining high levels of satisfaction.</w:t>
      </w:r>
    </w:p>
    <w:p w14:paraId="00D2F037" w14:textId="1A0E766D" w:rsidR="00B4046B" w:rsidRPr="009A515A" w:rsidRDefault="00B4046B" w:rsidP="00B4046B">
      <w:pPr>
        <w:spacing w:line="360" w:lineRule="auto"/>
        <w:ind w:firstLine="360"/>
        <w:jc w:val="both"/>
        <w:rPr>
          <w:color w:val="000000" w:themeColor="text1"/>
        </w:rPr>
      </w:pPr>
      <w:r w:rsidRPr="009A515A">
        <w:t xml:space="preserve">The combination of user experience (UX) and user engagement (UE), while slightly lower in consistency (0.600), also contributed positively to brand outcomes, with raw coverage of </w:t>
      </w:r>
      <w:r w:rsidRPr="009A515A">
        <w:lastRenderedPageBreak/>
        <w:t>21.90%. This configuration indicates that engagement is most effective when paired with high-quality experience, even where satisfaction is not the dominant condition</w:t>
      </w:r>
      <w:r w:rsidR="009B694E">
        <w:t xml:space="preserve"> </w:t>
      </w:r>
      <w:r w:rsidRPr="009A515A">
        <w:t>consistent with Flow Theory's emphasis on deep engagement through challenge–skill balance (Csikszentmihalyi, 1990; Shin, 2019). To leverage this pathway, brands should design engaging virtual spaces that captivate users through interactive, well-paced experiences.</w:t>
      </w:r>
    </w:p>
    <w:p w14:paraId="37561B03" w14:textId="7F3971D8" w:rsidR="00B4046B" w:rsidRPr="009A515A" w:rsidRDefault="00B4046B" w:rsidP="00B4046B">
      <w:pPr>
        <w:spacing w:line="360" w:lineRule="auto"/>
        <w:ind w:firstLine="360"/>
        <w:jc w:val="both"/>
        <w:rPr>
          <w:color w:val="000000" w:themeColor="text1"/>
        </w:rPr>
      </w:pPr>
      <w:r w:rsidRPr="009A515A">
        <w:t>The results highlight the importance of integrating multiple factors</w:t>
      </w:r>
      <w:r w:rsidR="009B694E">
        <w:t xml:space="preserve"> </w:t>
      </w:r>
      <w:r w:rsidRPr="009A515A">
        <w:t>engagement, experience, and satisfaction</w:t>
      </w:r>
      <w:r w:rsidR="009B694E">
        <w:t xml:space="preserve"> </w:t>
      </w:r>
      <w:r w:rsidRPr="009A515A">
        <w:t>into metaverse branding strategies. Individual factors alone showed lower consistency and coverage values compared to their combinations, emphasizing the need for holistic approaches. BSAT x UX x UE achieved a consistency value of 0.7129, demonstrating that combining all three factors yields the most robust outcomes for brands. This finding reinforces theories such as Flow Theory (Csikszentmihalyi, 1990), which posits that optimal engagement occurs when users experience a balance between challenge and skill in an immersive environment.</w:t>
      </w:r>
    </w:p>
    <w:p w14:paraId="2A8325AA" w14:textId="6A622B83" w:rsidR="008E2C8F" w:rsidRDefault="00B4046B" w:rsidP="00E54E3E">
      <w:pPr>
        <w:spacing w:line="360" w:lineRule="auto"/>
        <w:ind w:firstLine="360"/>
        <w:jc w:val="both"/>
        <w:rPr>
          <w:color w:val="000000" w:themeColor="text1"/>
        </w:rPr>
      </w:pPr>
      <w:r w:rsidRPr="009A515A">
        <w:rPr>
          <w:color w:val="000000" w:themeColor="text1"/>
        </w:rPr>
        <w:t xml:space="preserve">It is important to note that while interoperability or blockchain technology could enhance metaverse experiences, these variables were not directly analysed in this study’s </w:t>
      </w:r>
      <w:r w:rsidR="00202EAC" w:rsidRPr="009A515A">
        <w:rPr>
          <w:color w:val="000000" w:themeColor="text1"/>
        </w:rPr>
        <w:t>FsQCA</w:t>
      </w:r>
      <w:r w:rsidRPr="009A515A">
        <w:rPr>
          <w:color w:val="000000" w:themeColor="text1"/>
        </w:rPr>
        <w:t xml:space="preserve"> framework. </w:t>
      </w:r>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w:t>
      </w:r>
      <w:r w:rsidR="003734B4" w:rsidRPr="009A515A">
        <w:rPr>
          <w:b/>
          <w:bCs/>
          <w:color w:val="000000" w:themeColor="text1"/>
        </w:rPr>
        <w:t xml:space="preserve"> </w:t>
      </w:r>
      <w:r w:rsidR="008B39DB" w:rsidRPr="009A515A">
        <w:rPr>
          <w:b/>
          <w:bCs/>
          <w:color w:val="000000" w:themeColor="text1"/>
        </w:rPr>
        <w:t>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research contributes to understanding user engagement, experience and brand satisfaction in the metaverse by integrating two complementary frameworks: Self-Determination Theory (SDT) and Flow Theory. Situating these theories within immersive, digitally mediated environments</w:t>
      </w:r>
      <w:r w:rsidR="009B694E">
        <w:t xml:space="preserve"> </w:t>
      </w:r>
      <w:r w:rsidRPr="009A515A">
        <w:t>characterised by persistent virtual communities, avatar-based identity and interactive brand interfaces</w:t>
      </w:r>
      <w:r w:rsidR="009B694E">
        <w:t xml:space="preserve"> </w:t>
      </w:r>
      <w:r w:rsidRPr="009A515A">
        <w:t>clarifies how psychological needs and experiential states jointly shape engagement, satisfaction and brand outcomes. In contrast to earlier applications in traditional or gamified settings, the findings suggest that metaverse interactions involve a distinctive interplay between intrinsic motivation and experiential absorption, extending the reach of both theories into co-created virtual domains.</w:t>
      </w:r>
    </w:p>
    <w:p w14:paraId="7DADEC4C" w14:textId="77777777" w:rsidR="00BE64E6" w:rsidRPr="009A515A" w:rsidRDefault="00BE64E6" w:rsidP="00BE64E6">
      <w:pPr>
        <w:spacing w:line="360" w:lineRule="auto"/>
        <w:ind w:firstLine="426"/>
        <w:jc w:val="both"/>
        <w:rPr>
          <w:color w:val="000000" w:themeColor="text1"/>
        </w:rPr>
      </w:pPr>
      <w:r w:rsidRPr="009A515A">
        <w:t xml:space="preserve">Within the framework of SDT, this study interprets autonomy, competence and relatedness as taking distinctive forms in immersive digital environments (Bilgihan et al., 2024). Autonomy is expressed through customisable avatars, user-directed spatial modification and ownership of digital assets; competence through skill-based challenges, navigation and achievement; and relatedness through persistent social interaction in branded virtual communities. We advance these as conceptual mechanisms that plausibly underlie engagement </w:t>
      </w:r>
      <w:r w:rsidRPr="009A515A">
        <w:lastRenderedPageBreak/>
        <w:t>and experience rather than as separately measured effects, since the present design operationalises engagement and experience rather than the three needs directly.</w:t>
      </w:r>
    </w:p>
    <w:p w14:paraId="144F2C07" w14:textId="29C2D2FA" w:rsidR="00BE64E6" w:rsidRPr="009A515A" w:rsidRDefault="00BE64E6" w:rsidP="00BE64E6">
      <w:pPr>
        <w:spacing w:line="360" w:lineRule="auto"/>
        <w:ind w:firstLine="426"/>
        <w:jc w:val="both"/>
        <w:rPr>
          <w:color w:val="000000" w:themeColor="text1"/>
        </w:rPr>
      </w:pPr>
      <w:r w:rsidRPr="009A515A">
        <w:t xml:space="preserve">Flow Theory is similarly extended by the proposition that experiential immersion in the metaverse depends on the alignment of task challenge and user skill, calibrated by digital affordances and interaction design (Zhong and Hamouda, 2024). Gamified missions and dynamic, event-based interactions can act as flow facilitators that heighten attentional focus and absorption. Consistent with our configurational findings, deeply immersive engagement can be associated with favourable brand outcomes even when satisfaction is not the dominant condition </w:t>
      </w:r>
      <w:r w:rsidR="009B694E">
        <w:t xml:space="preserve"> </w:t>
      </w:r>
      <w:r w:rsidRPr="009A515A">
        <w:t xml:space="preserve"> an interpretation we offer as a theoretical extension rather than a directly tested effect.</w:t>
      </w:r>
    </w:p>
    <w:p w14:paraId="3C58CB28" w14:textId="77777777" w:rsidR="00BE64E6" w:rsidRPr="009A515A" w:rsidRDefault="00BE64E6" w:rsidP="00BE64E6">
      <w:pPr>
        <w:spacing w:line="360" w:lineRule="auto"/>
        <w:ind w:firstLine="426"/>
        <w:jc w:val="both"/>
        <w:rPr>
          <w:color w:val="000000" w:themeColor="text1"/>
        </w:rPr>
      </w:pPr>
      <w:r w:rsidRPr="009A515A">
        <w:t>The study's central theoretical contribution is the integration of SDT and Flow Theory into a single framework that links the motivational antecedents and the experiential dynamics of engagement in immersive environments. The configurational fsQCA results identify multiple equifinal pathways through which engagement, experiential quality and satisfaction combine to produce favourable brand outcomes, indicating that intrinsic-need fulfilment and challenge–skill alignment operate as mutually reinforcing mechanisms.</w:t>
      </w:r>
    </w:p>
    <w:p w14:paraId="3576835E" w14:textId="77777777" w:rsidR="00BE64E6" w:rsidRPr="009A515A" w:rsidRDefault="00BE64E6" w:rsidP="00BE64E6">
      <w:pPr>
        <w:spacing w:line="360" w:lineRule="auto"/>
        <w:ind w:firstLine="426"/>
        <w:jc w:val="both"/>
        <w:rPr>
          <w:color w:val="000000" w:themeColor="text1"/>
        </w:rPr>
      </w:pPr>
      <w:r w:rsidRPr="009A515A">
        <w:t>Collectively, these contributions advance marketing and psychological theory by suggesting that the confluence of need satisfaction and experiential immersion is associated with engagement, satisfaction and brand performance in the metaverse. The study extends the conceptual reach of SDT and Flow Theory into technologically complex, co-created digital domains and provides configurational guidance for designing immersive brand ecosystems, while remaining careful to distinguish tested associations from theoretical interpretation.</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4E75C251" w14:textId="77777777" w:rsidR="005E7707" w:rsidRPr="009A515A" w:rsidRDefault="005E7707" w:rsidP="005E7707">
      <w:pPr>
        <w:spacing w:line="360" w:lineRule="auto"/>
        <w:jc w:val="both"/>
        <w:rPr>
          <w:color w:val="000000" w:themeColor="text1"/>
        </w:rPr>
      </w:pPr>
      <w:r w:rsidRPr="009A515A">
        <w:t>The findings carry several implications for brand managers. User experience emerges as a key determinant of both brand satisfaction and favourable brand outcomes, with high-quality, immersive experiences appearing consistently in the configurations associated with brand success. A brand's ability to craft engaging, interactive and personalised experiences in the metaverse is therefore central to sustaining engagement and long-term brand success.</w:t>
      </w:r>
    </w:p>
    <w:p w14:paraId="16AC7CBD" w14:textId="77777777" w:rsidR="005E7707" w:rsidRPr="009A515A" w:rsidRDefault="005E7707" w:rsidP="005E7707">
      <w:pPr>
        <w:spacing w:line="360" w:lineRule="auto"/>
        <w:ind w:firstLine="426"/>
        <w:jc w:val="both"/>
        <w:rPr>
          <w:color w:val="000000" w:themeColor="text1"/>
        </w:rPr>
      </w:pPr>
      <w:r w:rsidRPr="009A515A">
        <w:t xml:space="preserve">To achieve this, brands should create immersive experiences that connect to users' virtual identities. Personalisation is central: features such as customisable avatars and interactive virtual environments allow users to express identity within the metaverse and strengthen their sense of presence, which in turn reinforces the emotional bond between user and brand. By aligning a brand's virtual presence with users' self-concept, brands can cultivate connection that </w:t>
      </w:r>
      <w:r w:rsidRPr="009A515A">
        <w:lastRenderedPageBreak/>
        <w:t>supports satisfaction. When users perceive their virtual experiences as tailored to them, they are more likely to engage deeply, exhibit loyalty and advocate for the brand within their communities (Thaichon et al., 2022; Xie and Muralidharan, 2023).</w:t>
      </w:r>
    </w:p>
    <w:p w14:paraId="723A13EE" w14:textId="6CB21AB9" w:rsidR="005E7707" w:rsidRPr="009A515A" w:rsidRDefault="005E7707" w:rsidP="005E7707">
      <w:pPr>
        <w:spacing w:line="360" w:lineRule="auto"/>
        <w:ind w:firstLine="426"/>
        <w:jc w:val="both"/>
        <w:rPr>
          <w:color w:val="000000" w:themeColor="text1"/>
        </w:rPr>
      </w:pPr>
      <w:r w:rsidRPr="009A515A">
        <w:t xml:space="preserve">Several frequently discussed metaverse features </w:t>
      </w:r>
      <w:r w:rsidR="009B694E">
        <w:t xml:space="preserve"> </w:t>
      </w:r>
      <w:r w:rsidRPr="009A515A">
        <w:t xml:space="preserve"> such as NFT interoperability, smart contracts and rarity dynamics </w:t>
      </w:r>
      <w:r w:rsidR="009B694E">
        <w:t xml:space="preserve"> </w:t>
      </w:r>
      <w:r w:rsidRPr="009A515A">
        <w:t xml:space="preserve"> may, in principle, strengthen perceived exclusivity, transferability and trust. We emphasise, however, that these features were not measured or analysed in the present study and therefore are presented as avenues for future investigation rather than as empirical findings. Managers may explore them cautiously, but the evidence reported here speaks to combinations of engagement, experience and satisfaction, not to blockchain-specific mechanisms.</w:t>
      </w:r>
    </w:p>
    <w:p w14:paraId="391B9749" w14:textId="4BB81894" w:rsidR="005E7707" w:rsidRPr="009A515A" w:rsidRDefault="005E7707" w:rsidP="005E7707">
      <w:pPr>
        <w:spacing w:line="360" w:lineRule="auto"/>
        <w:ind w:firstLine="426"/>
        <w:jc w:val="both"/>
        <w:rPr>
          <w:color w:val="000000" w:themeColor="text1"/>
        </w:rPr>
      </w:pPr>
      <w:r w:rsidRPr="009A515A">
        <w:t>The results also point to a strong synergy between satisfaction and engagement: combining active participation with high satisfaction strengthens brand equity and loyalty (Jeong and Kim, 2019). For managers, this means creating interactive opportunities</w:t>
      </w:r>
      <w:r w:rsidR="009B694E">
        <w:t xml:space="preserve"> </w:t>
      </w:r>
      <w:r w:rsidRPr="009A515A">
        <w:t>gamified interactions, co-creation and reward systems</w:t>
      </w:r>
      <w:r w:rsidR="009B694E">
        <w:t xml:space="preserve"> </w:t>
      </w:r>
      <w:r w:rsidRPr="009A515A">
        <w:t>that deepen involvement while sustaining satisfaction. As users help shape the virtual environment, their sense of ownership and belonging grows, reinforcing emotional attachment and the relational capital that supports long-term loyalty.</w:t>
      </w:r>
    </w:p>
    <w:p w14:paraId="72878EBA" w14:textId="77777777" w:rsidR="00BE64E6" w:rsidRPr="009A515A" w:rsidRDefault="00BE64E6" w:rsidP="00BE64E6">
      <w:pPr>
        <w:spacing w:line="360" w:lineRule="auto"/>
        <w:ind w:firstLine="426"/>
        <w:jc w:val="both"/>
        <w:rPr>
          <w:color w:val="000000" w:themeColor="text1"/>
        </w:rPr>
      </w:pPr>
      <w:r w:rsidRPr="009A515A">
        <w:t>Psychological engagement is equally important. The metaverse allows brands to move beyond one-way communication and to use personalisation and avatar customisation to foster emotional resonance. Experiences aligned with consumers' self-concept and aspirations help users feel authentically represented within virtual spaces (Jung and Pawlowski, 2014), and the resulting emotional bond supports loyalty, as users tend to remain engaged with brands that reflect their real and aspirational identities.</w:t>
      </w:r>
    </w:p>
    <w:p w14:paraId="557B7326" w14:textId="77777777" w:rsidR="00BE64E6" w:rsidRPr="009A515A" w:rsidRDefault="00BE64E6" w:rsidP="00BE64E6">
      <w:pPr>
        <w:spacing w:line="360" w:lineRule="auto"/>
        <w:ind w:firstLine="426"/>
        <w:jc w:val="both"/>
        <w:rPr>
          <w:color w:val="000000" w:themeColor="text1"/>
        </w:rPr>
      </w:pPr>
      <w:r w:rsidRPr="009A515A">
        <w:t>Finally, the study underscores that user experience is central to both brand satisfaction and brand success in the metaverse. To remain competitive, brands must ensure that their immersive experiences are emotionally resonant, consistent and aligned with users' values and identities; functional or visually appealing virtual assets are no longer sufficient. Brands that consistently deliver high-quality, interactive experiences are better placed to build long-term engagement and loyalty, reflecting a holistic approach in which engagement, experience and satisfaction reinforce one another to drive brand success.</w:t>
      </w:r>
    </w:p>
    <w:p w14:paraId="7BFD6320" w14:textId="77777777" w:rsidR="005E7707" w:rsidRPr="009A515A" w:rsidRDefault="005E7707" w:rsidP="005E7707">
      <w:pPr>
        <w:spacing w:line="360" w:lineRule="auto"/>
        <w:ind w:firstLine="426"/>
        <w:jc w:val="both"/>
        <w:rPr>
          <w:color w:val="000000" w:themeColor="text1"/>
        </w:rPr>
      </w:pPr>
      <w:r w:rsidRPr="009A515A">
        <w:t>Sustained success in the metaverse rests on brands' ability to create immersive, emotionally resonant experiences that integrate personalisation, interactive marketing and trust-building. Brands that master these dimensions will be well positioned to foster deep user engagement, long-term loyalty and a competitive edge in this rapidly evolving virtual space.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lastRenderedPageBreak/>
        <w:t>8</w:t>
      </w:r>
      <w:r w:rsidR="003734B4" w:rsidRPr="009A515A">
        <w:rPr>
          <w:b/>
          <w:bCs/>
          <w:color w:val="000000" w:themeColor="text1"/>
        </w:rPr>
        <w:t xml:space="preserve">. </w:t>
      </w:r>
      <w:r w:rsidR="00EB7038" w:rsidRPr="009A515A">
        <w:rPr>
          <w:b/>
          <w:bCs/>
          <w:color w:val="000000" w:themeColor="text1"/>
        </w:rPr>
        <w:t>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 xml:space="preserve">This study provides valuable insights into user engagement and experience in the metaverse but is subject to several limitations. First, the reliance on a sample of </w:t>
      </w:r>
      <w:r w:rsidR="00113F0C" w:rsidRPr="009A515A">
        <w:rPr>
          <w:color w:val="000000" w:themeColor="text1"/>
        </w:rPr>
        <w:t>312</w:t>
      </w:r>
      <w:r w:rsidRPr="009A515A">
        <w:rPr>
          <w:color w:val="000000" w:themeColor="text1"/>
        </w:rPr>
        <w:t xml:space="preserve"> active and experienced users, though ensuring expertise, may bias results toward highly engaged participants. Casual or novice users were underrepresented, limiting the generalisability of findings across broader demographics. This sampling bias restricts the ability to capture variations in behaviour across different user groups. A more diverse and representative sampling frame, including participants of varying demographics, backgrounds, and levels of experience, is necessary for future research.</w:t>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 xml:space="preserve">Decisions regarding inclusion and exclusion may have overlooked relevant factors influencing brand success. Moreover, the absence of a control group limits the ability to attribute outcomes solely to the constructs studied. Third, while </w:t>
      </w:r>
      <w:r w:rsidR="00202EAC" w:rsidRPr="009A515A">
        <w:rPr>
          <w:color w:val="000000" w:themeColor="text1"/>
        </w:rPr>
        <w:t>FsQCA</w:t>
      </w:r>
      <w:r w:rsidRPr="009A515A">
        <w:rPr>
          <w:color w:val="000000" w:themeColor="text1"/>
        </w:rPr>
        <w:t xml:space="preserve"> was effective in analysing complex causal relationships, its small-N orientation and qualitative nature reduce robustness compared to larger-scale quantitative models. Relying exclusively on </w:t>
      </w:r>
      <w:r w:rsidR="00202EAC" w:rsidRPr="009A515A">
        <w:rPr>
          <w:color w:val="000000" w:themeColor="text1"/>
        </w:rPr>
        <w:t>FsQCA</w:t>
      </w:r>
      <w:r w:rsidRPr="009A515A">
        <w:rPr>
          <w:color w:val="000000" w:themeColor="text1"/>
        </w:rPr>
        <w:t xml:space="preserve"> sacrifices opportunities for methodological triangulation and limits the capacity to validate findings across statistical approaches.</w:t>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w:t>
      </w:r>
      <w:r w:rsidR="00DF7521" w:rsidRPr="009A515A">
        <w:rPr>
          <w:color w:val="000000" w:themeColor="text1"/>
        </w:rPr>
        <w:t>he cross-sectional design precludes analysis of how engagement and experience evolve over time. Longitudinal studies are essential to track user behaviour and assess the sustainability of engagement within rapidly changing virtual ecosystems. Finally, ethical implications</w:t>
      </w:r>
      <w:r w:rsidR="009B694E">
        <w:rPr>
          <w:color w:val="000000" w:themeColor="text1"/>
        </w:rPr>
        <w:t xml:space="preserve"> </w:t>
      </w:r>
      <w:r w:rsidR="00DF7521" w:rsidRPr="009A515A">
        <w:rPr>
          <w:color w:val="000000" w:themeColor="text1"/>
        </w:rPr>
        <w:t>including privacy, addiction, cyberbullying, and exploitation risks</w:t>
      </w:r>
      <w:r w:rsidR="009B694E">
        <w:rPr>
          <w:color w:val="000000" w:themeColor="text1"/>
        </w:rPr>
        <w:t xml:space="preserve"> </w:t>
      </w:r>
      <w:r w:rsidR="00DF7521" w:rsidRPr="009A515A">
        <w:rPr>
          <w:color w:val="000000" w:themeColor="text1"/>
        </w:rPr>
        <w:t>remain underexplored. Future research should develop frameworks and guidelines to safeguard user well-being while maximising the positive impact of branding in immersive environments.</w:t>
      </w:r>
    </w:p>
    <w:p w14:paraId="4C444C57" w14:textId="149970A9" w:rsidR="00651853" w:rsidRPr="009A515A"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 xml:space="preserve">Several large technology firms have scaled back their metaverse investments, and there is legitimate debate about whether early metaverse enthusiasm represented a hype cycle. We therefore frame our contribution conservatively: the findings speak most directly to brands that remain active on large, metaverse-like platforms </w:t>
      </w:r>
      <w:r w:rsidR="009B694E">
        <w:rPr>
          <w:color w:val="000000" w:themeColor="text1"/>
        </w:rPr>
        <w:t xml:space="preserve"> </w:t>
      </w:r>
      <w:r w:rsidRPr="009A515A">
        <w:rPr>
          <w:color w:val="000000" w:themeColor="text1"/>
        </w:rPr>
        <w:t xml:space="preserve"> game-based virtual worlds such as Roblox and Fortnite and social virtual reality </w:t>
      </w:r>
      <w:r w:rsidR="009B694E">
        <w:rPr>
          <w:color w:val="000000" w:themeColor="text1"/>
        </w:rPr>
        <w:t xml:space="preserve"> </w:t>
      </w:r>
      <w:r w:rsidRPr="009A515A">
        <w:rPr>
          <w:color w:val="000000" w:themeColor="text1"/>
        </w:rPr>
        <w:t xml:space="preserve"> and to the design of future immersive environments, including mixed reality and emerging persistent virtual ecosystems. Rather than assuming the metaverse’s inevitability, we position immersive, avatar-mediated branding as an evolving phenomenon whose underlying psychological mechanisms </w:t>
      </w:r>
      <w:r w:rsidR="009B694E">
        <w:rPr>
          <w:color w:val="000000" w:themeColor="text1"/>
        </w:rPr>
        <w:t xml:space="preserve"> </w:t>
      </w:r>
      <w:r w:rsidRPr="009A515A">
        <w:rPr>
          <w:color w:val="000000" w:themeColor="text1"/>
        </w:rPr>
        <w:t xml:space="preserve"> engagement, experience and satisfaction  are likely to persist across successive technological forms.</w:t>
      </w:r>
    </w:p>
    <w:p w14:paraId="73317B19" w14:textId="77777777" w:rsidR="00DF7521" w:rsidRPr="009A515A" w:rsidRDefault="00DF7521" w:rsidP="001F1C59">
      <w:pPr>
        <w:pStyle w:val="NormalWeb"/>
        <w:spacing w:before="0" w:beforeAutospacing="0" w:after="0" w:afterAutospacing="0" w:line="360" w:lineRule="auto"/>
        <w:ind w:firstLine="426"/>
        <w:jc w:val="both"/>
        <w:rPr>
          <w:color w:val="000000" w:themeColor="text1"/>
        </w:rPr>
      </w:pPr>
    </w:p>
    <w:p w14:paraId="26E2C9BA" w14:textId="77777777" w:rsidR="00816F08" w:rsidRPr="009A515A" w:rsidRDefault="00816F08" w:rsidP="00D05FD0">
      <w:pPr>
        <w:spacing w:line="360" w:lineRule="auto"/>
        <w:ind w:left="720" w:hanging="720"/>
        <w:jc w:val="both"/>
        <w:rPr>
          <w:b/>
          <w:bCs/>
          <w:color w:val="000000" w:themeColor="text1"/>
        </w:rPr>
      </w:pPr>
    </w:p>
    <w:p w14:paraId="65619D10" w14:textId="77777777" w:rsidR="00163779" w:rsidRPr="009A515A" w:rsidRDefault="00163779" w:rsidP="00D05FD0">
      <w:pPr>
        <w:spacing w:line="360" w:lineRule="auto"/>
        <w:ind w:left="720" w:hanging="720"/>
        <w:jc w:val="both"/>
        <w:rPr>
          <w:b/>
          <w:bCs/>
          <w:color w:val="000000" w:themeColor="text1"/>
        </w:rPr>
      </w:pPr>
    </w:p>
    <w:p w14:paraId="6CD36D5D" w14:textId="77777777" w:rsidR="00163779" w:rsidRPr="009A515A" w:rsidRDefault="00163779" w:rsidP="00D05FD0">
      <w:pPr>
        <w:spacing w:line="360" w:lineRule="auto"/>
        <w:ind w:left="720" w:hanging="720"/>
        <w:jc w:val="both"/>
        <w:rPr>
          <w:b/>
          <w:bCs/>
          <w:color w:val="000000" w:themeColor="text1"/>
        </w:rPr>
      </w:pPr>
    </w:p>
    <w:p w14:paraId="3931A86D" w14:textId="77777777" w:rsidR="00816F08" w:rsidRPr="009A515A" w:rsidRDefault="00816F08" w:rsidP="001F1C59">
      <w:pPr>
        <w:spacing w:line="360" w:lineRule="auto"/>
        <w:jc w:val="both"/>
        <w:rPr>
          <w:b/>
          <w:bCs/>
          <w:color w:val="000000" w:themeColor="text1"/>
        </w:rPr>
      </w:pPr>
    </w:p>
    <w:p w14:paraId="103D51EA" w14:textId="77777777" w:rsidR="001F1C59" w:rsidRPr="009A515A" w:rsidRDefault="001F1C59" w:rsidP="001F1C59">
      <w:pPr>
        <w:spacing w:line="360" w:lineRule="auto"/>
        <w:jc w:val="both"/>
        <w:rPr>
          <w:b/>
          <w:bCs/>
          <w:color w:val="000000" w:themeColor="text1"/>
        </w:rPr>
      </w:pPr>
    </w:p>
    <w:p w14:paraId="41173663" w14:textId="77777777" w:rsidR="00651853" w:rsidRPr="009A515A" w:rsidRDefault="00000000">
      <w:r w:rsidRPr="009A515A">
        <w:rPr>
          <w:b/>
        </w:rPr>
        <w:t>Appendix A. Measurement Items</w:t>
      </w:r>
    </w:p>
    <w:p w14:paraId="071E6CBD" w14:textId="77777777" w:rsidR="001F1C59" w:rsidRPr="009A515A" w:rsidRDefault="001F1C59"/>
    <w:p w14:paraId="328E572C" w14:textId="1B7C3588" w:rsidR="00651853" w:rsidRPr="009A515A" w:rsidRDefault="00000000" w:rsidP="001F1C59">
      <w:pPr>
        <w:spacing w:line="360" w:lineRule="auto"/>
        <w:jc w:val="both"/>
      </w:pPr>
      <w:r w:rsidRPr="009A515A">
        <w:t>The following items were administered to measure each construct, adapted to the metaverse branding context from the cited sources. All items used seven-point Likert scales anchored from 1 (strongly disagree) to 7 (strongly agree). Item codes correspond to the standardized loadings reported in Table 2.</w:t>
      </w:r>
    </w:p>
    <w:tbl>
      <w:tblPr>
        <w:tblStyle w:val="TableGrid"/>
        <w:tblW w:w="0" w:type="auto"/>
        <w:tblLook w:val="04A0" w:firstRow="1" w:lastRow="0" w:firstColumn="1" w:lastColumn="0" w:noHBand="0" w:noVBand="1"/>
      </w:tblPr>
      <w:tblGrid>
        <w:gridCol w:w="3005"/>
        <w:gridCol w:w="3005"/>
        <w:gridCol w:w="3006"/>
      </w:tblGrid>
      <w:tr w:rsidR="00651853" w:rsidRPr="009A515A" w14:paraId="5518DF01" w14:textId="77777777">
        <w:tc>
          <w:tcPr>
            <w:tcW w:w="3009" w:type="dxa"/>
          </w:tcPr>
          <w:p w14:paraId="19B2F958" w14:textId="77777777" w:rsidR="00651853" w:rsidRPr="009A515A" w:rsidRDefault="00000000">
            <w:r w:rsidRPr="009A515A">
              <w:rPr>
                <w:b/>
              </w:rPr>
              <w:t>Construct (source)</w:t>
            </w:r>
          </w:p>
        </w:tc>
        <w:tc>
          <w:tcPr>
            <w:tcW w:w="3009" w:type="dxa"/>
          </w:tcPr>
          <w:p w14:paraId="02146DF4" w14:textId="77777777" w:rsidR="00651853" w:rsidRPr="009A515A" w:rsidRDefault="00000000">
            <w:r w:rsidRPr="009A515A">
              <w:rPr>
                <w:b/>
              </w:rPr>
              <w:t>Code</w:t>
            </w:r>
          </w:p>
        </w:tc>
        <w:tc>
          <w:tcPr>
            <w:tcW w:w="3009" w:type="dxa"/>
          </w:tcPr>
          <w:p w14:paraId="64CAD9F8" w14:textId="77777777" w:rsidR="00651853" w:rsidRPr="009A515A" w:rsidRDefault="00000000">
            <w:r w:rsidRPr="009A515A">
              <w:rPr>
                <w:b/>
              </w:rPr>
              <w:t>Item wording (adapted)</w:t>
            </w:r>
          </w:p>
        </w:tc>
      </w:tr>
      <w:tr w:rsidR="00651853" w:rsidRPr="009A515A" w14:paraId="23ADE5F5" w14:textId="77777777">
        <w:tc>
          <w:tcPr>
            <w:tcW w:w="3009" w:type="dxa"/>
          </w:tcPr>
          <w:p w14:paraId="36300706" w14:textId="20B51E91" w:rsidR="00651853" w:rsidRPr="009A515A" w:rsidRDefault="00000000">
            <w:r w:rsidRPr="009A515A">
              <w:t xml:space="preserve">User Engagement (UE) </w:t>
            </w:r>
            <w:r w:rsidR="009B694E">
              <w:t xml:space="preserve"> </w:t>
            </w:r>
            <w:r w:rsidRPr="009A515A">
              <w:t xml:space="preserve"> adapted from O’Brien and Toms (2010)</w:t>
            </w:r>
          </w:p>
        </w:tc>
        <w:tc>
          <w:tcPr>
            <w:tcW w:w="3009" w:type="dxa"/>
          </w:tcPr>
          <w:p w14:paraId="6B8A4CF7" w14:textId="77777777" w:rsidR="00651853" w:rsidRPr="009A515A" w:rsidRDefault="00000000">
            <w:r w:rsidRPr="009A515A">
              <w:t>UE_1</w:t>
            </w:r>
          </w:p>
        </w:tc>
        <w:tc>
          <w:tcPr>
            <w:tcW w:w="3009" w:type="dxa"/>
          </w:tcPr>
          <w:p w14:paraId="33B78D20" w14:textId="77777777" w:rsidR="00651853" w:rsidRPr="009A515A" w:rsidRDefault="00000000">
            <w:r w:rsidRPr="009A515A">
              <w:t>I lost track of myself in the brand’s metaverse experience.</w:t>
            </w:r>
          </w:p>
        </w:tc>
      </w:tr>
      <w:tr w:rsidR="00651853" w:rsidRPr="009A515A" w14:paraId="7EFCEFBF" w14:textId="77777777">
        <w:tc>
          <w:tcPr>
            <w:tcW w:w="3009" w:type="dxa"/>
          </w:tcPr>
          <w:p w14:paraId="615BBFF8" w14:textId="77777777" w:rsidR="00651853" w:rsidRPr="009A515A" w:rsidRDefault="00651853"/>
        </w:tc>
        <w:tc>
          <w:tcPr>
            <w:tcW w:w="3009" w:type="dxa"/>
          </w:tcPr>
          <w:p w14:paraId="17E07060" w14:textId="77777777" w:rsidR="00651853" w:rsidRPr="009A515A" w:rsidRDefault="00000000">
            <w:r w:rsidRPr="009A515A">
              <w:t>UE_2</w:t>
            </w:r>
          </w:p>
        </w:tc>
        <w:tc>
          <w:tcPr>
            <w:tcW w:w="3009" w:type="dxa"/>
          </w:tcPr>
          <w:p w14:paraId="1843E034" w14:textId="77777777" w:rsidR="00651853" w:rsidRPr="009A515A" w:rsidRDefault="00000000">
            <w:r w:rsidRPr="009A515A">
              <w:t>The time I spent in the brand’s metaverse space slipped away.</w:t>
            </w:r>
          </w:p>
        </w:tc>
      </w:tr>
      <w:tr w:rsidR="00651853" w:rsidRPr="009A515A" w14:paraId="56C0D90C" w14:textId="77777777">
        <w:tc>
          <w:tcPr>
            <w:tcW w:w="3009" w:type="dxa"/>
          </w:tcPr>
          <w:p w14:paraId="48866FD1" w14:textId="77777777" w:rsidR="00651853" w:rsidRPr="009A515A" w:rsidRDefault="00651853"/>
        </w:tc>
        <w:tc>
          <w:tcPr>
            <w:tcW w:w="3009" w:type="dxa"/>
          </w:tcPr>
          <w:p w14:paraId="687C814F" w14:textId="77777777" w:rsidR="00651853" w:rsidRPr="009A515A" w:rsidRDefault="00000000">
            <w:r w:rsidRPr="009A515A">
              <w:t>UE_3</w:t>
            </w:r>
          </w:p>
        </w:tc>
        <w:tc>
          <w:tcPr>
            <w:tcW w:w="3009" w:type="dxa"/>
          </w:tcPr>
          <w:p w14:paraId="0B79B27B" w14:textId="77777777" w:rsidR="00651853" w:rsidRPr="009A515A" w:rsidRDefault="00000000">
            <w:r w:rsidRPr="009A515A">
              <w:t>I was absorbed in what I was doing in the brand’s metaverse space.</w:t>
            </w:r>
          </w:p>
        </w:tc>
      </w:tr>
      <w:tr w:rsidR="00651853" w:rsidRPr="009A515A" w14:paraId="6B902EA3" w14:textId="77777777">
        <w:tc>
          <w:tcPr>
            <w:tcW w:w="3009" w:type="dxa"/>
          </w:tcPr>
          <w:p w14:paraId="3F537C53" w14:textId="77777777" w:rsidR="00651853" w:rsidRPr="009A515A" w:rsidRDefault="00651853"/>
        </w:tc>
        <w:tc>
          <w:tcPr>
            <w:tcW w:w="3009" w:type="dxa"/>
          </w:tcPr>
          <w:p w14:paraId="00D54343" w14:textId="77777777" w:rsidR="00651853" w:rsidRPr="009A515A" w:rsidRDefault="00000000">
            <w:r w:rsidRPr="009A515A">
              <w:t>UE_4</w:t>
            </w:r>
          </w:p>
        </w:tc>
        <w:tc>
          <w:tcPr>
            <w:tcW w:w="3009" w:type="dxa"/>
          </w:tcPr>
          <w:p w14:paraId="10822348" w14:textId="77777777" w:rsidR="00651853" w:rsidRPr="009A515A" w:rsidRDefault="00000000">
            <w:r w:rsidRPr="009A515A">
              <w:t>I felt involved in the brand’s metaverse activities.</w:t>
            </w:r>
          </w:p>
        </w:tc>
      </w:tr>
      <w:tr w:rsidR="00651853" w:rsidRPr="009A515A" w14:paraId="6A9E7381" w14:textId="77777777">
        <w:tc>
          <w:tcPr>
            <w:tcW w:w="3009" w:type="dxa"/>
          </w:tcPr>
          <w:p w14:paraId="155A1260" w14:textId="77777777" w:rsidR="00651853" w:rsidRPr="009A515A" w:rsidRDefault="00651853"/>
        </w:tc>
        <w:tc>
          <w:tcPr>
            <w:tcW w:w="3009" w:type="dxa"/>
          </w:tcPr>
          <w:p w14:paraId="3B7F9F01" w14:textId="77777777" w:rsidR="00651853" w:rsidRPr="009A515A" w:rsidRDefault="00000000">
            <w:r w:rsidRPr="009A515A">
              <w:t>UE_5</w:t>
            </w:r>
          </w:p>
        </w:tc>
        <w:tc>
          <w:tcPr>
            <w:tcW w:w="3009" w:type="dxa"/>
          </w:tcPr>
          <w:p w14:paraId="2A03B0B2" w14:textId="77777777" w:rsidR="00651853" w:rsidRPr="009A515A" w:rsidRDefault="00000000">
            <w:r w:rsidRPr="009A515A">
              <w:t>The brand’s metaverse experience was fun.</w:t>
            </w:r>
          </w:p>
        </w:tc>
      </w:tr>
      <w:tr w:rsidR="00651853" w:rsidRPr="009A515A" w14:paraId="0CDF4E42" w14:textId="77777777">
        <w:tc>
          <w:tcPr>
            <w:tcW w:w="3009" w:type="dxa"/>
          </w:tcPr>
          <w:p w14:paraId="5BC209B5" w14:textId="77777777" w:rsidR="00651853" w:rsidRPr="009A515A" w:rsidRDefault="00651853"/>
        </w:tc>
        <w:tc>
          <w:tcPr>
            <w:tcW w:w="3009" w:type="dxa"/>
          </w:tcPr>
          <w:p w14:paraId="3DFB4988" w14:textId="77777777" w:rsidR="00651853" w:rsidRPr="009A515A" w:rsidRDefault="00000000">
            <w:r w:rsidRPr="009A515A">
              <w:t>UE_6</w:t>
            </w:r>
          </w:p>
        </w:tc>
        <w:tc>
          <w:tcPr>
            <w:tcW w:w="3009" w:type="dxa"/>
          </w:tcPr>
          <w:p w14:paraId="6C40CC02" w14:textId="77777777" w:rsidR="00651853" w:rsidRPr="009A515A" w:rsidRDefault="00000000">
            <w:r w:rsidRPr="009A515A">
              <w:t>I was motivated to keep interacting with the brand in the metaverse.</w:t>
            </w:r>
          </w:p>
        </w:tc>
      </w:tr>
      <w:tr w:rsidR="00651853" w:rsidRPr="009A515A" w14:paraId="36518BEB" w14:textId="77777777">
        <w:tc>
          <w:tcPr>
            <w:tcW w:w="3009" w:type="dxa"/>
          </w:tcPr>
          <w:p w14:paraId="6DC9F23F" w14:textId="77777777" w:rsidR="00651853" w:rsidRPr="009A515A" w:rsidRDefault="00651853"/>
        </w:tc>
        <w:tc>
          <w:tcPr>
            <w:tcW w:w="3009" w:type="dxa"/>
          </w:tcPr>
          <w:p w14:paraId="775F4488" w14:textId="77777777" w:rsidR="00651853" w:rsidRPr="009A515A" w:rsidRDefault="00000000">
            <w:r w:rsidRPr="009A515A">
              <w:t>UE_7</w:t>
            </w:r>
          </w:p>
        </w:tc>
        <w:tc>
          <w:tcPr>
            <w:tcW w:w="3009" w:type="dxa"/>
          </w:tcPr>
          <w:p w14:paraId="1CD519F5" w14:textId="77777777" w:rsidR="00651853" w:rsidRPr="009A515A" w:rsidRDefault="00000000">
            <w:r w:rsidRPr="009A515A">
              <w:t>I would recommend the brand’s metaverse experience to others.</w:t>
            </w:r>
          </w:p>
        </w:tc>
      </w:tr>
      <w:tr w:rsidR="00651853" w:rsidRPr="009A515A" w14:paraId="4456663D" w14:textId="77777777">
        <w:tc>
          <w:tcPr>
            <w:tcW w:w="3009" w:type="dxa"/>
          </w:tcPr>
          <w:p w14:paraId="71718DE2" w14:textId="77777777" w:rsidR="00651853" w:rsidRPr="009A515A" w:rsidRDefault="00651853"/>
        </w:tc>
        <w:tc>
          <w:tcPr>
            <w:tcW w:w="3009" w:type="dxa"/>
          </w:tcPr>
          <w:p w14:paraId="2C5D1D4D" w14:textId="77777777" w:rsidR="00651853" w:rsidRPr="009A515A" w:rsidRDefault="00000000">
            <w:r w:rsidRPr="009A515A">
              <w:t>UE_8</w:t>
            </w:r>
          </w:p>
        </w:tc>
        <w:tc>
          <w:tcPr>
            <w:tcW w:w="3009" w:type="dxa"/>
          </w:tcPr>
          <w:p w14:paraId="0B39D2BD" w14:textId="77777777" w:rsidR="00651853" w:rsidRPr="009A515A" w:rsidRDefault="00000000">
            <w:r w:rsidRPr="009A515A">
              <w:t>Interacting with the brand in the metaverse was worthwhile.</w:t>
            </w:r>
          </w:p>
        </w:tc>
      </w:tr>
      <w:tr w:rsidR="00651853" w:rsidRPr="009A515A" w14:paraId="2641FE21" w14:textId="77777777">
        <w:tc>
          <w:tcPr>
            <w:tcW w:w="3009" w:type="dxa"/>
          </w:tcPr>
          <w:p w14:paraId="419D1A3C" w14:textId="77777777" w:rsidR="00651853" w:rsidRPr="009A515A" w:rsidRDefault="00651853"/>
        </w:tc>
        <w:tc>
          <w:tcPr>
            <w:tcW w:w="3009" w:type="dxa"/>
          </w:tcPr>
          <w:p w14:paraId="4304551A" w14:textId="77777777" w:rsidR="00651853" w:rsidRPr="009A515A" w:rsidRDefault="00000000">
            <w:r w:rsidRPr="009A515A">
              <w:t>UE_9</w:t>
            </w:r>
          </w:p>
        </w:tc>
        <w:tc>
          <w:tcPr>
            <w:tcW w:w="3009" w:type="dxa"/>
          </w:tcPr>
          <w:p w14:paraId="1841901A" w14:textId="77777777" w:rsidR="00651853" w:rsidRPr="009A515A" w:rsidRDefault="00000000">
            <w:r w:rsidRPr="009A515A">
              <w:t>I felt interested in the brand’s metaverse activities.</w:t>
            </w:r>
          </w:p>
        </w:tc>
      </w:tr>
      <w:tr w:rsidR="00651853" w:rsidRPr="009A515A" w14:paraId="682880CB" w14:textId="77777777">
        <w:tc>
          <w:tcPr>
            <w:tcW w:w="3009" w:type="dxa"/>
          </w:tcPr>
          <w:p w14:paraId="4CBEF2CE" w14:textId="77777777" w:rsidR="00651853" w:rsidRPr="009A515A" w:rsidRDefault="00651853"/>
        </w:tc>
        <w:tc>
          <w:tcPr>
            <w:tcW w:w="3009" w:type="dxa"/>
          </w:tcPr>
          <w:p w14:paraId="5475B93A" w14:textId="77777777" w:rsidR="00651853" w:rsidRPr="009A515A" w:rsidRDefault="00000000">
            <w:r w:rsidRPr="009A515A">
              <w:t>UE_10</w:t>
            </w:r>
          </w:p>
        </w:tc>
        <w:tc>
          <w:tcPr>
            <w:tcW w:w="3009" w:type="dxa"/>
          </w:tcPr>
          <w:p w14:paraId="434FD198" w14:textId="77777777" w:rsidR="00651853" w:rsidRPr="009A515A" w:rsidRDefault="00000000">
            <w:r w:rsidRPr="009A515A">
              <w:t>I would return to the brand’s metaverse space.</w:t>
            </w:r>
          </w:p>
        </w:tc>
      </w:tr>
      <w:tr w:rsidR="00651853" w:rsidRPr="009A515A" w14:paraId="16C369A2" w14:textId="77777777">
        <w:tc>
          <w:tcPr>
            <w:tcW w:w="3009" w:type="dxa"/>
          </w:tcPr>
          <w:p w14:paraId="74E1DE02" w14:textId="5B799FDF" w:rsidR="00651853" w:rsidRPr="009A515A" w:rsidRDefault="00000000">
            <w:r w:rsidRPr="009A515A">
              <w:t xml:space="preserve">User Experience (UX) </w:t>
            </w:r>
            <w:r w:rsidR="009B694E">
              <w:t xml:space="preserve"> </w:t>
            </w:r>
            <w:r w:rsidRPr="009A515A">
              <w:t xml:space="preserve"> adapted from O’Brien and Toms (2010); Basu et al. (2024); Cadet and Chainay (2020)</w:t>
            </w:r>
          </w:p>
        </w:tc>
        <w:tc>
          <w:tcPr>
            <w:tcW w:w="3009" w:type="dxa"/>
          </w:tcPr>
          <w:p w14:paraId="180EF302" w14:textId="77777777" w:rsidR="00651853" w:rsidRPr="009A515A" w:rsidRDefault="00000000">
            <w:r w:rsidRPr="009A515A">
              <w:t>UX_1</w:t>
            </w:r>
          </w:p>
        </w:tc>
        <w:tc>
          <w:tcPr>
            <w:tcW w:w="3009" w:type="dxa"/>
          </w:tcPr>
          <w:p w14:paraId="108D4602" w14:textId="77777777" w:rsidR="00651853" w:rsidRPr="009A515A" w:rsidRDefault="00000000">
            <w:r w:rsidRPr="009A515A">
              <w:t>The brand’s metaverse environment was easy to use.</w:t>
            </w:r>
          </w:p>
        </w:tc>
      </w:tr>
      <w:tr w:rsidR="00651853" w:rsidRPr="009A515A" w14:paraId="0364E1B9" w14:textId="77777777">
        <w:tc>
          <w:tcPr>
            <w:tcW w:w="3009" w:type="dxa"/>
          </w:tcPr>
          <w:p w14:paraId="61B83A73" w14:textId="77777777" w:rsidR="00651853" w:rsidRPr="009A515A" w:rsidRDefault="00651853"/>
        </w:tc>
        <w:tc>
          <w:tcPr>
            <w:tcW w:w="3009" w:type="dxa"/>
          </w:tcPr>
          <w:p w14:paraId="73A73C5E" w14:textId="77777777" w:rsidR="00651853" w:rsidRPr="009A515A" w:rsidRDefault="00000000">
            <w:r w:rsidRPr="009A515A">
              <w:t>UX_2</w:t>
            </w:r>
          </w:p>
        </w:tc>
        <w:tc>
          <w:tcPr>
            <w:tcW w:w="3009" w:type="dxa"/>
          </w:tcPr>
          <w:p w14:paraId="71C3E63F" w14:textId="77777777" w:rsidR="00651853" w:rsidRPr="009A515A" w:rsidRDefault="00000000">
            <w:r w:rsidRPr="009A515A">
              <w:t>It was easy to navigate the brand’s metaverse space.</w:t>
            </w:r>
          </w:p>
        </w:tc>
      </w:tr>
      <w:tr w:rsidR="00651853" w:rsidRPr="009A515A" w14:paraId="7BCD591A" w14:textId="77777777">
        <w:tc>
          <w:tcPr>
            <w:tcW w:w="3009" w:type="dxa"/>
          </w:tcPr>
          <w:p w14:paraId="503419CC" w14:textId="77777777" w:rsidR="00651853" w:rsidRPr="009A515A" w:rsidRDefault="00651853"/>
        </w:tc>
        <w:tc>
          <w:tcPr>
            <w:tcW w:w="3009" w:type="dxa"/>
          </w:tcPr>
          <w:p w14:paraId="79CE8BA9" w14:textId="77777777" w:rsidR="00651853" w:rsidRPr="009A515A" w:rsidRDefault="00000000">
            <w:r w:rsidRPr="009A515A">
              <w:t>UX_3</w:t>
            </w:r>
          </w:p>
        </w:tc>
        <w:tc>
          <w:tcPr>
            <w:tcW w:w="3009" w:type="dxa"/>
          </w:tcPr>
          <w:p w14:paraId="03D0C976" w14:textId="77777777" w:rsidR="00651853" w:rsidRPr="009A515A" w:rsidRDefault="00000000">
            <w:r w:rsidRPr="009A515A">
              <w:t>The brand’s metaverse environment was visually appealing.</w:t>
            </w:r>
          </w:p>
        </w:tc>
      </w:tr>
      <w:tr w:rsidR="00651853" w:rsidRPr="009A515A" w14:paraId="433A3D6F" w14:textId="77777777">
        <w:tc>
          <w:tcPr>
            <w:tcW w:w="3009" w:type="dxa"/>
          </w:tcPr>
          <w:p w14:paraId="0FE04537" w14:textId="77777777" w:rsidR="00651853" w:rsidRPr="009A515A" w:rsidRDefault="00651853"/>
        </w:tc>
        <w:tc>
          <w:tcPr>
            <w:tcW w:w="3009" w:type="dxa"/>
          </w:tcPr>
          <w:p w14:paraId="29CC11BE" w14:textId="77777777" w:rsidR="00651853" w:rsidRPr="009A515A" w:rsidRDefault="00000000">
            <w:r w:rsidRPr="009A515A">
              <w:t>UX_4</w:t>
            </w:r>
          </w:p>
        </w:tc>
        <w:tc>
          <w:tcPr>
            <w:tcW w:w="3009" w:type="dxa"/>
          </w:tcPr>
          <w:p w14:paraId="14D179CC" w14:textId="77777777" w:rsidR="00651853" w:rsidRPr="009A515A" w:rsidRDefault="00000000">
            <w:r w:rsidRPr="009A515A">
              <w:t>The brand’s metaverse space was aesthetically pleasing.</w:t>
            </w:r>
          </w:p>
        </w:tc>
      </w:tr>
      <w:tr w:rsidR="00651853" w:rsidRPr="009A515A" w14:paraId="1A10752F" w14:textId="77777777">
        <w:tc>
          <w:tcPr>
            <w:tcW w:w="3009" w:type="dxa"/>
          </w:tcPr>
          <w:p w14:paraId="2C539940" w14:textId="77777777" w:rsidR="00651853" w:rsidRPr="009A515A" w:rsidRDefault="00651853"/>
        </w:tc>
        <w:tc>
          <w:tcPr>
            <w:tcW w:w="3009" w:type="dxa"/>
          </w:tcPr>
          <w:p w14:paraId="1E2B027F" w14:textId="77777777" w:rsidR="00651853" w:rsidRPr="009A515A" w:rsidRDefault="00000000">
            <w:r w:rsidRPr="009A515A">
              <w:t>UX_5</w:t>
            </w:r>
          </w:p>
        </w:tc>
        <w:tc>
          <w:tcPr>
            <w:tcW w:w="3009" w:type="dxa"/>
          </w:tcPr>
          <w:p w14:paraId="730B783B" w14:textId="77777777" w:rsidR="00651853" w:rsidRPr="009A515A" w:rsidRDefault="00000000">
            <w:r w:rsidRPr="009A515A">
              <w:t>I felt present in the brand’s metaverse environment.</w:t>
            </w:r>
          </w:p>
        </w:tc>
      </w:tr>
      <w:tr w:rsidR="00651853" w:rsidRPr="009A515A" w14:paraId="00549949" w14:textId="77777777">
        <w:tc>
          <w:tcPr>
            <w:tcW w:w="3009" w:type="dxa"/>
          </w:tcPr>
          <w:p w14:paraId="046C4865" w14:textId="77777777" w:rsidR="00651853" w:rsidRPr="009A515A" w:rsidRDefault="00651853"/>
        </w:tc>
        <w:tc>
          <w:tcPr>
            <w:tcW w:w="3009" w:type="dxa"/>
          </w:tcPr>
          <w:p w14:paraId="492206A2" w14:textId="77777777" w:rsidR="00651853" w:rsidRPr="009A515A" w:rsidRDefault="00000000">
            <w:r w:rsidRPr="009A515A">
              <w:t>UX_6</w:t>
            </w:r>
          </w:p>
        </w:tc>
        <w:tc>
          <w:tcPr>
            <w:tcW w:w="3009" w:type="dxa"/>
          </w:tcPr>
          <w:p w14:paraId="39655AAE" w14:textId="77777777" w:rsidR="00651853" w:rsidRPr="009A515A" w:rsidRDefault="00000000">
            <w:r w:rsidRPr="009A515A">
              <w:t>The brand’s metaverse environment felt realistic.</w:t>
            </w:r>
          </w:p>
        </w:tc>
      </w:tr>
      <w:tr w:rsidR="00651853" w:rsidRPr="009A515A" w14:paraId="154F8312" w14:textId="77777777">
        <w:tc>
          <w:tcPr>
            <w:tcW w:w="3009" w:type="dxa"/>
          </w:tcPr>
          <w:p w14:paraId="4889315A" w14:textId="77777777" w:rsidR="00651853" w:rsidRPr="009A515A" w:rsidRDefault="00651853"/>
        </w:tc>
        <w:tc>
          <w:tcPr>
            <w:tcW w:w="3009" w:type="dxa"/>
          </w:tcPr>
          <w:p w14:paraId="52372D80" w14:textId="77777777" w:rsidR="00651853" w:rsidRPr="009A515A" w:rsidRDefault="00000000">
            <w:r w:rsidRPr="009A515A">
              <w:t>UX_7</w:t>
            </w:r>
          </w:p>
        </w:tc>
        <w:tc>
          <w:tcPr>
            <w:tcW w:w="3009" w:type="dxa"/>
          </w:tcPr>
          <w:p w14:paraId="29D96DA1" w14:textId="77777777" w:rsidR="00651853" w:rsidRPr="009A515A" w:rsidRDefault="00000000">
            <w:r w:rsidRPr="009A515A">
              <w:t>The sensory quality (visuals and sound) of the experience was high.</w:t>
            </w:r>
          </w:p>
        </w:tc>
      </w:tr>
      <w:tr w:rsidR="00651853" w:rsidRPr="009A515A" w14:paraId="60BBD334" w14:textId="77777777">
        <w:tc>
          <w:tcPr>
            <w:tcW w:w="3009" w:type="dxa"/>
          </w:tcPr>
          <w:p w14:paraId="26640B41" w14:textId="77777777" w:rsidR="00651853" w:rsidRPr="009A515A" w:rsidRDefault="00651853"/>
        </w:tc>
        <w:tc>
          <w:tcPr>
            <w:tcW w:w="3009" w:type="dxa"/>
          </w:tcPr>
          <w:p w14:paraId="67107B8D" w14:textId="77777777" w:rsidR="00651853" w:rsidRPr="009A515A" w:rsidRDefault="00000000">
            <w:r w:rsidRPr="009A515A">
              <w:t>UX_8</w:t>
            </w:r>
          </w:p>
        </w:tc>
        <w:tc>
          <w:tcPr>
            <w:tcW w:w="3009" w:type="dxa"/>
          </w:tcPr>
          <w:p w14:paraId="7E60C03D" w14:textId="77777777" w:rsidR="00651853" w:rsidRPr="009A515A" w:rsidRDefault="00000000">
            <w:r w:rsidRPr="009A515A">
              <w:t>The experience responded smoothly to my actions.</w:t>
            </w:r>
          </w:p>
        </w:tc>
      </w:tr>
      <w:tr w:rsidR="00651853" w:rsidRPr="009A515A" w14:paraId="36DA8220" w14:textId="77777777">
        <w:tc>
          <w:tcPr>
            <w:tcW w:w="3009" w:type="dxa"/>
          </w:tcPr>
          <w:p w14:paraId="20A25313" w14:textId="77777777" w:rsidR="00651853" w:rsidRPr="009A515A" w:rsidRDefault="00651853"/>
        </w:tc>
        <w:tc>
          <w:tcPr>
            <w:tcW w:w="3009" w:type="dxa"/>
          </w:tcPr>
          <w:p w14:paraId="0E59C9EF" w14:textId="77777777" w:rsidR="00651853" w:rsidRPr="009A515A" w:rsidRDefault="00000000">
            <w:r w:rsidRPr="009A515A">
              <w:t>UX_9</w:t>
            </w:r>
          </w:p>
        </w:tc>
        <w:tc>
          <w:tcPr>
            <w:tcW w:w="3009" w:type="dxa"/>
          </w:tcPr>
          <w:p w14:paraId="25A49AFC" w14:textId="77777777" w:rsidR="00651853" w:rsidRPr="009A515A" w:rsidRDefault="00000000">
            <w:r w:rsidRPr="009A515A">
              <w:t>I felt immersed in the brand’s metaverse environment.</w:t>
            </w:r>
          </w:p>
        </w:tc>
      </w:tr>
      <w:tr w:rsidR="00651853" w:rsidRPr="009A515A" w14:paraId="291F4B49" w14:textId="77777777">
        <w:tc>
          <w:tcPr>
            <w:tcW w:w="3009" w:type="dxa"/>
          </w:tcPr>
          <w:p w14:paraId="77BED186" w14:textId="77777777" w:rsidR="00651853" w:rsidRPr="009A515A" w:rsidRDefault="00651853"/>
        </w:tc>
        <w:tc>
          <w:tcPr>
            <w:tcW w:w="3009" w:type="dxa"/>
          </w:tcPr>
          <w:p w14:paraId="6E7901F4" w14:textId="77777777" w:rsidR="00651853" w:rsidRPr="009A515A" w:rsidRDefault="00000000">
            <w:r w:rsidRPr="009A515A">
              <w:t>UX_10</w:t>
            </w:r>
          </w:p>
        </w:tc>
        <w:tc>
          <w:tcPr>
            <w:tcW w:w="3009" w:type="dxa"/>
          </w:tcPr>
          <w:p w14:paraId="334CECA5" w14:textId="77777777" w:rsidR="00651853" w:rsidRPr="009A515A" w:rsidRDefault="00000000">
            <w:r w:rsidRPr="009A515A">
              <w:t>Overall, the brand’s metaverse experience was of high quality.</w:t>
            </w:r>
          </w:p>
        </w:tc>
      </w:tr>
      <w:tr w:rsidR="00651853" w:rsidRPr="009A515A" w14:paraId="5B4B6ED7" w14:textId="77777777">
        <w:tc>
          <w:tcPr>
            <w:tcW w:w="3009" w:type="dxa"/>
          </w:tcPr>
          <w:p w14:paraId="30980517" w14:textId="192E2E43" w:rsidR="00651853" w:rsidRPr="009A515A" w:rsidRDefault="00000000">
            <w:r w:rsidRPr="009A515A">
              <w:t xml:space="preserve">Brand Satisfaction (BSAT) </w:t>
            </w:r>
            <w:r w:rsidR="009B694E">
              <w:t xml:space="preserve"> </w:t>
            </w:r>
            <w:r w:rsidRPr="009A515A">
              <w:t xml:space="preserve"> adapted from Fornell et al. (1996)</w:t>
            </w:r>
          </w:p>
        </w:tc>
        <w:tc>
          <w:tcPr>
            <w:tcW w:w="3009" w:type="dxa"/>
          </w:tcPr>
          <w:p w14:paraId="53080777" w14:textId="77777777" w:rsidR="00651853" w:rsidRPr="009A515A" w:rsidRDefault="00000000">
            <w:r w:rsidRPr="009A515A">
              <w:t>BSAT_1</w:t>
            </w:r>
          </w:p>
        </w:tc>
        <w:tc>
          <w:tcPr>
            <w:tcW w:w="3009" w:type="dxa"/>
          </w:tcPr>
          <w:p w14:paraId="76133E56" w14:textId="77777777" w:rsidR="00651853" w:rsidRPr="009A515A" w:rsidRDefault="00000000">
            <w:r w:rsidRPr="009A515A">
              <w:t>Overall, I am satisfied with the brand’s presence in the metaverse.</w:t>
            </w:r>
          </w:p>
        </w:tc>
      </w:tr>
      <w:tr w:rsidR="00651853" w:rsidRPr="009A515A" w14:paraId="781B2589" w14:textId="77777777">
        <w:tc>
          <w:tcPr>
            <w:tcW w:w="3009" w:type="dxa"/>
          </w:tcPr>
          <w:p w14:paraId="77E802D9" w14:textId="77777777" w:rsidR="00651853" w:rsidRPr="009A515A" w:rsidRDefault="00651853"/>
        </w:tc>
        <w:tc>
          <w:tcPr>
            <w:tcW w:w="3009" w:type="dxa"/>
          </w:tcPr>
          <w:p w14:paraId="1AC22962" w14:textId="77777777" w:rsidR="00651853" w:rsidRPr="009A515A" w:rsidRDefault="00000000">
            <w:r w:rsidRPr="009A515A">
              <w:t>BSAT_2</w:t>
            </w:r>
          </w:p>
        </w:tc>
        <w:tc>
          <w:tcPr>
            <w:tcW w:w="3009" w:type="dxa"/>
          </w:tcPr>
          <w:p w14:paraId="25BA5352" w14:textId="77777777" w:rsidR="00651853" w:rsidRPr="009A515A" w:rsidRDefault="00000000">
            <w:r w:rsidRPr="009A515A">
              <w:t>The brand’s metaverse experience met my expectations.</w:t>
            </w:r>
          </w:p>
        </w:tc>
      </w:tr>
      <w:tr w:rsidR="00651853" w:rsidRPr="009A515A" w14:paraId="0388FD62" w14:textId="77777777">
        <w:tc>
          <w:tcPr>
            <w:tcW w:w="3009" w:type="dxa"/>
          </w:tcPr>
          <w:p w14:paraId="447BF42D" w14:textId="77777777" w:rsidR="00651853" w:rsidRPr="009A515A" w:rsidRDefault="00651853"/>
        </w:tc>
        <w:tc>
          <w:tcPr>
            <w:tcW w:w="3009" w:type="dxa"/>
          </w:tcPr>
          <w:p w14:paraId="6253427B" w14:textId="77777777" w:rsidR="00651853" w:rsidRPr="009A515A" w:rsidRDefault="00000000">
            <w:r w:rsidRPr="009A515A">
              <w:t>BSAT_3</w:t>
            </w:r>
          </w:p>
        </w:tc>
        <w:tc>
          <w:tcPr>
            <w:tcW w:w="3009" w:type="dxa"/>
          </w:tcPr>
          <w:p w14:paraId="2F2A443F" w14:textId="77777777" w:rsidR="00651853" w:rsidRPr="009A515A" w:rsidRDefault="00000000">
            <w:r w:rsidRPr="009A515A">
              <w:t>The brand’s metaverse experience came close to my ideal.</w:t>
            </w:r>
          </w:p>
        </w:tc>
      </w:tr>
      <w:tr w:rsidR="00651853" w:rsidRPr="009A515A" w14:paraId="4E99F5E8" w14:textId="77777777">
        <w:tc>
          <w:tcPr>
            <w:tcW w:w="3009" w:type="dxa"/>
          </w:tcPr>
          <w:p w14:paraId="396D3992" w14:textId="77777777" w:rsidR="00651853" w:rsidRPr="009A515A" w:rsidRDefault="00651853"/>
        </w:tc>
        <w:tc>
          <w:tcPr>
            <w:tcW w:w="3009" w:type="dxa"/>
          </w:tcPr>
          <w:p w14:paraId="2E466CE2" w14:textId="77777777" w:rsidR="00651853" w:rsidRPr="009A515A" w:rsidRDefault="00000000">
            <w:r w:rsidRPr="009A515A">
              <w:t>BSAT_4</w:t>
            </w:r>
          </w:p>
        </w:tc>
        <w:tc>
          <w:tcPr>
            <w:tcW w:w="3009" w:type="dxa"/>
          </w:tcPr>
          <w:p w14:paraId="5ECBE195" w14:textId="77777777" w:rsidR="00651853" w:rsidRPr="009A515A" w:rsidRDefault="00000000">
            <w:r w:rsidRPr="009A515A">
              <w:t>I am pleased with my experience of the brand in the metaverse.</w:t>
            </w:r>
          </w:p>
        </w:tc>
      </w:tr>
      <w:tr w:rsidR="00651853" w:rsidRPr="009A515A" w14:paraId="1C41BF0B" w14:textId="77777777">
        <w:tc>
          <w:tcPr>
            <w:tcW w:w="3009" w:type="dxa"/>
          </w:tcPr>
          <w:p w14:paraId="037BAAE3" w14:textId="77777777" w:rsidR="00651853" w:rsidRPr="009A515A" w:rsidRDefault="00651853"/>
        </w:tc>
        <w:tc>
          <w:tcPr>
            <w:tcW w:w="3009" w:type="dxa"/>
          </w:tcPr>
          <w:p w14:paraId="3A5785A1" w14:textId="77777777" w:rsidR="00651853" w:rsidRPr="009A515A" w:rsidRDefault="00000000">
            <w:r w:rsidRPr="009A515A">
              <w:t>BSAT_5</w:t>
            </w:r>
          </w:p>
        </w:tc>
        <w:tc>
          <w:tcPr>
            <w:tcW w:w="3009" w:type="dxa"/>
          </w:tcPr>
          <w:p w14:paraId="4AAE500C" w14:textId="77777777" w:rsidR="00651853" w:rsidRPr="009A515A" w:rsidRDefault="00000000">
            <w:r w:rsidRPr="009A515A">
              <w:t>The brand’s metaverse offering was satisfactory.</w:t>
            </w:r>
          </w:p>
        </w:tc>
      </w:tr>
      <w:tr w:rsidR="00651853" w:rsidRPr="009A515A" w14:paraId="584BD8E0" w14:textId="77777777">
        <w:tc>
          <w:tcPr>
            <w:tcW w:w="3009" w:type="dxa"/>
          </w:tcPr>
          <w:p w14:paraId="214AC4F1" w14:textId="05D6BB02" w:rsidR="00651853" w:rsidRPr="009A515A" w:rsidRDefault="00000000">
            <w:r w:rsidRPr="009A515A">
              <w:t xml:space="preserve">Brand Success (BSUC) </w:t>
            </w:r>
            <w:r w:rsidR="009B694E">
              <w:t xml:space="preserve"> </w:t>
            </w:r>
            <w:r w:rsidRPr="009A515A">
              <w:t xml:space="preserve"> developed for this study, drawing on Mathwick et al. (2008)</w:t>
            </w:r>
          </w:p>
        </w:tc>
        <w:tc>
          <w:tcPr>
            <w:tcW w:w="3009" w:type="dxa"/>
          </w:tcPr>
          <w:p w14:paraId="4C721104" w14:textId="77777777" w:rsidR="00651853" w:rsidRPr="009A515A" w:rsidRDefault="00000000">
            <w:r w:rsidRPr="009A515A">
              <w:t>BSUC_1</w:t>
            </w:r>
          </w:p>
        </w:tc>
        <w:tc>
          <w:tcPr>
            <w:tcW w:w="3009" w:type="dxa"/>
          </w:tcPr>
          <w:p w14:paraId="4F039A86" w14:textId="77777777" w:rsidR="00651853" w:rsidRPr="009A515A" w:rsidRDefault="00000000">
            <w:r w:rsidRPr="009A515A">
              <w:t>This brand stands out from competitors in the metaverse.</w:t>
            </w:r>
          </w:p>
        </w:tc>
      </w:tr>
      <w:tr w:rsidR="00651853" w:rsidRPr="009A515A" w14:paraId="64A92E83" w14:textId="77777777">
        <w:tc>
          <w:tcPr>
            <w:tcW w:w="3009" w:type="dxa"/>
          </w:tcPr>
          <w:p w14:paraId="70CBED2D" w14:textId="77777777" w:rsidR="00651853" w:rsidRPr="009A515A" w:rsidRDefault="00651853"/>
        </w:tc>
        <w:tc>
          <w:tcPr>
            <w:tcW w:w="3009" w:type="dxa"/>
          </w:tcPr>
          <w:p w14:paraId="5A56D573" w14:textId="77777777" w:rsidR="00651853" w:rsidRPr="009A515A" w:rsidRDefault="00000000">
            <w:r w:rsidRPr="009A515A">
              <w:t>BSUC_2</w:t>
            </w:r>
          </w:p>
        </w:tc>
        <w:tc>
          <w:tcPr>
            <w:tcW w:w="3009" w:type="dxa"/>
          </w:tcPr>
          <w:p w14:paraId="50479197" w14:textId="77777777" w:rsidR="00651853" w:rsidRPr="009A515A" w:rsidRDefault="00000000">
            <w:r w:rsidRPr="009A515A">
              <w:t>I would choose this brand over others because of its metaverse presence.</w:t>
            </w:r>
          </w:p>
        </w:tc>
      </w:tr>
      <w:tr w:rsidR="00651853" w:rsidRPr="009A515A" w14:paraId="37D2E399" w14:textId="77777777">
        <w:tc>
          <w:tcPr>
            <w:tcW w:w="3009" w:type="dxa"/>
          </w:tcPr>
          <w:p w14:paraId="496A3D91" w14:textId="77777777" w:rsidR="00651853" w:rsidRPr="009A515A" w:rsidRDefault="00651853"/>
        </w:tc>
        <w:tc>
          <w:tcPr>
            <w:tcW w:w="3009" w:type="dxa"/>
          </w:tcPr>
          <w:p w14:paraId="0BC8C5AF" w14:textId="77777777" w:rsidR="00651853" w:rsidRPr="009A515A" w:rsidRDefault="00000000">
            <w:r w:rsidRPr="009A515A">
              <w:t>BSUC_3</w:t>
            </w:r>
          </w:p>
        </w:tc>
        <w:tc>
          <w:tcPr>
            <w:tcW w:w="3009" w:type="dxa"/>
          </w:tcPr>
          <w:p w14:paraId="30549488" w14:textId="77777777" w:rsidR="00651853" w:rsidRPr="009A515A" w:rsidRDefault="00000000">
            <w:r w:rsidRPr="009A515A">
              <w:t>I would speak positively about this brand to others.</w:t>
            </w:r>
          </w:p>
        </w:tc>
      </w:tr>
      <w:tr w:rsidR="00651853" w:rsidRPr="009A515A" w14:paraId="79D29AF8" w14:textId="77777777">
        <w:tc>
          <w:tcPr>
            <w:tcW w:w="3009" w:type="dxa"/>
          </w:tcPr>
          <w:p w14:paraId="30723548" w14:textId="77777777" w:rsidR="00651853" w:rsidRPr="009A515A" w:rsidRDefault="00651853"/>
        </w:tc>
        <w:tc>
          <w:tcPr>
            <w:tcW w:w="3009" w:type="dxa"/>
          </w:tcPr>
          <w:p w14:paraId="2872D6B0" w14:textId="77777777" w:rsidR="00651853" w:rsidRPr="009A515A" w:rsidRDefault="00000000">
            <w:r w:rsidRPr="009A515A">
              <w:t>BSUC_4</w:t>
            </w:r>
          </w:p>
        </w:tc>
        <w:tc>
          <w:tcPr>
            <w:tcW w:w="3009" w:type="dxa"/>
          </w:tcPr>
          <w:p w14:paraId="58A2D502" w14:textId="77777777" w:rsidR="00651853" w:rsidRPr="009A515A" w:rsidRDefault="00000000">
            <w:r w:rsidRPr="009A515A">
              <w:t>The brand has a competitive advantage in the metaverse.</w:t>
            </w:r>
          </w:p>
        </w:tc>
      </w:tr>
    </w:tbl>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5" w:history="1">
        <w:r w:rsidRPr="009A515A">
          <w:rPr>
            <w:rStyle w:val="Hyperlink"/>
          </w:rPr>
          <w:t>https://doi.org/10.1108/intr-01-2024-0030</w:t>
        </w:r>
      </w:hyperlink>
    </w:p>
    <w:p w14:paraId="0FEE2DD3" w14:textId="77777777" w:rsidR="001F4649" w:rsidRPr="009A515A" w:rsidRDefault="001F4649" w:rsidP="00D05FD0">
      <w:pPr>
        <w:shd w:val="clear" w:color="auto" w:fill="FFFFFF" w:themeFill="background1"/>
        <w:spacing w:line="360" w:lineRule="auto"/>
        <w:ind w:left="720" w:hanging="720"/>
        <w:jc w:val="both"/>
      </w:pPr>
      <w:bookmarkStart w:id="2" w:name="_Hlk199329179"/>
      <w:r w:rsidRPr="009A515A">
        <w:lastRenderedPageBreak/>
        <w:t>Agnihotri</w:t>
      </w:r>
      <w:bookmarkEnd w:id="2"/>
      <w:r w:rsidRPr="009A515A">
        <w:t>, R. (2020). Social media, customer engagement, and sales organizations: A research agenda. </w:t>
      </w:r>
      <w:r w:rsidRPr="009A515A">
        <w:rPr>
          <w:i/>
          <w:iCs/>
        </w:rPr>
        <w:t>Industrial Marketing Management</w:t>
      </w:r>
      <w:r w:rsidRPr="009A515A">
        <w:t>, </w:t>
      </w:r>
      <w:r w:rsidRPr="009A515A">
        <w:rPr>
          <w:i/>
          <w:iCs/>
        </w:rPr>
        <w:t>90</w:t>
      </w:r>
      <w:r w:rsidRPr="009A515A">
        <w:t>, 291-299.</w:t>
      </w:r>
    </w:p>
    <w:p w14:paraId="3F60A18A" w14:textId="77777777" w:rsidR="001F4649" w:rsidRPr="009A515A" w:rsidRDefault="001F4649" w:rsidP="00D05FD0">
      <w:pPr>
        <w:shd w:val="clear" w:color="auto" w:fill="FFFFFF" w:themeFill="background1"/>
        <w:spacing w:line="360" w:lineRule="auto"/>
        <w:ind w:left="720" w:hanging="720"/>
        <w:jc w:val="both"/>
      </w:pPr>
      <w:bookmarkStart w:id="3" w:name="_Hlk199425535"/>
      <w:r w:rsidRPr="009A515A">
        <w:t>Alshater</w:t>
      </w:r>
      <w:bookmarkEnd w:id="3"/>
      <w:r w:rsidRPr="009A515A">
        <w:t>, M. M., Nasrallah, N., Khoury, R., and Joshipura, M. (2024). Deciphering the world of NFTs: a scholarly review of trends, challenges, and opportunities. </w:t>
      </w:r>
      <w:r w:rsidRPr="009A515A">
        <w:rPr>
          <w:i/>
          <w:iCs/>
        </w:rPr>
        <w:t>Electronic Commerce Research</w:t>
      </w:r>
      <w:r w:rsidRPr="009A515A">
        <w:t>, 1-57.</w:t>
      </w:r>
    </w:p>
    <w:p w14:paraId="7921F336" w14:textId="77777777" w:rsidR="001F4649" w:rsidRPr="009A515A" w:rsidRDefault="001F4649" w:rsidP="00D05FD0">
      <w:pPr>
        <w:shd w:val="clear" w:color="auto" w:fill="FFFFFF" w:themeFill="background1"/>
        <w:spacing w:line="360" w:lineRule="auto"/>
        <w:ind w:left="720" w:hanging="720"/>
        <w:jc w:val="both"/>
      </w:pPr>
      <w:r w:rsidRPr="009A515A">
        <w:t>Anderson, K. C., Hansen, H., and Laverie, D. (2024). Technology has Agency too! Disentangling Technology's Causal and Structural Agency in a Service System. </w:t>
      </w:r>
      <w:r w:rsidRPr="009A515A">
        <w:rPr>
          <w:i/>
          <w:iCs/>
        </w:rPr>
        <w:t>Journal of Macromarketing</w:t>
      </w:r>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F517C46" w14:textId="77777777" w:rsidR="001F4649" w:rsidRPr="009A515A" w:rsidRDefault="001F4649" w:rsidP="00D05FD0">
      <w:pPr>
        <w:shd w:val="clear" w:color="auto" w:fill="FFFFFF" w:themeFill="background1"/>
        <w:spacing w:line="360" w:lineRule="auto"/>
        <w:ind w:left="720" w:hanging="720"/>
        <w:jc w:val="both"/>
      </w:pPr>
      <w:r w:rsidRPr="009A515A">
        <w:t>Arya, V., Sethi, D., and Hollebeek, L. D. (2024b). Using augmented reality to strengthen consumer/brand relationships: the case of luxury brands. </w:t>
      </w:r>
      <w:r w:rsidRPr="009A515A">
        <w:rPr>
          <w:i/>
          <w:iCs/>
        </w:rPr>
        <w:t>Journal of Consumer Behaviour</w:t>
      </w:r>
      <w:r w:rsidRPr="009A515A">
        <w:t xml:space="preserve">. </w:t>
      </w:r>
      <w:hyperlink r:id="rId16" w:tgtFrame="_blank" w:history="1">
        <w:r w:rsidRPr="009A515A">
          <w:rPr>
            <w:rStyle w:val="Hyperlink"/>
          </w:rPr>
          <w:t>https://doi.org/10.1002/cb.2419</w:t>
        </w:r>
      </w:hyperlink>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Bilgihan,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4" w:name="_Hlk199423080"/>
      <w:r w:rsidRPr="009A515A">
        <w:t>Brandes, L., and Dölp, K. (2025)</w:t>
      </w:r>
      <w:bookmarkEnd w:id="4"/>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7"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Brodie, R. J., Hollebeek,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5" w:name="_Hlk199422160"/>
      <w:r w:rsidRPr="009A515A">
        <w:lastRenderedPageBreak/>
        <w:t>Brouard</w:t>
      </w:r>
      <w:bookmarkEnd w:id="5"/>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8"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r w:rsidRPr="009A515A">
        <w:rPr>
          <w:lang w:val="fr-FR"/>
        </w:rPr>
        <w:t xml:space="preserve">Buhalis, D., Leung, D., and Lin, M. (2023). </w:t>
      </w:r>
      <w:r w:rsidRPr="009A515A">
        <w:t>Metaverse as a disruptive technology revolutionising tourism management and marketing. </w:t>
      </w:r>
      <w:r w:rsidRPr="009A515A">
        <w:rPr>
          <w:i/>
          <w:iCs/>
        </w:rPr>
        <w:t>Tourism management</w:t>
      </w:r>
      <w:r w:rsidRPr="009A515A">
        <w:t>, </w:t>
      </w:r>
      <w:r w:rsidRPr="009A515A">
        <w:rPr>
          <w:i/>
          <w:iCs/>
        </w:rPr>
        <w:t>97</w:t>
      </w:r>
      <w:r w:rsidRPr="009A515A">
        <w:t>,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6" w:name="_Hlk199421309"/>
      <w:r w:rsidRPr="009A515A">
        <w:t>Cadet</w:t>
      </w:r>
      <w:bookmarkEnd w:id="6"/>
      <w:r w:rsidRPr="009A515A">
        <w:t xml:space="preserve">, L. B., and </w:t>
      </w:r>
      <w:bookmarkStart w:id="7" w:name="_Hlk199421317"/>
      <w:r w:rsidRPr="009A515A">
        <w:t>Chainay</w:t>
      </w:r>
      <w:bookmarkEnd w:id="7"/>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Chandra, S., Verma, S., Lim, W. M., Kumar, S., and Donthu,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Acta Psychologica</w:t>
      </w:r>
      <w:r w:rsidRPr="009A515A">
        <w:rPr>
          <w:color w:val="000000" w:themeColor="text1"/>
        </w:rPr>
        <w:t>, </w:t>
      </w:r>
      <w:r w:rsidRPr="009A515A">
        <w:rPr>
          <w:i/>
          <w:iCs/>
          <w:color w:val="000000" w:themeColor="text1"/>
        </w:rPr>
        <w:t>248</w:t>
      </w:r>
      <w:r w:rsidRPr="009A515A">
        <w:rPr>
          <w:color w:val="000000" w:themeColor="text1"/>
        </w:rPr>
        <w:t>, 104424.</w:t>
      </w:r>
    </w:p>
    <w:p w14:paraId="080C52FB"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8" w:name="_Hlk199424230"/>
      <w:r w:rsidRPr="009A515A">
        <w:rPr>
          <w:color w:val="000000" w:themeColor="text1"/>
        </w:rPr>
        <w:t>Corne</w:t>
      </w:r>
      <w:bookmarkEnd w:id="8"/>
      <w:r w:rsidRPr="009A515A">
        <w:rPr>
          <w:color w:val="000000" w:themeColor="text1"/>
        </w:rPr>
        <w:t>, A., Massot, V., and Merasli, S. (2023). The determinants of the adoption of blockchain technology in the tourism sector and metaverse perspectives. </w:t>
      </w:r>
      <w:r w:rsidRPr="009A515A">
        <w:rPr>
          <w:i/>
          <w:iCs/>
          <w:color w:val="000000" w:themeColor="text1"/>
        </w:rPr>
        <w:t>Information Technology and Tourism</w:t>
      </w:r>
      <w:r w:rsidRPr="009A515A">
        <w:rPr>
          <w:color w:val="000000" w:themeColor="text1"/>
        </w:rPr>
        <w:t>, </w:t>
      </w:r>
      <w:r w:rsidRPr="009A515A">
        <w:rPr>
          <w:i/>
          <w:iCs/>
          <w:color w:val="000000" w:themeColor="text1"/>
        </w:rPr>
        <w:t>25</w:t>
      </w:r>
      <w:r w:rsidRPr="009A515A">
        <w:rPr>
          <w:color w:val="000000" w:themeColor="text1"/>
        </w:rPr>
        <w:t>(4), 605-633.</w:t>
      </w:r>
    </w:p>
    <w:p w14:paraId="5BD82D04" w14:textId="77777777" w:rsidR="001F4649" w:rsidRPr="009A515A" w:rsidRDefault="001F4649" w:rsidP="00D05FD0">
      <w:pPr>
        <w:shd w:val="clear" w:color="auto" w:fill="FFFFFF" w:themeFill="background1"/>
        <w:spacing w:line="360" w:lineRule="auto"/>
        <w:ind w:left="720" w:hanging="720"/>
        <w:jc w:val="both"/>
      </w:pPr>
      <w:bookmarkStart w:id="9" w:name="_Hlk199355299"/>
      <w:r w:rsidRPr="009A515A">
        <w:t>Csikszentmihalyi</w:t>
      </w:r>
      <w:bookmarkEnd w:id="9"/>
      <w:r w:rsidRPr="009A515A">
        <w:t>, M., Montijo, M. N., and Mouton, A. R. (2018). Flow theory: Optimizing elite performance in the creative realm. In S. I. Pfeiffer, E. Shaunessy-Dedrick, and M. Foley-Nicpon (Eds.), APA handbook of giftedness and talent (pp. 215–229). American Psychological Association.</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Mihaly. (1990). Flow: The Psychology of Optimal Experience. </w:t>
      </w:r>
      <w:r w:rsidRPr="009A515A">
        <w:rPr>
          <w:i/>
          <w:iCs/>
        </w:rPr>
        <w:t>Journal of Leisure Research</w:t>
      </w:r>
      <w:r w:rsidRPr="009A515A">
        <w:t>, 24(1), pp.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10" w:name="_Hlk199324780"/>
      <w:r w:rsidRPr="009A515A">
        <w:t>Daassi</w:t>
      </w:r>
      <w:bookmarkEnd w:id="10"/>
      <w:r w:rsidRPr="009A515A">
        <w:t>, M., and Debbabi,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Deci, E. L., and Ryan, R. M. (2000). The “What” and “Why” of Goal Pursuits: Human Needs and the Self-Determination of Behavior.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1" w:name="_Hlk199356571"/>
      <w:r w:rsidRPr="009A515A">
        <w:rPr>
          <w:color w:val="000000" w:themeColor="text1"/>
        </w:rPr>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11"/>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Duong, C. D., Ngo, T. V. N., Khuc, T. A., Tran, N. M., and Nguyen, T. P. T. (2025). Unraveling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2" w:name="_Hlk199415064"/>
      <w:r w:rsidRPr="009A515A">
        <w:rPr>
          <w:color w:val="000000" w:themeColor="text1"/>
        </w:rPr>
        <w:t>Dwivedi</w:t>
      </w:r>
      <w:bookmarkEnd w:id="12"/>
      <w:r w:rsidRPr="009A515A">
        <w:rPr>
          <w:color w:val="000000" w:themeColor="text1"/>
        </w:rPr>
        <w:t>, Y. K., Hughes, L., Wang, Y., Alalwan,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t>Eggenschwiler, M., Linzmajer,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6CD561AB" w14:textId="77777777" w:rsidR="001F4649" w:rsidRPr="009A515A" w:rsidRDefault="001F4649" w:rsidP="00D05FD0">
      <w:pPr>
        <w:shd w:val="clear" w:color="auto" w:fill="FFFFFF" w:themeFill="background1"/>
        <w:spacing w:line="360" w:lineRule="auto"/>
        <w:ind w:left="720" w:hanging="720"/>
        <w:jc w:val="both"/>
      </w:pPr>
      <w:bookmarkStart w:id="13" w:name="_Hlk199324225"/>
      <w:r w:rsidRPr="009A515A">
        <w:t>Fan</w:t>
      </w:r>
      <w:bookmarkEnd w:id="13"/>
      <w:r w:rsidRPr="009A515A">
        <w:t>, X., Jiang, X., and Deng, N. (2022). Immersive technology: A meta-analysis of augmented/virtual reality applications and their impact on tourism experience. </w:t>
      </w:r>
      <w:r w:rsidRPr="009A515A">
        <w:rPr>
          <w:i/>
          <w:iCs/>
        </w:rPr>
        <w:t>Tourism Management</w:t>
      </w:r>
      <w:r w:rsidRPr="009A515A">
        <w:t>, </w:t>
      </w:r>
      <w:r w:rsidRPr="009A515A">
        <w:rPr>
          <w:i/>
          <w:iCs/>
        </w:rPr>
        <w:t>91</w:t>
      </w:r>
      <w:r w:rsidRPr="009A515A">
        <w:t>, 104534.</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Fornell, Claes, Michael D. Johnson, Eugene W. Anderson, Jaesung Cha, and Barbara Everitt Bryant. "The American customer satisfaction index: nature, purpose, and findings." </w:t>
      </w:r>
      <w:r w:rsidRPr="009A515A">
        <w:rPr>
          <w:i/>
          <w:iCs/>
        </w:rPr>
        <w:t>Journal of Marketing</w:t>
      </w:r>
      <w:r w:rsidRPr="009A515A">
        <w:t> 60, no. 4 (1996): 7-18.</w:t>
      </w:r>
    </w:p>
    <w:p w14:paraId="1DEA3E26" w14:textId="77777777" w:rsidR="001F4649" w:rsidRPr="009A515A" w:rsidRDefault="001F4649" w:rsidP="00D05FD0">
      <w:pPr>
        <w:shd w:val="clear" w:color="auto" w:fill="FFFFFF" w:themeFill="background1"/>
        <w:spacing w:line="360" w:lineRule="auto"/>
        <w:ind w:left="720" w:hanging="720"/>
        <w:jc w:val="both"/>
      </w:pPr>
      <w:bookmarkStart w:id="14" w:name="_Hlk199425029"/>
      <w:r w:rsidRPr="009A515A">
        <w:t>Fritze</w:t>
      </w:r>
      <w:bookmarkEnd w:id="14"/>
      <w:r w:rsidRPr="009A515A">
        <w:t>, M. P., Marchand, A., Eisingerich, A. B., and Benkenstein, M. (2020). Access-based services as substitutes for material possessions: the role of psychological ownership. </w:t>
      </w:r>
      <w:r w:rsidRPr="009A515A">
        <w:rPr>
          <w:i/>
          <w:iCs/>
        </w:rPr>
        <w:t>Journal of Service Research</w:t>
      </w:r>
      <w:r w:rsidRPr="009A515A">
        <w:t>, </w:t>
      </w:r>
      <w:r w:rsidRPr="009A515A">
        <w:rPr>
          <w:i/>
          <w:iCs/>
        </w:rPr>
        <w:t>23</w:t>
      </w:r>
      <w:r w:rsidRPr="009A515A">
        <w:t>(3), 368-385.</w:t>
      </w:r>
    </w:p>
    <w:p w14:paraId="3E5EFC11" w14:textId="77777777" w:rsidR="001F4649" w:rsidRPr="009A515A" w:rsidRDefault="001F4649" w:rsidP="00D05FD0">
      <w:pPr>
        <w:shd w:val="clear" w:color="auto" w:fill="FFFFFF" w:themeFill="background1"/>
        <w:spacing w:line="360" w:lineRule="auto"/>
        <w:ind w:left="720" w:hanging="720"/>
        <w:jc w:val="both"/>
      </w:pPr>
      <w:r w:rsidRPr="009A515A">
        <w:t>Furnari, S., Crilly, D., Misangyi, V. F., Greckhamer, T., Fiss, P. C., and Aguilera, R. V. (2021). Capturing causal complexity: Heuristics for configurational theorizing. </w:t>
      </w:r>
      <w:r w:rsidRPr="009A515A">
        <w:rPr>
          <w:i/>
          <w:iCs/>
        </w:rPr>
        <w:t>Academy of Management Review</w:t>
      </w:r>
      <w:r w:rsidRPr="009A515A">
        <w:t>, </w:t>
      </w:r>
      <w:r w:rsidRPr="009A515A">
        <w:rPr>
          <w:i/>
          <w:iCs/>
        </w:rPr>
        <w:t>46</w:t>
      </w:r>
      <w:r w:rsidRPr="009A515A">
        <w:t>(4), 778-799.</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5" w:name="_Hlk199356732"/>
      <w:r w:rsidRPr="009A515A">
        <w:rPr>
          <w:color w:val="000000" w:themeColor="text1"/>
          <w:lang w:val="fr-FR"/>
        </w:rPr>
        <w:t>Habachi</w:t>
      </w:r>
      <w:bookmarkEnd w:id="15"/>
      <w:r w:rsidRPr="009A515A">
        <w:rPr>
          <w:color w:val="000000" w:themeColor="text1"/>
          <w:lang w:val="fr-FR"/>
        </w:rPr>
        <w:t xml:space="preserve">, S., Matute, J., and Palau-Saumell, R. (2024). </w:t>
      </w:r>
      <w:r w:rsidRPr="009A515A">
        <w:rPr>
          <w:color w:val="000000" w:themeColor="text1"/>
        </w:rPr>
        <w:t>Gamify, engage, build loyalty: exploring the benefits of gameful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526417E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Jr., J.F., Black, W.C., Babin, B.J. and Anderson, R.E. (2010) Multivariate Data Analysis. 7th Edition, Prentice Hall, Upper Saddle River, 761.</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 F., Risher, J. J., Sarstedt, M., and Ringle, C. M. (2019). When to use and how to report the results of PLS-SEM. </w:t>
      </w:r>
      <w:r w:rsidRPr="009A515A">
        <w:rPr>
          <w:i/>
          <w:iCs/>
          <w:color w:val="000000" w:themeColor="text1"/>
        </w:rPr>
        <w:t>European business review</w:t>
      </w:r>
      <w:r w:rsidRPr="009A515A">
        <w:rPr>
          <w:color w:val="000000" w:themeColor="text1"/>
        </w:rPr>
        <w:t>, </w:t>
      </w:r>
      <w:r w:rsidRPr="009A515A">
        <w:rPr>
          <w:i/>
          <w:iCs/>
          <w:color w:val="000000" w:themeColor="text1"/>
        </w:rPr>
        <w:t>31</w:t>
      </w:r>
      <w:r w:rsidRPr="009A515A">
        <w:rPr>
          <w:color w:val="000000" w:themeColor="text1"/>
        </w:rPr>
        <w:t>(1),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lastRenderedPageBreak/>
        <w:t>Hennig-Thurau, T., Aliman, D. N., Herting, A. M., Cziehso,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Henseler, J., Ringle, C. M., &amp; Sarstedt, M. (2015). A new criterion for assessing discriminant validity in variance-based structural equation modeling. Journal of the academy of marketing science, 43(1), 115-135.</w:t>
      </w:r>
    </w:p>
    <w:p w14:paraId="30D2A4E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Hsieh, J. K., and Tsao, W. C. (2019). Engaging Consumers with Branded Social Media: The Impact of Social Identification, Personal Identification, And Interactivity. </w:t>
      </w:r>
      <w:r w:rsidRPr="009A515A">
        <w:rPr>
          <w:i/>
          <w:iCs/>
          <w:color w:val="000000" w:themeColor="text1"/>
        </w:rPr>
        <w:t>Journal of Business Research</w:t>
      </w:r>
      <w:r w:rsidRPr="009A515A">
        <w:rPr>
          <w:color w:val="000000" w:themeColor="text1"/>
        </w:rPr>
        <w:t>, 96, 382-391.</w:t>
      </w:r>
    </w:p>
    <w:p w14:paraId="1C0C0117"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Huang, Z., and Benyoucef, M. (2013). From E-Commerce to Social Commerce: A Close Look at Design Features. </w:t>
      </w:r>
      <w:r w:rsidRPr="009A515A">
        <w:rPr>
          <w:i/>
          <w:iCs/>
          <w:color w:val="000000" w:themeColor="text1"/>
        </w:rPr>
        <w:t>Electronic Commerce Research and Applications</w:t>
      </w:r>
      <w:r w:rsidRPr="009A515A">
        <w:rPr>
          <w:color w:val="000000" w:themeColor="text1"/>
        </w:rPr>
        <w:t>, 12(4), 246-259.</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w:t>
      </w:r>
      <w:r w:rsidRPr="009A515A">
        <w:rPr>
          <w:i/>
          <w:iCs/>
          <w:lang w:val="fr-FR"/>
        </w:rPr>
        <w:t>RandD Management</w:t>
      </w:r>
      <w:r w:rsidRPr="009A515A">
        <w:rPr>
          <w:lang w:val="fr-FR"/>
        </w:rPr>
        <w:t>, </w:t>
      </w:r>
      <w:r w:rsidRPr="009A515A">
        <w:rPr>
          <w:i/>
          <w:iCs/>
          <w:lang w:val="fr-FR"/>
        </w:rPr>
        <w:t>55</w:t>
      </w:r>
      <w:r w:rsidRPr="009A515A">
        <w:rPr>
          <w:lang w:val="fr-FR"/>
        </w:rPr>
        <w:t>(2), 420-437.</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6" w:name="_Hlk207269168"/>
      <w:r w:rsidRPr="009A515A">
        <w:rPr>
          <w:rFonts w:eastAsia="inter"/>
          <w:bCs/>
          <w:color w:val="000000"/>
          <w:sz w:val="22"/>
        </w:rPr>
        <w:t>Hyeon Jo, Jae Kwang Lee</w:t>
      </w:r>
      <w:bookmarkEnd w:id="16"/>
      <w:r w:rsidRPr="009A515A">
        <w:rPr>
          <w:rFonts w:eastAsia="inter"/>
          <w:bCs/>
          <w:color w:val="000000"/>
          <w:sz w:val="22"/>
        </w:rPr>
        <w:t>; Key Drivers of User Engagement in Game-Based Metaverses: Enjoyment, Escapism, Reward, and Spontaneity. </w:t>
      </w:r>
      <w:r w:rsidRPr="009A515A">
        <w:rPr>
          <w:rFonts w:eastAsia="inter"/>
          <w:bCs/>
          <w:i/>
          <w:iCs/>
          <w:color w:val="000000"/>
          <w:sz w:val="22"/>
        </w:rPr>
        <w:t>PRESENCE: Virtual and Augmented Reality</w:t>
      </w:r>
      <w:r w:rsidRPr="009A515A">
        <w:rPr>
          <w:rFonts w:eastAsia="inter"/>
          <w:bCs/>
          <w:color w:val="000000"/>
          <w:sz w:val="22"/>
        </w:rPr>
        <w:t> 2025; 34 219–241.</w:t>
      </w:r>
    </w:p>
    <w:p w14:paraId="029504BF" w14:textId="77777777" w:rsidR="001F4649" w:rsidRPr="009A515A" w:rsidRDefault="001F4649" w:rsidP="00D05FD0">
      <w:pPr>
        <w:shd w:val="clear" w:color="auto" w:fill="FFFFFF" w:themeFill="background1"/>
        <w:spacing w:line="360" w:lineRule="auto"/>
        <w:ind w:left="720" w:hanging="720"/>
        <w:jc w:val="both"/>
      </w:pPr>
      <w:bookmarkStart w:id="17" w:name="_Hlk199329375"/>
      <w:r w:rsidRPr="009A515A">
        <w:rPr>
          <w:lang w:val="fr-FR"/>
        </w:rPr>
        <w:t>İlkan</w:t>
      </w:r>
      <w:bookmarkEnd w:id="17"/>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073BE960" w14:textId="77777777" w:rsidR="001F4649" w:rsidRPr="009A515A" w:rsidRDefault="001F4649" w:rsidP="00D05FD0">
      <w:pPr>
        <w:shd w:val="clear" w:color="auto" w:fill="FFFFFF" w:themeFill="background1"/>
        <w:spacing w:line="360" w:lineRule="auto"/>
        <w:ind w:left="720" w:hanging="720"/>
        <w:jc w:val="both"/>
      </w:pPr>
      <w:r w:rsidRPr="009A515A">
        <w:t xml:space="preserve">Kenton, W. (2023, January 31). </w:t>
      </w:r>
      <w:r w:rsidRPr="009A515A">
        <w:rPr>
          <w:i/>
          <w:iCs/>
        </w:rPr>
        <w:t>Macromarketing: Meaning Compared to Micromarketing</w:t>
      </w:r>
      <w:r w:rsidRPr="009A515A">
        <w:t xml:space="preserve">. Investopedia. Accessed on June 2024, available at: </w:t>
      </w:r>
      <w:hyperlink r:id="rId19" w:history="1">
        <w:r w:rsidRPr="009A515A">
          <w:rPr>
            <w:rStyle w:val="Hyperlink"/>
          </w:rPr>
          <w:t>https://www.investopedia.com/terms/m/macromarketing.asp</w:t>
        </w:r>
      </w:hyperlink>
      <w:r w:rsidRPr="009A515A">
        <w:t xml:space="preserve"> </w:t>
      </w:r>
    </w:p>
    <w:p w14:paraId="2074C17F" w14:textId="77777777" w:rsidR="001F4649" w:rsidRPr="009A515A" w:rsidRDefault="001F4649" w:rsidP="00D05FD0">
      <w:pPr>
        <w:shd w:val="clear" w:color="auto" w:fill="FFFFFF" w:themeFill="background1"/>
        <w:spacing w:line="360" w:lineRule="auto"/>
        <w:ind w:left="720" w:hanging="720"/>
        <w:jc w:val="both"/>
      </w:pPr>
      <w:r w:rsidRPr="009A515A">
        <w:t xml:space="preserve">Kline, R. B. (2023). </w:t>
      </w:r>
      <w:r w:rsidRPr="009A515A">
        <w:rPr>
          <w:rStyle w:val="Emphasis"/>
        </w:rPr>
        <w:t>Principles and practice of structural equation modeling</w:t>
      </w:r>
      <w:r w:rsidRPr="009A515A">
        <w:t xml:space="preserve"> (5th ed.). The Guilford Press, A Division of Guilford Publications, Inc., 370 Seventh Avenue, Suite 1200, New York, NY 10001.</w:t>
      </w:r>
    </w:p>
    <w:p w14:paraId="3A2FF2C3" w14:textId="77777777" w:rsidR="001F4649" w:rsidRPr="009A515A" w:rsidRDefault="001F4649" w:rsidP="00D05FD0">
      <w:pPr>
        <w:shd w:val="clear" w:color="auto" w:fill="FFFFFF" w:themeFill="background1"/>
        <w:spacing w:line="360" w:lineRule="auto"/>
        <w:ind w:left="720" w:hanging="720"/>
        <w:jc w:val="both"/>
      </w:pPr>
      <w:r w:rsidRPr="009A515A">
        <w:lastRenderedPageBreak/>
        <w:t>Koohang,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r w:rsidRPr="009A515A">
        <w:t>Kopalle, P. K., Gangwar, M., and Uppal, A. (2024). Commentary on “AI is Changing the World: For Better or for Worse?”. </w:t>
      </w:r>
      <w:r w:rsidRPr="009A515A">
        <w:rPr>
          <w:i/>
          <w:iCs/>
        </w:rPr>
        <w:t>Journal of Macromarketing</w:t>
      </w:r>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r w:rsidRPr="009A515A">
        <w:t>Kozinets, R. V. (2023). Immersive netnography: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04F0EDA8"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Kyriakou, T., de la Campa Crespo, M.Á., Panayiotou, A., Chrysanthou, Y., Charalambous, P. and Aristidou, A. (2024), Virtual Instrument Performances (VIP): A Comprehensive Review. </w:t>
      </w:r>
      <w:r w:rsidRPr="009A515A">
        <w:rPr>
          <w:i/>
          <w:iCs/>
          <w:color w:val="000000" w:themeColor="text1"/>
        </w:rPr>
        <w:t>Computer Graphics Forum</w:t>
      </w:r>
      <w:r w:rsidRPr="009A515A">
        <w:rPr>
          <w:color w:val="000000" w:themeColor="text1"/>
        </w:rPr>
        <w:t>, 43: e15065. </w:t>
      </w:r>
      <w:hyperlink r:id="rId20" w:history="1">
        <w:r w:rsidRPr="009A515A">
          <w:rPr>
            <w:rStyle w:val="Hyperlink"/>
          </w:rPr>
          <w:t>https://doi.org/10.1111/cgf.15065</w:t>
        </w:r>
      </w:hyperlink>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8" w:name="_Hlk199423172"/>
      <w:bookmarkStart w:id="19" w:name="_Hlk199355416"/>
      <w:r w:rsidRPr="009A515A">
        <w:t>Lee</w:t>
      </w:r>
      <w:bookmarkEnd w:id="18"/>
      <w:r w:rsidRPr="009A515A">
        <w:t xml:space="preserve">, C. T., and Shen, Y. C. (2024). </w:t>
      </w:r>
      <w:bookmarkEnd w:id="19"/>
      <w:r w:rsidRPr="009A515A">
        <w:t>Exploring determinants of non-fungible token creators’ engagement behaviors on metaverse-based NFT platforms: A multi-analytical SEM-IPMA method. </w:t>
      </w:r>
      <w:r w:rsidRPr="009A515A">
        <w:rPr>
          <w:i/>
          <w:iCs/>
        </w:rPr>
        <w:t>Journal of Business Research</w:t>
      </w:r>
      <w:r w:rsidRPr="009A515A">
        <w:t>, </w:t>
      </w:r>
      <w:r w:rsidRPr="009A515A">
        <w:rPr>
          <w:i/>
          <w:iCs/>
        </w:rPr>
        <w:t>185</w:t>
      </w:r>
      <w:r w:rsidRPr="009A515A">
        <w:t>, 114920.</w:t>
      </w:r>
    </w:p>
    <w:p w14:paraId="2B94237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0" w:name="_Hlk199354774"/>
      <w:r w:rsidRPr="009A515A">
        <w:rPr>
          <w:color w:val="000000" w:themeColor="text1"/>
        </w:rPr>
        <w:t>Li, Y., and Shang, H. (2023)</w:t>
      </w:r>
      <w:bookmarkEnd w:id="20"/>
      <w:r w:rsidRPr="009A515A">
        <w:rPr>
          <w:color w:val="000000" w:themeColor="text1"/>
        </w:rPr>
        <w:t>. How does e-government use affect citizens’ trust in government? Empirical evidence from China. </w:t>
      </w:r>
      <w:r w:rsidRPr="009A515A">
        <w:rPr>
          <w:i/>
          <w:iCs/>
          <w:color w:val="000000" w:themeColor="text1"/>
        </w:rPr>
        <w:t>Information and Management</w:t>
      </w:r>
      <w:r w:rsidRPr="009A515A">
        <w:rPr>
          <w:color w:val="000000" w:themeColor="text1"/>
        </w:rPr>
        <w:t>, </w:t>
      </w:r>
      <w:r w:rsidRPr="009A515A">
        <w:rPr>
          <w:i/>
          <w:iCs/>
          <w:color w:val="000000" w:themeColor="text1"/>
        </w:rPr>
        <w:t>60</w:t>
      </w:r>
      <w:r w:rsidRPr="009A515A">
        <w:rPr>
          <w:color w:val="000000" w:themeColor="text1"/>
        </w:rPr>
        <w:t>(7), 103844.</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Liang, Y., Zhang, X., Wang, H., and Liu, M. (2024). Users' Willingness To Adopt Metaverse Drawing on Flow Theory: An Empirical Study Using PLS-SEM and FsQCA. </w:t>
      </w:r>
      <w:r w:rsidRPr="009A515A">
        <w:rPr>
          <w:rFonts w:eastAsia="inter"/>
          <w:bCs/>
          <w:i/>
          <w:iCs/>
          <w:color w:val="000000"/>
          <w:sz w:val="22"/>
        </w:rPr>
        <w:t>Heliyon</w:t>
      </w:r>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SY., Lai, CY. Investigating How Immersive Virtual Reality And Active Navigation Mediate The Experience of Virtual Concerts. </w:t>
      </w:r>
      <w:r w:rsidRPr="009A515A">
        <w:rPr>
          <w:rFonts w:eastAsia="inter"/>
          <w:bCs/>
          <w:i/>
          <w:iCs/>
          <w:color w:val="000000"/>
          <w:sz w:val="22"/>
        </w:rPr>
        <w:t>Sci Rep</w:t>
      </w:r>
      <w:r w:rsidRPr="009A515A">
        <w:rPr>
          <w:rFonts w:eastAsia="inter"/>
          <w:bCs/>
          <w:color w:val="000000"/>
          <w:sz w:val="22"/>
        </w:rPr>
        <w:t> 13, 8507 (2023).</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Lu, Y., and Lau, S. K. (2025). Examining the ecological validity of VR experiments in soundscape and landscape research. </w:t>
      </w:r>
      <w:r w:rsidRPr="009A515A">
        <w:rPr>
          <w:i/>
          <w:iCs/>
          <w:color w:val="000000" w:themeColor="text1"/>
        </w:rPr>
        <w:t>Computers in Human Behavior</w:t>
      </w:r>
      <w:r w:rsidRPr="009A515A">
        <w:rPr>
          <w:color w:val="000000" w:themeColor="text1"/>
        </w:rPr>
        <w:t>, </w:t>
      </w:r>
      <w:r w:rsidRPr="009A515A">
        <w:rPr>
          <w:i/>
          <w:iCs/>
          <w:color w:val="000000" w:themeColor="text1"/>
        </w:rPr>
        <w:t>162</w:t>
      </w:r>
      <w:r w:rsidRPr="009A515A">
        <w:rPr>
          <w:color w:val="000000" w:themeColor="text1"/>
        </w:rPr>
        <w:t>, 108462.</w:t>
      </w:r>
    </w:p>
    <w:p w14:paraId="3D2AF4A4" w14:textId="77777777" w:rsidR="001F4649" w:rsidRPr="009A515A" w:rsidRDefault="001F4649" w:rsidP="00D05FD0">
      <w:pPr>
        <w:shd w:val="clear" w:color="auto" w:fill="FFFFFF" w:themeFill="background1"/>
        <w:spacing w:line="360" w:lineRule="auto"/>
        <w:ind w:left="720" w:hanging="720"/>
        <w:jc w:val="both"/>
      </w:pPr>
      <w:bookmarkStart w:id="21" w:name="_Hlk199354311"/>
      <w:r w:rsidRPr="009A515A">
        <w:t>Lycett, M., and Radwan, O. (2019)</w:t>
      </w:r>
      <w:bookmarkEnd w:id="21"/>
      <w:r w:rsidRPr="009A515A">
        <w:t>. Developing a quality of experience (QoE) model for web applications. </w:t>
      </w:r>
      <w:r w:rsidRPr="009A515A">
        <w:rPr>
          <w:i/>
          <w:iCs/>
        </w:rPr>
        <w:t>Information Systems Journal</w:t>
      </w:r>
      <w:r w:rsidRPr="009A515A">
        <w:t>, </w:t>
      </w:r>
      <w:r w:rsidRPr="009A515A">
        <w:rPr>
          <w:i/>
          <w:iCs/>
        </w:rPr>
        <w:t>29</w:t>
      </w:r>
      <w:r w:rsidRPr="009A515A">
        <w:t>(1), 175-199.</w:t>
      </w:r>
    </w:p>
    <w:p w14:paraId="33F80594" w14:textId="77777777" w:rsidR="001F4649" w:rsidRPr="009A515A" w:rsidRDefault="001F4649" w:rsidP="00D05FD0">
      <w:pPr>
        <w:shd w:val="clear" w:color="auto" w:fill="FFFFFF" w:themeFill="background1"/>
        <w:spacing w:line="360" w:lineRule="auto"/>
        <w:ind w:left="720" w:hanging="720"/>
        <w:jc w:val="both"/>
      </w:pPr>
      <w:bookmarkStart w:id="22" w:name="_Hlk199232544"/>
      <w:r w:rsidRPr="009A515A">
        <w:lastRenderedPageBreak/>
        <w:t>Marvi</w:t>
      </w:r>
      <w:bookmarkEnd w:id="22"/>
      <w:r w:rsidRPr="009A515A">
        <w:t>, R., Zha, D., and Foroudi,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r w:rsidRPr="009A515A">
        <w:t>Mathwick, C., Wiertz, C., and De Ruyter, K. (2008). Social capital production in a virtual P3 community. </w:t>
      </w:r>
      <w:r w:rsidRPr="009A515A">
        <w:rPr>
          <w:i/>
          <w:iCs/>
        </w:rPr>
        <w:t>Journal of consumer research</w:t>
      </w:r>
      <w:r w:rsidRPr="009A515A">
        <w:t>, </w:t>
      </w:r>
      <w:r w:rsidRPr="009A515A">
        <w:rPr>
          <w:i/>
          <w:iCs/>
        </w:rPr>
        <w:t>34</w:t>
      </w:r>
      <w:r w:rsidRPr="009A515A">
        <w:t>(6), 832-849.</w:t>
      </w:r>
    </w:p>
    <w:p w14:paraId="4ED5DE29" w14:textId="77777777" w:rsidR="001F4649" w:rsidRPr="009A515A" w:rsidRDefault="001F4649" w:rsidP="00D05FD0">
      <w:pPr>
        <w:shd w:val="clear" w:color="auto" w:fill="FFFFFF" w:themeFill="background1"/>
        <w:spacing w:line="360" w:lineRule="auto"/>
        <w:ind w:left="720" w:hanging="720"/>
        <w:jc w:val="both"/>
      </w:pPr>
      <w:bookmarkStart w:id="23" w:name="_Hlk199425340"/>
      <w:r w:rsidRPr="009A515A">
        <w:t>Mohammed</w:t>
      </w:r>
      <w:bookmarkEnd w:id="23"/>
      <w:r w:rsidRPr="009A515A">
        <w:t>, S. Y., Aljanabi, M., and Gadekallu, T. R. (2024). Navigating the nexus: a systematic review of the symbiotic relationship between the metaverse and gaming. </w:t>
      </w:r>
      <w:r w:rsidRPr="009A515A">
        <w:rPr>
          <w:i/>
          <w:iCs/>
        </w:rPr>
        <w:t>International Journal of Cognitive Computing in Engineering</w:t>
      </w:r>
      <w:r w:rsidRPr="009A515A">
        <w:t xml:space="preserve">.  </w:t>
      </w:r>
      <w:hyperlink r:id="rId21" w:history="1">
        <w:r w:rsidRPr="009A515A">
          <w:rPr>
            <w:rStyle w:val="Hyperlink"/>
          </w:rPr>
          <w:t>https://doi.org/10.1016/j.ijcce.2024.02.001</w:t>
        </w:r>
      </w:hyperlink>
    </w:p>
    <w:p w14:paraId="7DB8AAA6"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4" w:name="_Hlk199424451"/>
      <w:r w:rsidRPr="009A515A">
        <w:rPr>
          <w:color w:val="000000" w:themeColor="text1"/>
          <w:lang w:val="fr-FR"/>
        </w:rPr>
        <w:t>Nikou</w:t>
      </w:r>
      <w:bookmarkEnd w:id="24"/>
      <w:r w:rsidRPr="009A515A">
        <w:rPr>
          <w:color w:val="000000" w:themeColor="text1"/>
          <w:lang w:val="fr-FR"/>
        </w:rPr>
        <w:t xml:space="preserve">, S., Mezei, J., Liguori, E. W., and El Tarabishy, A. (2024). </w:t>
      </w:r>
      <w:r w:rsidRPr="009A515A">
        <w:rPr>
          <w:color w:val="000000" w:themeColor="text1"/>
        </w:rPr>
        <w:t xml:space="preserve">FsQCA in entrepreneurship research: Opportunities and best practices. </w:t>
      </w:r>
      <w:r w:rsidRPr="009A515A">
        <w:rPr>
          <w:i/>
          <w:iCs/>
          <w:color w:val="000000" w:themeColor="text1"/>
        </w:rPr>
        <w:t>Journal of Small Business Management</w:t>
      </w:r>
      <w:r w:rsidRPr="009A515A">
        <w:rPr>
          <w:color w:val="000000" w:themeColor="text1"/>
        </w:rPr>
        <w:t>, 62(3), 1531-1548.</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Bernstein I. H. (1994). </w:t>
      </w:r>
      <w:r w:rsidRPr="009A515A">
        <w:rPr>
          <w:i/>
          <w:iCs/>
          <w:color w:val="000000" w:themeColor="text1"/>
        </w:rPr>
        <w:t>Psychometric theory</w:t>
      </w:r>
      <w:r w:rsidRPr="009A515A">
        <w:rPr>
          <w:color w:val="000000" w:themeColor="text1"/>
        </w:rPr>
        <w:t> (3rd ed.). New York, NY: McGraw-Hill.</w:t>
      </w:r>
    </w:p>
    <w:p w14:paraId="796B5DEB"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w:t>
      </w:r>
      <w:r w:rsidRPr="009A515A">
        <w:rPr>
          <w:i/>
          <w:iCs/>
          <w:color w:val="000000" w:themeColor="text1"/>
        </w:rPr>
        <w:t>Journal of the American Society for Information Science and Technology</w:t>
      </w:r>
      <w:r w:rsidRPr="009A515A">
        <w:rPr>
          <w:color w:val="000000" w:themeColor="text1"/>
        </w:rPr>
        <w:t>, </w:t>
      </w:r>
      <w:r w:rsidRPr="009A515A">
        <w:rPr>
          <w:i/>
          <w:iCs/>
          <w:color w:val="000000" w:themeColor="text1"/>
        </w:rPr>
        <w:t>61</w:t>
      </w:r>
      <w:r w:rsidRPr="009A515A">
        <w:rPr>
          <w:color w:val="000000" w:themeColor="text1"/>
        </w:rPr>
        <w:t>(1), 50-69.</w:t>
      </w:r>
    </w:p>
    <w:p w14:paraId="26FEF32A"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t>Oliveira, W., and Hamari, J. (2025). Flow Experience in Gameful Approaches: A Systematic Literature Review, Scientometric Analysis, and Research Agenda. </w:t>
      </w:r>
      <w:r w:rsidRPr="009A515A">
        <w:rPr>
          <w:i/>
          <w:iCs/>
        </w:rPr>
        <w:t>International Journal of Human–Computer Interaction</w:t>
      </w:r>
      <w:r w:rsidRPr="009A515A">
        <w:t>, 1-27.</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22" w:history="1">
        <w:r w:rsidRPr="009A515A">
          <w:rPr>
            <w:rStyle w:val="Hyperlink"/>
          </w:rPr>
          <w:t>https://escholarship.org/uc/item/8h51c6s0</w:t>
        </w:r>
      </w:hyperlink>
    </w:p>
    <w:p w14:paraId="68E97CDC" w14:textId="77777777" w:rsidR="001F4649" w:rsidRPr="009A515A" w:rsidRDefault="001F4649" w:rsidP="00D05FD0">
      <w:pPr>
        <w:shd w:val="clear" w:color="auto" w:fill="FFFFFF" w:themeFill="background1"/>
        <w:spacing w:line="360" w:lineRule="auto"/>
        <w:ind w:left="720" w:hanging="720"/>
        <w:jc w:val="both"/>
      </w:pPr>
      <w:bookmarkStart w:id="25" w:name="_Hlk199322777"/>
      <w:r w:rsidRPr="009A515A">
        <w:t>Park</w:t>
      </w:r>
      <w:bookmarkEnd w:id="25"/>
      <w:r w:rsidRPr="009A515A">
        <w:t>, Y., Fiss, P. C., and El Sawy, O. A. (2020). Theorizing the Multiplicity of Digital Phenomena: The Ecology of Configurations, Causal Recipes, and Guidelines for Applying QCA. </w:t>
      </w:r>
      <w:r w:rsidRPr="009A515A">
        <w:rPr>
          <w:i/>
          <w:iCs/>
        </w:rPr>
        <w:t>Mis Quarterly</w:t>
      </w:r>
      <w:r w:rsidRPr="009A515A">
        <w:t>, </w:t>
      </w:r>
      <w:r w:rsidRPr="009A515A">
        <w:rPr>
          <w:i/>
          <w:iCs/>
        </w:rPr>
        <w:t>44</w:t>
      </w:r>
      <w:r w:rsidRPr="009A515A">
        <w:t>(4).</w:t>
      </w:r>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Payal, R., Sharma, N., and Dwivedi, Y. K. (2024). Unlocking the impact of brand engagement in the metaverse on Real-World purchase intentions: Analyzing Pre-Adoption behavior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112854AA" w14:textId="77777777" w:rsidR="001F4649" w:rsidRPr="009A515A" w:rsidRDefault="001F4649" w:rsidP="008F0D46">
      <w:pPr>
        <w:shd w:val="clear" w:color="auto" w:fill="FFFFFF" w:themeFill="background1"/>
        <w:spacing w:line="360" w:lineRule="auto"/>
        <w:ind w:left="720" w:hanging="720"/>
        <w:jc w:val="both"/>
      </w:pPr>
      <w:r w:rsidRPr="009A515A">
        <w:t>Podsakoff, P. M., MacKenzie, S. B., Lee, J. Y., &amp; Podsakoff, N. P. (2003). Common method biases in behavioral research: a critical review of the literature and recommended remedies. Journal of applied psychology, 88(5), 879.</w:t>
      </w:r>
    </w:p>
    <w:p w14:paraId="5344A8D7" w14:textId="77777777" w:rsidR="001F4649" w:rsidRPr="009A515A" w:rsidRDefault="001F4649" w:rsidP="00D05FD0">
      <w:pPr>
        <w:shd w:val="clear" w:color="auto" w:fill="FFFFFF" w:themeFill="background1"/>
        <w:spacing w:line="360" w:lineRule="auto"/>
        <w:ind w:left="720" w:hanging="720"/>
        <w:jc w:val="both"/>
      </w:pPr>
      <w:r w:rsidRPr="009A515A">
        <w:lastRenderedPageBreak/>
        <w:t>Poeschl, S., and Doering, N. (2015). Measuring co-presence and social presence in virtual environments–psychometric construction of a german scale for a fear of public speaking scenario. </w:t>
      </w:r>
      <w:r w:rsidRPr="009A515A">
        <w:rPr>
          <w:i/>
          <w:iCs/>
        </w:rPr>
        <w:t>Annual Review of Cybertherapy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692AD3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Rahman, S. M., et al. (2025). Metaverse platform attributes and customer experience measurement. </w:t>
      </w:r>
      <w:r w:rsidRPr="009A515A">
        <w:rPr>
          <w:i/>
          <w:iCs/>
          <w:color w:val="000000" w:themeColor="text1"/>
        </w:rPr>
        <w:t>Journal of Retailing and Consumer Services</w:t>
      </w:r>
      <w:r w:rsidRPr="009A515A">
        <w:rPr>
          <w:color w:val="000000" w:themeColor="text1"/>
        </w:rPr>
        <w:t>, 83, 104159.</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Rather, R. A., Hollebeek, L. D., Vo‐Thanh, T., Ramkissoon, H., Leppiman,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3DD9EB5B" w14:textId="77777777" w:rsidR="001F4649" w:rsidRPr="009A515A" w:rsidRDefault="001F4649" w:rsidP="00D05FD0">
      <w:pPr>
        <w:shd w:val="clear" w:color="auto" w:fill="FFFFFF" w:themeFill="background1"/>
        <w:spacing w:line="360" w:lineRule="auto"/>
        <w:ind w:left="720" w:hanging="720"/>
        <w:jc w:val="both"/>
      </w:pPr>
      <w:bookmarkStart w:id="26" w:name="_Hlk199425288"/>
      <w:r w:rsidRPr="009A515A">
        <w:t>Ribeiro</w:t>
      </w:r>
      <w:bookmarkEnd w:id="26"/>
      <w:r w:rsidRPr="009A515A">
        <w:t>, A., Vieira, V., Alves, L., and Maciel, C. (2024). Vishnu: An approach to support the personalization of self-expressive avatars using context-awareness. </w:t>
      </w:r>
      <w:r w:rsidRPr="009A515A">
        <w:rPr>
          <w:i/>
          <w:iCs/>
        </w:rPr>
        <w:t>International Journal of Human-Computer Studies</w:t>
      </w:r>
      <w:r w:rsidRPr="009A515A">
        <w:t>, </w:t>
      </w:r>
      <w:r w:rsidRPr="009A515A">
        <w:rPr>
          <w:i/>
          <w:iCs/>
        </w:rPr>
        <w:t>185</w:t>
      </w:r>
      <w:r w:rsidRPr="009A515A">
        <w:t>, 103243.</w:t>
      </w:r>
    </w:p>
    <w:p w14:paraId="6C26D407"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Rutrecht, H., Wittmann, M., Khoshnoud, S., and Igarzábal,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28A105CF"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(2000). Self-determination theory and the facilitation of intrinsic motivation, social development, and well-being. American Psychologist, 55 (1), 68–78.</w:t>
      </w:r>
    </w:p>
    <w:p w14:paraId="44689404"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(2017). Self-determination theory: Basic psychological needs in motivation, development, and wellness. Guilford Publishing.</w:t>
      </w:r>
    </w:p>
    <w:p w14:paraId="7B0331AB"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(2024). Self-determination theory. In Encyclopedia of quality of life and well-being research (pp. 6229–6235). Cham: Springer International Publishing.</w:t>
      </w:r>
    </w:p>
    <w:p w14:paraId="4495739E" w14:textId="77777777" w:rsidR="001F4649" w:rsidRPr="009A515A" w:rsidRDefault="001F4649" w:rsidP="00D05FD0">
      <w:pPr>
        <w:shd w:val="clear" w:color="auto" w:fill="FFFFFF" w:themeFill="background1"/>
        <w:spacing w:line="360" w:lineRule="auto"/>
        <w:ind w:left="720" w:hanging="720"/>
        <w:jc w:val="both"/>
      </w:pPr>
      <w:bookmarkStart w:id="27" w:name="_Hlk199323363"/>
      <w:r w:rsidRPr="009A515A">
        <w:t>Scheider</w:t>
      </w:r>
      <w:bookmarkEnd w:id="27"/>
      <w:r w:rsidRPr="009A515A">
        <w:t>, S., Lauf, F., Möller, F., and Otto, B. (2023). A reference system architecture with data sovereignty for human-centric data ecosystems. </w:t>
      </w:r>
      <w:r w:rsidRPr="009A515A">
        <w:rPr>
          <w:i/>
          <w:iCs/>
        </w:rPr>
        <w:t>Business and Information Systems Engineering</w:t>
      </w:r>
      <w:r w:rsidRPr="009A515A">
        <w:t>, </w:t>
      </w:r>
      <w:r w:rsidRPr="009A515A">
        <w:rPr>
          <w:i/>
          <w:iCs/>
        </w:rPr>
        <w:t>65</w:t>
      </w:r>
      <w:r w:rsidRPr="009A515A">
        <w:t>(5), 577-595.</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t xml:space="preserve">Shamim, N., Gupta, S., and Shin, M. M. (2025). Evaluating user engagement via metaverse environment through immersive experience for travel and tourism </w:t>
      </w:r>
      <w:r w:rsidRPr="009A515A">
        <w:lastRenderedPageBreak/>
        <w:t>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28" w:name="_Hlk199355676"/>
      <w:r w:rsidRPr="009A515A">
        <w:t>Simonetti</w:t>
      </w:r>
      <w:bookmarkEnd w:id="28"/>
      <w:r w:rsidRPr="009A515A">
        <w:t>, A., Bigne,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9" w:name="_Hlk199329402"/>
      <w:r w:rsidRPr="009A515A">
        <w:t xml:space="preserve">Soltani </w:t>
      </w:r>
      <w:bookmarkEnd w:id="29"/>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 xml:space="preserve">Statista. (2025). </w:t>
      </w:r>
      <w:r w:rsidRPr="009A515A">
        <w:rPr>
          <w:i/>
          <w:iCs/>
        </w:rPr>
        <w:t xml:space="preserve">Metaverse </w:t>
      </w:r>
      <w:r w:rsidR="009B694E">
        <w:rPr>
          <w:i/>
          <w:iCs/>
        </w:rPr>
        <w:t xml:space="preserve"> </w:t>
      </w:r>
      <w:r w:rsidRPr="009A515A">
        <w:rPr>
          <w:i/>
          <w:iCs/>
        </w:rPr>
        <w:t xml:space="preserve"> India: Market forecast</w:t>
      </w:r>
      <w:r w:rsidRPr="009A515A">
        <w:t xml:space="preserve">. Statista Market Insights. Retrieved March 21, 2026, from </w:t>
      </w:r>
      <w:hyperlink r:id="rId23" w:history="1">
        <w:r w:rsidRPr="009A515A">
          <w:t>https://www.statista.com/outlook/amo/metaverse/india</w:t>
        </w:r>
      </w:hyperlink>
    </w:p>
    <w:p w14:paraId="27A83FE9" w14:textId="77777777" w:rsidR="001F4649" w:rsidRPr="009A515A" w:rsidRDefault="001F4649" w:rsidP="00D05FD0">
      <w:pPr>
        <w:shd w:val="clear" w:color="auto" w:fill="FFFFFF" w:themeFill="background1"/>
        <w:spacing w:line="360" w:lineRule="auto"/>
        <w:ind w:left="720" w:hanging="720"/>
        <w:jc w:val="both"/>
      </w:pPr>
      <w:bookmarkStart w:id="30" w:name="_Hlk199420459"/>
      <w:r w:rsidRPr="009A515A">
        <w:t>Su</w:t>
      </w:r>
      <w:bookmarkEnd w:id="30"/>
      <w:r w:rsidRPr="009A515A">
        <w:t>, L., Monga, A. S. B., and Jiang, Y. (2021). How life-role transitions shape consumer responses to brand extensions. </w:t>
      </w:r>
      <w:r w:rsidRPr="009A515A">
        <w:rPr>
          <w:i/>
          <w:iCs/>
        </w:rPr>
        <w:t>Journal of Marketing Research</w:t>
      </w:r>
      <w:r w:rsidRPr="009A515A">
        <w:t>, </w:t>
      </w:r>
      <w:r w:rsidRPr="009A515A">
        <w:rPr>
          <w:i/>
          <w:iCs/>
        </w:rPr>
        <w:t>58</w:t>
      </w:r>
      <w:r w:rsidRPr="009A515A">
        <w:t>(3), 579-594.</w:t>
      </w:r>
    </w:p>
    <w:p w14:paraId="7CA8A190" w14:textId="77777777" w:rsidR="001F4649" w:rsidRPr="009A515A" w:rsidRDefault="001F4649" w:rsidP="00D05FD0">
      <w:pPr>
        <w:shd w:val="clear" w:color="auto" w:fill="FFFFFF" w:themeFill="background1"/>
        <w:spacing w:line="360" w:lineRule="auto"/>
        <w:ind w:left="720" w:hanging="720"/>
        <w:jc w:val="both"/>
      </w:pPr>
      <w:bookmarkStart w:id="31" w:name="_Hlk199425418"/>
      <w:r w:rsidRPr="009A515A">
        <w:t>Takano, M., and Taka, F. (2022)</w:t>
      </w:r>
      <w:bookmarkEnd w:id="31"/>
      <w:r w:rsidRPr="009A515A">
        <w:t>. Fancy avatar identification and behaviors in the virtual world: Preceding avatar customization and succeeding communication. </w:t>
      </w:r>
      <w:r w:rsidRPr="009A515A">
        <w:rPr>
          <w:i/>
          <w:iCs/>
        </w:rPr>
        <w:t>Computers in Human Behavior Reports</w:t>
      </w:r>
      <w:r w:rsidRPr="009A515A">
        <w:t>, </w:t>
      </w:r>
      <w:r w:rsidRPr="009A515A">
        <w:rPr>
          <w:i/>
          <w:iCs/>
        </w:rPr>
        <w:t>6</w:t>
      </w:r>
      <w:r w:rsidRPr="009A515A">
        <w:t>, 100176.</w:t>
      </w:r>
    </w:p>
    <w:p w14:paraId="6C4AFBEF" w14:textId="77777777" w:rsidR="001F4649" w:rsidRPr="009A515A" w:rsidRDefault="001F4649" w:rsidP="00D05FD0">
      <w:pPr>
        <w:shd w:val="clear" w:color="auto" w:fill="FFFFFF" w:themeFill="background1"/>
        <w:spacing w:line="360" w:lineRule="auto"/>
        <w:ind w:left="720" w:hanging="720"/>
        <w:jc w:val="both"/>
      </w:pPr>
      <w:bookmarkStart w:id="32" w:name="_Hlk199421848"/>
      <w:r w:rsidRPr="009A515A">
        <w:t>Thaichon</w:t>
      </w:r>
      <w:bookmarkEnd w:id="32"/>
      <w:r w:rsidRPr="009A515A">
        <w:t>, P., Phau, I., and Weaven,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13AFEBF3" w14:textId="77777777" w:rsidR="001F4649" w:rsidRPr="009A515A" w:rsidRDefault="001F4649" w:rsidP="00A12512">
      <w:pPr>
        <w:shd w:val="clear" w:color="auto" w:fill="FFFFFF" w:themeFill="background1"/>
        <w:spacing w:line="360" w:lineRule="auto"/>
        <w:ind w:left="720" w:hanging="720"/>
        <w:jc w:val="both"/>
      </w:pPr>
      <w:r w:rsidRPr="009A515A">
        <w:t xml:space="preserve">Thorndike, R. M. (1995). Book Review : Psychometric Theory (3rd ed.) by Jum Nunnally and Ira Bernstein New York: McGraw-Hill, 1994, xxiv + 752 pp. </w:t>
      </w:r>
      <w:r w:rsidRPr="009A515A">
        <w:rPr>
          <w:i/>
          <w:iCs/>
        </w:rPr>
        <w:t>Applied Psychological Measurement</w:t>
      </w:r>
      <w:r w:rsidRPr="009A515A">
        <w:t xml:space="preserve">, </w:t>
      </w:r>
      <w:r w:rsidRPr="009A515A">
        <w:rPr>
          <w:i/>
          <w:iCs/>
        </w:rPr>
        <w:t>19</w:t>
      </w:r>
      <w:r w:rsidRPr="009A515A">
        <w:t>(3), 303-305.</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24"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33" w:name="_Hlk199323672"/>
      <w:r w:rsidRPr="009A515A">
        <w:t>Vo</w:t>
      </w:r>
      <w:bookmarkEnd w:id="33"/>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4" w:name="_Hlk199355812"/>
      <w:r w:rsidRPr="009A515A">
        <w:rPr>
          <w:color w:val="000000" w:themeColor="text1"/>
        </w:rPr>
        <w:t>Wang</w:t>
      </w:r>
      <w:bookmarkEnd w:id="34"/>
      <w:r w:rsidRPr="009A515A">
        <w:rPr>
          <w:color w:val="000000" w:themeColor="text1"/>
        </w:rPr>
        <w:t>, X., Sung, B., and Phau,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Wiertz,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35" w:name="_Hlk207269373"/>
      <w:r w:rsidRPr="009A515A">
        <w:rPr>
          <w:rFonts w:eastAsia="inter"/>
          <w:bCs/>
          <w:color w:val="000000"/>
          <w:sz w:val="22"/>
        </w:rPr>
        <w:t>Wu</w:t>
      </w:r>
      <w:bookmarkEnd w:id="35"/>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36" w:name="_Hlk199355648"/>
      <w:r w:rsidRPr="009A515A">
        <w:t>Xie</w:t>
      </w:r>
      <w:bookmarkEnd w:id="36"/>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Xie, Q., Muralidharan, S., Edwards, S. M., and La Ferle,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7" w:name="_Hlk199402959"/>
      <w:r w:rsidRPr="009A515A">
        <w:rPr>
          <w:color w:val="000000" w:themeColor="text1"/>
        </w:rPr>
        <w:t>Xu</w:t>
      </w:r>
      <w:bookmarkEnd w:id="37"/>
      <w:r w:rsidRPr="009A515A">
        <w:rPr>
          <w:color w:val="000000" w:themeColor="text1"/>
        </w:rPr>
        <w:t>, S., Bauman, M. J., Ponting, S. S. A., Slevitch, L., Webster, C., and Kirillova, K. (2024). Neolocalism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1A3151B2"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8" w:name="_Hlk199354713"/>
      <w:r w:rsidRPr="009A515A">
        <w:rPr>
          <w:color w:val="000000" w:themeColor="text1"/>
        </w:rPr>
        <w:t>Zhang</w:t>
      </w:r>
      <w:bookmarkEnd w:id="38"/>
      <w:r w:rsidRPr="009A515A">
        <w:rPr>
          <w:color w:val="000000" w:themeColor="text1"/>
        </w:rPr>
        <w:t xml:space="preserve">, B., </w:t>
      </w:r>
      <w:bookmarkStart w:id="39" w:name="_Hlk207148843"/>
      <w:r w:rsidRPr="009A515A">
        <w:rPr>
          <w:color w:val="000000" w:themeColor="text1"/>
        </w:rPr>
        <w:t>Peng</w:t>
      </w:r>
      <w:bookmarkEnd w:id="39"/>
      <w:r w:rsidRPr="009A515A">
        <w:rPr>
          <w:color w:val="000000" w:themeColor="text1"/>
        </w:rPr>
        <w:t>, G., Liu, C., Zhang, Z. J., and Jasimuddin, S. M. (2022). Adaptation behaviour in using one-stop smart governance apps: an exploratory study between digital immigrants and digital natives. </w:t>
      </w:r>
      <w:r w:rsidRPr="009A515A">
        <w:rPr>
          <w:i/>
          <w:iCs/>
          <w:color w:val="000000" w:themeColor="text1"/>
        </w:rPr>
        <w:t>Electronic Markets</w:t>
      </w:r>
      <w:r w:rsidRPr="009A515A">
        <w:rPr>
          <w:color w:val="000000" w:themeColor="text1"/>
        </w:rPr>
        <w:t>, </w:t>
      </w:r>
      <w:r w:rsidRPr="009A515A">
        <w:rPr>
          <w:i/>
          <w:iCs/>
          <w:color w:val="000000" w:themeColor="text1"/>
        </w:rPr>
        <w:t>32</w:t>
      </w:r>
      <w:r w:rsidRPr="009A515A">
        <w:rPr>
          <w:color w:val="000000" w:themeColor="text1"/>
        </w:rPr>
        <w:t>(4), 1971-1991.</w:t>
      </w:r>
    </w:p>
    <w:p w14:paraId="7117CE43" w14:textId="77777777" w:rsidR="001F4649" w:rsidRPr="009A515A" w:rsidRDefault="001F4649" w:rsidP="008F0D46">
      <w:pPr>
        <w:shd w:val="clear" w:color="auto" w:fill="FFFFFF" w:themeFill="background1"/>
        <w:spacing w:line="360" w:lineRule="auto"/>
        <w:ind w:left="720" w:hanging="720"/>
        <w:jc w:val="both"/>
        <w:rPr>
          <w:color w:val="000000" w:themeColor="text1"/>
        </w:rPr>
      </w:pPr>
      <w:bookmarkStart w:id="40" w:name="_Hlk199359872"/>
      <w:r w:rsidRPr="009A515A">
        <w:rPr>
          <w:color w:val="000000" w:themeColor="text1"/>
        </w:rPr>
        <w:t>Zhang</w:t>
      </w:r>
      <w:bookmarkEnd w:id="40"/>
      <w:r w:rsidRPr="009A515A">
        <w:rPr>
          <w:color w:val="000000" w:themeColor="text1"/>
        </w:rPr>
        <w:t>, L., Anjum, M. A., and Wang, Y. (2024). The impact of trust-building mechanisms on purchase intention towards metaverse shopping: the moderating role of age. </w:t>
      </w:r>
      <w:r w:rsidRPr="009A515A">
        <w:rPr>
          <w:i/>
          <w:iCs/>
          <w:color w:val="000000" w:themeColor="text1"/>
        </w:rPr>
        <w:t>International Journal of Human–Computer Interaction</w:t>
      </w:r>
      <w:r w:rsidRPr="009A515A">
        <w:rPr>
          <w:color w:val="000000" w:themeColor="text1"/>
        </w:rPr>
        <w:t>, </w:t>
      </w:r>
      <w:r w:rsidRPr="009A515A">
        <w:rPr>
          <w:i/>
          <w:iCs/>
          <w:color w:val="000000" w:themeColor="text1"/>
        </w:rPr>
        <w:t>40</w:t>
      </w:r>
      <w:r w:rsidRPr="009A515A">
        <w:rPr>
          <w:color w:val="000000" w:themeColor="text1"/>
        </w:rPr>
        <w:t>(12), 3185-3203.</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7BA6"/>
    <w:rsid w:val="00082F6C"/>
    <w:rsid w:val="00085482"/>
    <w:rsid w:val="000863D4"/>
    <w:rsid w:val="00086510"/>
    <w:rsid w:val="00090895"/>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4A4"/>
    <w:rsid w:val="001E09DE"/>
    <w:rsid w:val="001E6570"/>
    <w:rsid w:val="001F1C59"/>
    <w:rsid w:val="001F4649"/>
    <w:rsid w:val="001F6C89"/>
    <w:rsid w:val="001F7AD1"/>
    <w:rsid w:val="00200AEA"/>
    <w:rsid w:val="00200B4E"/>
    <w:rsid w:val="00201257"/>
    <w:rsid w:val="00201731"/>
    <w:rsid w:val="00201C3D"/>
    <w:rsid w:val="00202EAC"/>
    <w:rsid w:val="002066CD"/>
    <w:rsid w:val="00212C48"/>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11315"/>
    <w:rsid w:val="00416113"/>
    <w:rsid w:val="00416E76"/>
    <w:rsid w:val="0041750E"/>
    <w:rsid w:val="0042054F"/>
    <w:rsid w:val="00421599"/>
    <w:rsid w:val="00426866"/>
    <w:rsid w:val="004309B6"/>
    <w:rsid w:val="0043234C"/>
    <w:rsid w:val="004371DC"/>
    <w:rsid w:val="004467F4"/>
    <w:rsid w:val="0045186A"/>
    <w:rsid w:val="004547FD"/>
    <w:rsid w:val="00455887"/>
    <w:rsid w:val="00456656"/>
    <w:rsid w:val="0045735F"/>
    <w:rsid w:val="0045737F"/>
    <w:rsid w:val="00463B26"/>
    <w:rsid w:val="00464522"/>
    <w:rsid w:val="00464A78"/>
    <w:rsid w:val="004653A9"/>
    <w:rsid w:val="00466030"/>
    <w:rsid w:val="00466DAD"/>
    <w:rsid w:val="00467995"/>
    <w:rsid w:val="00467CAC"/>
    <w:rsid w:val="00470AB7"/>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D03"/>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5765"/>
    <w:rsid w:val="00656A70"/>
    <w:rsid w:val="00662EA3"/>
    <w:rsid w:val="00666412"/>
    <w:rsid w:val="00667DD7"/>
    <w:rsid w:val="0067285B"/>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5E51"/>
    <w:rsid w:val="006B1F98"/>
    <w:rsid w:val="006B22CC"/>
    <w:rsid w:val="006B312B"/>
    <w:rsid w:val="006B5016"/>
    <w:rsid w:val="006C3B90"/>
    <w:rsid w:val="006D0839"/>
    <w:rsid w:val="006D135B"/>
    <w:rsid w:val="006D1738"/>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262"/>
    <w:rsid w:val="00715728"/>
    <w:rsid w:val="00721646"/>
    <w:rsid w:val="0072184A"/>
    <w:rsid w:val="00722EFF"/>
    <w:rsid w:val="00725184"/>
    <w:rsid w:val="00726246"/>
    <w:rsid w:val="00726315"/>
    <w:rsid w:val="00731A6E"/>
    <w:rsid w:val="00732057"/>
    <w:rsid w:val="00732C9D"/>
    <w:rsid w:val="00734627"/>
    <w:rsid w:val="00736643"/>
    <w:rsid w:val="00740769"/>
    <w:rsid w:val="0074623C"/>
    <w:rsid w:val="007502A5"/>
    <w:rsid w:val="007544D4"/>
    <w:rsid w:val="007545B3"/>
    <w:rsid w:val="007648C5"/>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D300D"/>
    <w:rsid w:val="008D5DA0"/>
    <w:rsid w:val="008E063D"/>
    <w:rsid w:val="008E1410"/>
    <w:rsid w:val="008E2C8F"/>
    <w:rsid w:val="008E4F8B"/>
    <w:rsid w:val="008F0D46"/>
    <w:rsid w:val="008F0EAB"/>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31A14"/>
    <w:rsid w:val="00931B6B"/>
    <w:rsid w:val="0093381E"/>
    <w:rsid w:val="00935C93"/>
    <w:rsid w:val="00940E8D"/>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835"/>
    <w:rsid w:val="00AE134B"/>
    <w:rsid w:val="00AE42C4"/>
    <w:rsid w:val="00AE5F5F"/>
    <w:rsid w:val="00AF1D04"/>
    <w:rsid w:val="00AF1DC4"/>
    <w:rsid w:val="00AF6169"/>
    <w:rsid w:val="00B06E14"/>
    <w:rsid w:val="00B12034"/>
    <w:rsid w:val="00B14B53"/>
    <w:rsid w:val="00B17348"/>
    <w:rsid w:val="00B20015"/>
    <w:rsid w:val="00B21534"/>
    <w:rsid w:val="00B25D4F"/>
    <w:rsid w:val="00B3103D"/>
    <w:rsid w:val="00B31225"/>
    <w:rsid w:val="00B31751"/>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34AC"/>
    <w:rsid w:val="00C13A8C"/>
    <w:rsid w:val="00C223B9"/>
    <w:rsid w:val="00C225CC"/>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71845"/>
    <w:rsid w:val="00C7217C"/>
    <w:rsid w:val="00C7236E"/>
    <w:rsid w:val="00C736B0"/>
    <w:rsid w:val="00C7418F"/>
    <w:rsid w:val="00C760E5"/>
    <w:rsid w:val="00C77FCA"/>
    <w:rsid w:val="00C8121A"/>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82397"/>
    <w:rsid w:val="00D830FA"/>
    <w:rsid w:val="00D86477"/>
    <w:rsid w:val="00D86F66"/>
    <w:rsid w:val="00D87314"/>
    <w:rsid w:val="00D91435"/>
    <w:rsid w:val="00D93102"/>
    <w:rsid w:val="00D9557D"/>
    <w:rsid w:val="00D96227"/>
    <w:rsid w:val="00D96535"/>
    <w:rsid w:val="00D965AD"/>
    <w:rsid w:val="00D96724"/>
    <w:rsid w:val="00D97398"/>
    <w:rsid w:val="00DA27CD"/>
    <w:rsid w:val="00DA2B47"/>
    <w:rsid w:val="00DA5255"/>
    <w:rsid w:val="00DA6476"/>
    <w:rsid w:val="00DB2EBF"/>
    <w:rsid w:val="00DB66BA"/>
    <w:rsid w:val="00DB7208"/>
    <w:rsid w:val="00DC0736"/>
    <w:rsid w:val="00DD394A"/>
    <w:rsid w:val="00DD47D3"/>
    <w:rsid w:val="00DD4E2C"/>
    <w:rsid w:val="00DD5D63"/>
    <w:rsid w:val="00DD752A"/>
    <w:rsid w:val="00DE3F0D"/>
    <w:rsid w:val="00DE61FC"/>
    <w:rsid w:val="00DF7521"/>
    <w:rsid w:val="00E0324D"/>
    <w:rsid w:val="00E041E6"/>
    <w:rsid w:val="00E044B0"/>
    <w:rsid w:val="00E10D88"/>
    <w:rsid w:val="00E14D29"/>
    <w:rsid w:val="00E15461"/>
    <w:rsid w:val="00E16418"/>
    <w:rsid w:val="00E263AF"/>
    <w:rsid w:val="00E30AFA"/>
    <w:rsid w:val="00E35F8E"/>
    <w:rsid w:val="00E37689"/>
    <w:rsid w:val="00E400A1"/>
    <w:rsid w:val="00E407DA"/>
    <w:rsid w:val="00E40815"/>
    <w:rsid w:val="00E47015"/>
    <w:rsid w:val="00E54E3E"/>
    <w:rsid w:val="00E55A23"/>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C3C"/>
    <w:rsid w:val="00ED44A2"/>
    <w:rsid w:val="00EE2994"/>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260E"/>
    <w:rsid w:val="00FB50EC"/>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1F3763"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FF"/>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605E5C"/>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1F3763"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2F5496"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kas.aryaa@yahoo.in" TargetMode="External"/><Relationship Id="rId13" Type="http://schemas.openxmlformats.org/officeDocument/2006/relationships/image" Target="media/image3.png"/><Relationship Id="rId18" Type="http://schemas.openxmlformats.org/officeDocument/2006/relationships/hyperlink" Target="https://doi.org/10.1016/j.ijresmar.2024.03.002"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ijcce.2024.02.001" TargetMode="External"/><Relationship Id="rId7" Type="http://schemas.openxmlformats.org/officeDocument/2006/relationships/hyperlink" Target="mailto:nagendrasharmag@gmail.com" TargetMode="External"/><Relationship Id="rId12" Type="http://schemas.openxmlformats.org/officeDocument/2006/relationships/image" Target="media/image2.jpeg"/><Relationship Id="rId17" Type="http://schemas.openxmlformats.org/officeDocument/2006/relationships/hyperlink" Target="https://doi.org/10.1016/j.ijresmar.2025.01.001"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sycnet.apa.org/doi/10.1002/cb.2419" TargetMode="External"/><Relationship Id="rId20" Type="http://schemas.openxmlformats.org/officeDocument/2006/relationships/hyperlink" Target="https://doi.org/10.1111/cgf.15065" TargetMode="External"/><Relationship Id="rId1" Type="http://schemas.openxmlformats.org/officeDocument/2006/relationships/customXml" Target="../customXml/item1.xml"/><Relationship Id="rId6" Type="http://schemas.openxmlformats.org/officeDocument/2006/relationships/hyperlink" Target="mailto:mohit.gundwal2@gmail.com" TargetMode="External"/><Relationship Id="rId11" Type="http://schemas.openxmlformats.org/officeDocument/2006/relationships/image" Target="media/image1.png"/><Relationship Id="rId24" Type="http://schemas.openxmlformats.org/officeDocument/2006/relationships/hyperlink" Target="https://www.kenresearch.com/industry-reports/india-metaverse-market" TargetMode="External"/><Relationship Id="rId5" Type="http://schemas.openxmlformats.org/officeDocument/2006/relationships/webSettings" Target="webSettings.xml"/><Relationship Id="rId15" Type="http://schemas.openxmlformats.org/officeDocument/2006/relationships/hyperlink" Target="https://doi.org/10.1108/intr-01-2024-0030" TargetMode="External"/><Relationship Id="rId23" Type="http://schemas.openxmlformats.org/officeDocument/2006/relationships/hyperlink" Target="https://www.statista.com/outlook/amo/metaverse/india" TargetMode="External"/><Relationship Id="rId10" Type="http://schemas.openxmlformats.org/officeDocument/2006/relationships/hyperlink" Target="mailto:nagendrasharmag@gmail.com" TargetMode="External"/><Relationship Id="rId19" Type="http://schemas.openxmlformats.org/officeDocument/2006/relationships/hyperlink" Target="https://www.investopedia.com/terms/m/macromarketing.asp" TargetMode="External"/><Relationship Id="rId4" Type="http://schemas.openxmlformats.org/officeDocument/2006/relationships/settings" Target="settings.xml"/><Relationship Id="rId9" Type="http://schemas.openxmlformats.org/officeDocument/2006/relationships/hyperlink" Target="mailto:somesh111sinha@gmail.com" TargetMode="External"/><Relationship Id="rId14" Type="http://schemas.openxmlformats.org/officeDocument/2006/relationships/image" Target="media/image4.png"/><Relationship Id="rId22" Type="http://schemas.openxmlformats.org/officeDocument/2006/relationships/hyperlink" Target="https://escholarship.org/uc/item/8h51c6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14048</Words>
  <Characters>80077</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4</cp:revision>
  <dcterms:created xsi:type="dcterms:W3CDTF">2026-06-20T05:56:00Z</dcterms:created>
  <dcterms:modified xsi:type="dcterms:W3CDTF">2026-06-20T12:22:00Z</dcterms:modified>
</cp:coreProperties>
</file>