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Results</w:t>
      </w:r>
    </w:p>
    <w:p>
      <w:r>
        <w:rPr>
          <w:b/>
          <w:color w:val="7A1F1F"/>
          <w:sz w:val="19"/>
        </w:rPr>
        <w:t>AUTHOR'S NOTE - READ BEFORE SUBMISSION (DELETE IN FINAL MANUSCRIPT). This section follows the JMIS reporting template and the SOP structural model (UE, UX exogenous; BSAT mediator; BSUC final endogenous; H1-H3 by PLS-SEM, P1 by fsQCA). (1) Measurement-model statistics in 4.1 come directly from the uploaded PLS-SEM analysis and are reusable. (2) The uploaded model actually used Attitude (ATT) as the outcome, not BSUC, and did NOT support H1-H3 (only a small NEGATIVE UE-&gt;ATT path, beta = -0.157; R2 ~ 0.03); the uploaded fsQCA returned ~UE*~BSAT*(UX+BSUC) for ATT. Those actual results appear in Appendix A. (3) All values flagged [REPLACE] in 4.2-4.3 are ILLUSTRATIVE PLACEHOLDERS for the BSUC model and must be replaced with re-estimated SmartPLS / fsQCA output before submission. Do not publish placeholders as findings.</w:t>
      </w:r>
    </w:p>
    <w:p>
      <w:r>
        <w:rPr>
          <w:b w:val="0"/>
          <w:i w:val="0"/>
          <w:sz w:val="22"/>
        </w:rPr>
        <w:t>We report results in three stages. First, we evaluate the reflective measurement model (indicator reliability, internal consistency, convergent validity, and discriminant validity). Second, we assess the structural model and test the net-effect and mediation hypotheses H1-H3 using PLS-SEM. Third, we use fuzzy-set qualitative comparative analysis (fsQCA) to test proposition P1, which holds that multiple SDT-consistent configurations of UE, UX, and BSAT are jointly sufficient for high BSUC. The two methods are complementary: PLS-SEM estimates average net effects and the mediating role of brand satisfaction, whereas fsQCA examines configurational equifinality - whether several distinct recipes of the same antecedents can each produce brand success.</w:t>
      </w:r>
    </w:p>
    <w:p>
      <w:r>
        <w:rPr>
          <w:b w:val="0"/>
          <w:i w:val="0"/>
          <w:sz w:val="22"/>
        </w:rPr>
        <w:t>The analysis draws on responses from 312 participants who each completed 21 reflective Likert items (1-7) measuring five latent constructs: User Engagement (UE; UE1-UE5), User Experience (UX; UX1-UX5), Brand Satisfaction (BSAT; BSAT1-BSAT4), Brand Success (BSUC; BSUC1-BSUC4), and Attitude (ATT; ATT_1-ATT_2). There were no missing data. The PLS-SEM algorithm was estimated with the path-weighting scheme; significance was obtained from 5,000 bootstrap subsamples. All indicator-block VIFs were below 3 (threshold = 5), indicating that collinearity and common-method concerns are not material.</w:t>
      </w:r>
    </w:p>
    <w:p>
      <w:pPr>
        <w:pStyle w:val="Heading2"/>
      </w:pPr>
      <w:r>
        <w:t>4.1 Measurement model</w:t>
      </w:r>
    </w:p>
    <w:p>
      <w:r>
        <w:rPr>
          <w:b w:val="0"/>
          <w:i w:val="0"/>
          <w:sz w:val="22"/>
        </w:rPr>
        <w:t>Indicator reliability (outer loadings). All 21 indicators loaded on their theorized construct above the 0.708 benchmark (Hair et al., 2022). Loadings ranged from 0.88-0.91 (UE), 0.85-0.91 (UX), 0.83-0.88 (BSAT), 0.88-0.91 (BSUC), and ~0.91 for both ATT items (Table 1).</w:t>
      </w:r>
    </w:p>
    <w:p>
      <w:r>
        <w:rPr>
          <w:b/>
          <w:sz w:val="20"/>
        </w:rPr>
        <w:t>Table 1. Indicator outer loadings by construct.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Construct</w:t>
            </w:r>
          </w:p>
        </w:tc>
        <w:tc>
          <w:tcPr>
            <w:tcW w:type="dxa" w:w="2160"/>
          </w:tcPr>
          <w:p>
            <w:r/>
            <w:r>
              <w:rPr>
                <w:b/>
                <w:sz w:val="19"/>
              </w:rPr>
              <w:t>Items</w:t>
            </w:r>
          </w:p>
        </w:tc>
        <w:tc>
          <w:tcPr>
            <w:tcW w:type="dxa" w:w="2160"/>
          </w:tcPr>
          <w:p>
            <w:r/>
            <w:r>
              <w:rPr>
                <w:b/>
                <w:sz w:val="19"/>
              </w:rPr>
              <w:t>Outer loading range</w:t>
            </w:r>
          </w:p>
        </w:tc>
        <w:tc>
          <w:tcPr>
            <w:tcW w:type="dxa" w:w="2160"/>
          </w:tcPr>
          <w:p>
            <w:r/>
            <w:r>
              <w:rPr>
                <w:b/>
                <w:sz w:val="19"/>
              </w:rPr>
              <w:t>All &gt;= 0.708?</w:t>
            </w:r>
          </w:p>
        </w:tc>
      </w:tr>
      <w:tr>
        <w:tc>
          <w:tcPr>
            <w:tcW w:type="dxa" w:w="2160"/>
          </w:tcPr>
          <w:p>
            <w:r/>
            <w:r>
              <w:rPr>
                <w:sz w:val="19"/>
              </w:rPr>
              <w:t>User Engagement (UE)</w:t>
            </w:r>
          </w:p>
        </w:tc>
        <w:tc>
          <w:tcPr>
            <w:tcW w:type="dxa" w:w="2160"/>
          </w:tcPr>
          <w:p>
            <w:r/>
            <w:r>
              <w:rPr>
                <w:sz w:val="19"/>
              </w:rPr>
              <w:t>UE1-UE5</w:t>
            </w:r>
          </w:p>
        </w:tc>
        <w:tc>
          <w:tcPr>
            <w:tcW w:type="dxa" w:w="2160"/>
          </w:tcPr>
          <w:p>
            <w:r/>
            <w:r>
              <w:rPr>
                <w:sz w:val="19"/>
              </w:rPr>
              <w:t>0.88 - 0.91</w:t>
            </w:r>
          </w:p>
        </w:tc>
        <w:tc>
          <w:tcPr>
            <w:tcW w:type="dxa" w:w="2160"/>
          </w:tcPr>
          <w:p>
            <w:r/>
            <w:r>
              <w:rPr>
                <w:sz w:val="19"/>
              </w:rPr>
              <w:t>Yes</w:t>
            </w:r>
          </w:p>
        </w:tc>
      </w:tr>
      <w:tr>
        <w:tc>
          <w:tcPr>
            <w:tcW w:type="dxa" w:w="2160"/>
          </w:tcPr>
          <w:p>
            <w:r/>
            <w:r>
              <w:rPr>
                <w:sz w:val="19"/>
              </w:rPr>
              <w:t>User Experience (UX)</w:t>
            </w:r>
          </w:p>
        </w:tc>
        <w:tc>
          <w:tcPr>
            <w:tcW w:type="dxa" w:w="2160"/>
          </w:tcPr>
          <w:p>
            <w:r/>
            <w:r>
              <w:rPr>
                <w:sz w:val="19"/>
              </w:rPr>
              <w:t>UX1-UX5</w:t>
            </w:r>
          </w:p>
        </w:tc>
        <w:tc>
          <w:tcPr>
            <w:tcW w:type="dxa" w:w="2160"/>
          </w:tcPr>
          <w:p>
            <w:r/>
            <w:r>
              <w:rPr>
                <w:sz w:val="19"/>
              </w:rPr>
              <w:t>0.85 - 0.91</w:t>
            </w:r>
          </w:p>
        </w:tc>
        <w:tc>
          <w:tcPr>
            <w:tcW w:type="dxa" w:w="2160"/>
          </w:tcPr>
          <w:p>
            <w:r/>
            <w:r>
              <w:rPr>
                <w:sz w:val="19"/>
              </w:rPr>
              <w:t>Yes</w:t>
            </w:r>
          </w:p>
        </w:tc>
      </w:tr>
      <w:tr>
        <w:tc>
          <w:tcPr>
            <w:tcW w:type="dxa" w:w="2160"/>
          </w:tcPr>
          <w:p>
            <w:r/>
            <w:r>
              <w:rPr>
                <w:sz w:val="19"/>
              </w:rPr>
              <w:t>Brand Satisfaction (BSAT)</w:t>
            </w:r>
          </w:p>
        </w:tc>
        <w:tc>
          <w:tcPr>
            <w:tcW w:type="dxa" w:w="2160"/>
          </w:tcPr>
          <w:p>
            <w:r/>
            <w:r>
              <w:rPr>
                <w:sz w:val="19"/>
              </w:rPr>
              <w:t>BSAT1-BSAT4</w:t>
            </w:r>
          </w:p>
        </w:tc>
        <w:tc>
          <w:tcPr>
            <w:tcW w:type="dxa" w:w="2160"/>
          </w:tcPr>
          <w:p>
            <w:r/>
            <w:r>
              <w:rPr>
                <w:sz w:val="19"/>
              </w:rPr>
              <w:t>0.83 - 0.88</w:t>
            </w:r>
          </w:p>
        </w:tc>
        <w:tc>
          <w:tcPr>
            <w:tcW w:type="dxa" w:w="2160"/>
          </w:tcPr>
          <w:p>
            <w:r/>
            <w:r>
              <w:rPr>
                <w:sz w:val="19"/>
              </w:rPr>
              <w:t>Yes</w:t>
            </w:r>
          </w:p>
        </w:tc>
      </w:tr>
      <w:tr>
        <w:tc>
          <w:tcPr>
            <w:tcW w:type="dxa" w:w="2160"/>
          </w:tcPr>
          <w:p>
            <w:r/>
            <w:r>
              <w:rPr>
                <w:sz w:val="19"/>
              </w:rPr>
              <w:t>Brand Success (BSUC)</w:t>
            </w:r>
          </w:p>
        </w:tc>
        <w:tc>
          <w:tcPr>
            <w:tcW w:type="dxa" w:w="2160"/>
          </w:tcPr>
          <w:p>
            <w:r/>
            <w:r>
              <w:rPr>
                <w:sz w:val="19"/>
              </w:rPr>
              <w:t>BSUC1-BSUC4</w:t>
            </w:r>
          </w:p>
        </w:tc>
        <w:tc>
          <w:tcPr>
            <w:tcW w:type="dxa" w:w="2160"/>
          </w:tcPr>
          <w:p>
            <w:r/>
            <w:r>
              <w:rPr>
                <w:sz w:val="19"/>
              </w:rPr>
              <w:t>0.88 - 0.91</w:t>
            </w:r>
          </w:p>
        </w:tc>
        <w:tc>
          <w:tcPr>
            <w:tcW w:type="dxa" w:w="2160"/>
          </w:tcPr>
          <w:p>
            <w:r/>
            <w:r>
              <w:rPr>
                <w:sz w:val="19"/>
              </w:rPr>
              <w:t>Yes</w:t>
            </w:r>
          </w:p>
        </w:tc>
      </w:tr>
      <w:tr>
        <w:tc>
          <w:tcPr>
            <w:tcW w:type="dxa" w:w="2160"/>
          </w:tcPr>
          <w:p>
            <w:r/>
            <w:r>
              <w:rPr>
                <w:sz w:val="19"/>
              </w:rPr>
              <w:t>Attitude (ATT)</w:t>
            </w:r>
          </w:p>
        </w:tc>
        <w:tc>
          <w:tcPr>
            <w:tcW w:type="dxa" w:w="2160"/>
          </w:tcPr>
          <w:p>
            <w:r/>
            <w:r>
              <w:rPr>
                <w:sz w:val="19"/>
              </w:rPr>
              <w:t>ATT_1, ATT_2</w:t>
            </w:r>
          </w:p>
        </w:tc>
        <w:tc>
          <w:tcPr>
            <w:tcW w:type="dxa" w:w="2160"/>
          </w:tcPr>
          <w:p>
            <w:r/>
            <w:r>
              <w:rPr>
                <w:sz w:val="19"/>
              </w:rPr>
              <w:t>~ 0.91</w:t>
            </w:r>
          </w:p>
        </w:tc>
        <w:tc>
          <w:tcPr>
            <w:tcW w:type="dxa" w:w="2160"/>
          </w:tcPr>
          <w:p>
            <w:r/>
            <w:r>
              <w:rPr>
                <w:sz w:val="19"/>
              </w:rPr>
              <w:t>Yes</w:t>
            </w:r>
          </w:p>
        </w:tc>
      </w:tr>
    </w:tbl>
    <w:p>
      <w:r>
        <w:rPr>
          <w:i/>
          <w:color w:val="555555"/>
          <w:sz w:val="18"/>
        </w:rPr>
        <w:t>Note. Loadings reported as the empirical range observed within each construct block. Replace with item-level loadings if required.</w:t>
      </w:r>
    </w:p>
    <w:p>
      <w:r>
        <w:rPr>
          <w:b w:val="0"/>
          <w:i w:val="0"/>
          <w:sz w:val="22"/>
        </w:rPr>
        <w:t>Internal consistency and convergent validity. Cronbach's alpha ranges from 0.78 to 0.93 and composite reliability from 0.90 to 0.95 (both &gt; 0.70); AVE ranges from 0.73 to 0.82 (&gt; 0.50). Reliability and convergent validity are established (Table 2; visualized in Figure 3).</w:t>
      </w:r>
    </w:p>
    <w:p>
      <w:r>
        <w:rPr>
          <w:b/>
          <w:sz w:val="20"/>
        </w:rPr>
        <w:t>Table 2. Construct reliability and convergent validity.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Construct</w:t>
            </w:r>
          </w:p>
        </w:tc>
        <w:tc>
          <w:tcPr>
            <w:tcW w:type="dxa" w:w="1728"/>
          </w:tcPr>
          <w:p>
            <w:r/>
            <w:r>
              <w:rPr>
                <w:b/>
                <w:sz w:val="19"/>
              </w:rPr>
              <w:t>Items</w:t>
            </w:r>
          </w:p>
        </w:tc>
        <w:tc>
          <w:tcPr>
            <w:tcW w:type="dxa" w:w="1728"/>
          </w:tcPr>
          <w:p>
            <w:r/>
            <w:r>
              <w:rPr>
                <w:b/>
                <w:sz w:val="19"/>
              </w:rPr>
              <w:t>Cronbach's a</w:t>
            </w:r>
          </w:p>
        </w:tc>
        <w:tc>
          <w:tcPr>
            <w:tcW w:type="dxa" w:w="1728"/>
          </w:tcPr>
          <w:p>
            <w:r/>
            <w:r>
              <w:rPr>
                <w:b/>
                <w:sz w:val="19"/>
              </w:rPr>
              <w:t>Composite rho_C</w:t>
            </w:r>
          </w:p>
        </w:tc>
        <w:tc>
          <w:tcPr>
            <w:tcW w:type="dxa" w:w="1728"/>
          </w:tcPr>
          <w:p>
            <w:r/>
            <w:r>
              <w:rPr>
                <w:b/>
                <w:sz w:val="19"/>
              </w:rPr>
              <w:t>AVE</w:t>
            </w:r>
          </w:p>
        </w:tc>
      </w:tr>
      <w:tr>
        <w:tc>
          <w:tcPr>
            <w:tcW w:type="dxa" w:w="1728"/>
          </w:tcPr>
          <w:p>
            <w:r/>
            <w:r>
              <w:rPr>
                <w:sz w:val="19"/>
              </w:rPr>
              <w:t>User Engagement (UE)</w:t>
            </w:r>
          </w:p>
        </w:tc>
        <w:tc>
          <w:tcPr>
            <w:tcW w:type="dxa" w:w="1728"/>
          </w:tcPr>
          <w:p>
            <w:r/>
            <w:r>
              <w:rPr>
                <w:sz w:val="19"/>
              </w:rPr>
              <w:t>5</w:t>
            </w:r>
          </w:p>
        </w:tc>
        <w:tc>
          <w:tcPr>
            <w:tcW w:type="dxa" w:w="1728"/>
          </w:tcPr>
          <w:p>
            <w:r/>
            <w:r>
              <w:rPr>
                <w:sz w:val="19"/>
              </w:rPr>
              <w:t>0.93</w:t>
            </w:r>
          </w:p>
        </w:tc>
        <w:tc>
          <w:tcPr>
            <w:tcW w:type="dxa" w:w="1728"/>
          </w:tcPr>
          <w:p>
            <w:r/>
            <w:r>
              <w:rPr>
                <w:sz w:val="19"/>
              </w:rPr>
              <w:t>0.95</w:t>
            </w:r>
          </w:p>
        </w:tc>
        <w:tc>
          <w:tcPr>
            <w:tcW w:type="dxa" w:w="1728"/>
          </w:tcPr>
          <w:p>
            <w:r/>
            <w:r>
              <w:rPr>
                <w:sz w:val="19"/>
              </w:rPr>
              <w:t>0.79</w:t>
            </w:r>
          </w:p>
        </w:tc>
      </w:tr>
      <w:tr>
        <w:tc>
          <w:tcPr>
            <w:tcW w:type="dxa" w:w="1728"/>
          </w:tcPr>
          <w:p>
            <w:r/>
            <w:r>
              <w:rPr>
                <w:sz w:val="19"/>
              </w:rPr>
              <w:t>User Experience (UX)</w:t>
            </w:r>
          </w:p>
        </w:tc>
        <w:tc>
          <w:tcPr>
            <w:tcW w:type="dxa" w:w="1728"/>
          </w:tcPr>
          <w:p>
            <w:r/>
            <w:r>
              <w:rPr>
                <w:sz w:val="19"/>
              </w:rPr>
              <w:t>5</w:t>
            </w:r>
          </w:p>
        </w:tc>
        <w:tc>
          <w:tcPr>
            <w:tcW w:type="dxa" w:w="1728"/>
          </w:tcPr>
          <w:p>
            <w:r/>
            <w:r>
              <w:rPr>
                <w:sz w:val="19"/>
              </w:rPr>
              <w:t>0.92</w:t>
            </w:r>
          </w:p>
        </w:tc>
        <w:tc>
          <w:tcPr>
            <w:tcW w:type="dxa" w:w="1728"/>
          </w:tcPr>
          <w:p>
            <w:r/>
            <w:r>
              <w:rPr>
                <w:sz w:val="19"/>
              </w:rPr>
              <w:t>0.94</w:t>
            </w:r>
          </w:p>
        </w:tc>
        <w:tc>
          <w:tcPr>
            <w:tcW w:type="dxa" w:w="1728"/>
          </w:tcPr>
          <w:p>
            <w:r/>
            <w:r>
              <w:rPr>
                <w:sz w:val="19"/>
              </w:rPr>
              <w:t>0.77</w:t>
            </w:r>
          </w:p>
        </w:tc>
      </w:tr>
      <w:tr>
        <w:tc>
          <w:tcPr>
            <w:tcW w:type="dxa" w:w="1728"/>
          </w:tcPr>
          <w:p>
            <w:r/>
            <w:r>
              <w:rPr>
                <w:sz w:val="19"/>
              </w:rPr>
              <w:t>Brand Satisfaction (BSAT)</w:t>
            </w:r>
          </w:p>
        </w:tc>
        <w:tc>
          <w:tcPr>
            <w:tcW w:type="dxa" w:w="1728"/>
          </w:tcPr>
          <w:p>
            <w:r/>
            <w:r>
              <w:rPr>
                <w:sz w:val="19"/>
              </w:rPr>
              <w:t>4</w:t>
            </w:r>
          </w:p>
        </w:tc>
        <w:tc>
          <w:tcPr>
            <w:tcW w:type="dxa" w:w="1728"/>
          </w:tcPr>
          <w:p>
            <w:r/>
            <w:r>
              <w:rPr>
                <w:sz w:val="19"/>
              </w:rPr>
              <w:t>0.90</w:t>
            </w:r>
          </w:p>
        </w:tc>
        <w:tc>
          <w:tcPr>
            <w:tcW w:type="dxa" w:w="1728"/>
          </w:tcPr>
          <w:p>
            <w:r/>
            <w:r>
              <w:rPr>
                <w:sz w:val="19"/>
              </w:rPr>
              <w:t>0.95</w:t>
            </w:r>
          </w:p>
        </w:tc>
        <w:tc>
          <w:tcPr>
            <w:tcW w:type="dxa" w:w="1728"/>
          </w:tcPr>
          <w:p>
            <w:r/>
            <w:r>
              <w:rPr>
                <w:sz w:val="19"/>
              </w:rPr>
              <w:t>0.73</w:t>
            </w:r>
          </w:p>
        </w:tc>
      </w:tr>
      <w:tr>
        <w:tc>
          <w:tcPr>
            <w:tcW w:type="dxa" w:w="1728"/>
          </w:tcPr>
          <w:p>
            <w:r/>
            <w:r>
              <w:rPr>
                <w:sz w:val="19"/>
              </w:rPr>
              <w:t>Brand Success (BSUC)</w:t>
            </w:r>
          </w:p>
        </w:tc>
        <w:tc>
          <w:tcPr>
            <w:tcW w:type="dxa" w:w="1728"/>
          </w:tcPr>
          <w:p>
            <w:r/>
            <w:r>
              <w:rPr>
                <w:sz w:val="19"/>
              </w:rPr>
              <w:t>4</w:t>
            </w:r>
          </w:p>
        </w:tc>
        <w:tc>
          <w:tcPr>
            <w:tcW w:type="dxa" w:w="1728"/>
          </w:tcPr>
          <w:p>
            <w:r/>
            <w:r>
              <w:rPr>
                <w:sz w:val="19"/>
              </w:rPr>
              <w:t>0.90</w:t>
            </w:r>
          </w:p>
        </w:tc>
        <w:tc>
          <w:tcPr>
            <w:tcW w:type="dxa" w:w="1728"/>
          </w:tcPr>
          <w:p>
            <w:r/>
            <w:r>
              <w:rPr>
                <w:sz w:val="19"/>
              </w:rPr>
              <w:t>0.93</w:t>
            </w:r>
          </w:p>
        </w:tc>
        <w:tc>
          <w:tcPr>
            <w:tcW w:type="dxa" w:w="1728"/>
          </w:tcPr>
          <w:p>
            <w:r/>
            <w:r>
              <w:rPr>
                <w:sz w:val="19"/>
              </w:rPr>
              <w:t>0.77</w:t>
            </w:r>
          </w:p>
        </w:tc>
      </w:tr>
      <w:tr>
        <w:tc>
          <w:tcPr>
            <w:tcW w:type="dxa" w:w="1728"/>
          </w:tcPr>
          <w:p>
            <w:r/>
            <w:r>
              <w:rPr>
                <w:sz w:val="19"/>
              </w:rPr>
              <w:t>Attitude (ATT)</w:t>
            </w:r>
          </w:p>
        </w:tc>
        <w:tc>
          <w:tcPr>
            <w:tcW w:type="dxa" w:w="1728"/>
          </w:tcPr>
          <w:p>
            <w:r/>
            <w:r>
              <w:rPr>
                <w:sz w:val="19"/>
              </w:rPr>
              <w:t>2</w:t>
            </w:r>
          </w:p>
        </w:tc>
        <w:tc>
          <w:tcPr>
            <w:tcW w:type="dxa" w:w="1728"/>
          </w:tcPr>
          <w:p>
            <w:r/>
            <w:r>
              <w:rPr>
                <w:sz w:val="19"/>
              </w:rPr>
              <w:t>0.78</w:t>
            </w:r>
          </w:p>
        </w:tc>
        <w:tc>
          <w:tcPr>
            <w:tcW w:type="dxa" w:w="1728"/>
          </w:tcPr>
          <w:p>
            <w:r/>
            <w:r>
              <w:rPr>
                <w:sz w:val="19"/>
              </w:rPr>
              <w:t>0.90</w:t>
            </w:r>
          </w:p>
        </w:tc>
        <w:tc>
          <w:tcPr>
            <w:tcW w:type="dxa" w:w="1728"/>
          </w:tcPr>
          <w:p>
            <w:r/>
            <w:r>
              <w:rPr>
                <w:sz w:val="19"/>
              </w:rPr>
              <w:t>0.82</w:t>
            </w:r>
          </w:p>
        </w:tc>
      </w:tr>
    </w:tbl>
    <w:p>
      <w:r>
        <w:rPr>
          <w:i/>
          <w:color w:val="555555"/>
          <w:sz w:val="18"/>
        </w:rPr>
        <w:t>Note. All a and rho_C &gt;= 0.70; all AVE &gt;= 0.50 (Hair et al., 2022). Values taken directly from the uploaded PLS-SEM analysis.</w:t>
      </w:r>
    </w:p>
    <w:p>
      <w:r>
        <w:rPr>
          <w:b w:val="0"/>
          <w:i w:val="0"/>
          <w:sz w:val="22"/>
        </w:rPr>
        <w:t>Discriminant validity. The square root of each construct's AVE (Table 3 diagonal) exceeds its correlations with other constructs (e.g., sqrt(AVE(UE)) = 0.89), and all HTMT ratios are below 0.85 (Table 4). Discriminant validity is supported.</w:t>
      </w:r>
    </w:p>
    <w:p>
      <w:r>
        <w:rPr>
          <w:b/>
          <w:sz w:val="20"/>
        </w:rPr>
        <w:t>Table 3. Fornell-Larcker matrix (sqrt(AVE) on diagonal).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Construct</w:t>
            </w:r>
          </w:p>
        </w:tc>
        <w:tc>
          <w:tcPr>
            <w:tcW w:type="dxa" w:w="1440"/>
          </w:tcPr>
          <w:p>
            <w:r/>
            <w:r>
              <w:rPr>
                <w:b/>
                <w:sz w:val="19"/>
              </w:rPr>
              <w:t>UE</w:t>
            </w:r>
          </w:p>
        </w:tc>
        <w:tc>
          <w:tcPr>
            <w:tcW w:type="dxa" w:w="1440"/>
          </w:tcPr>
          <w:p>
            <w:r/>
            <w:r>
              <w:rPr>
                <w:b/>
                <w:sz w:val="19"/>
              </w:rPr>
              <w:t>UX</w:t>
            </w:r>
          </w:p>
        </w:tc>
        <w:tc>
          <w:tcPr>
            <w:tcW w:type="dxa" w:w="1440"/>
          </w:tcPr>
          <w:p>
            <w:r/>
            <w:r>
              <w:rPr>
                <w:b/>
                <w:sz w:val="19"/>
              </w:rPr>
              <w:t>BSAT</w:t>
            </w:r>
          </w:p>
        </w:tc>
        <w:tc>
          <w:tcPr>
            <w:tcW w:type="dxa" w:w="1440"/>
          </w:tcPr>
          <w:p>
            <w:r/>
            <w:r>
              <w:rPr>
                <w:b/>
                <w:sz w:val="19"/>
              </w:rPr>
              <w:t>BSUC</w:t>
            </w:r>
          </w:p>
        </w:tc>
        <w:tc>
          <w:tcPr>
            <w:tcW w:type="dxa" w:w="1440"/>
          </w:tcPr>
          <w:p>
            <w:r/>
            <w:r>
              <w:rPr>
                <w:b/>
                <w:sz w:val="19"/>
              </w:rPr>
              <w:t>ATT</w:t>
            </w:r>
          </w:p>
        </w:tc>
      </w:tr>
      <w:tr>
        <w:tc>
          <w:tcPr>
            <w:tcW w:type="dxa" w:w="1440"/>
          </w:tcPr>
          <w:p>
            <w:r/>
            <w:r>
              <w:rPr>
                <w:sz w:val="19"/>
              </w:rPr>
              <w:t>UE</w:t>
            </w:r>
          </w:p>
        </w:tc>
        <w:tc>
          <w:tcPr>
            <w:tcW w:type="dxa" w:w="1440"/>
          </w:tcPr>
          <w:p>
            <w:r/>
            <w:r>
              <w:rPr>
                <w:sz w:val="19"/>
              </w:rPr>
              <w:t>0.889</w:t>
            </w:r>
          </w:p>
        </w:tc>
        <w:tc>
          <w:tcPr>
            <w:tcW w:type="dxa" w:w="1440"/>
          </w:tcPr>
          <w:p>
            <w:r/>
            <w:r>
              <w:rPr>
                <w:sz w:val="19"/>
              </w:rPr>
            </w:r>
          </w:p>
        </w:tc>
        <w:tc>
          <w:tcPr>
            <w:tcW w:type="dxa" w:w="1440"/>
          </w:tcPr>
          <w:p>
            <w:r/>
            <w:r>
              <w:rPr>
                <w:sz w:val="19"/>
              </w:rPr>
            </w:r>
          </w:p>
        </w:tc>
        <w:tc>
          <w:tcPr>
            <w:tcW w:type="dxa" w:w="1440"/>
          </w:tcPr>
          <w:p>
            <w:r/>
            <w:r>
              <w:rPr>
                <w:sz w:val="19"/>
              </w:rPr>
            </w:r>
          </w:p>
        </w:tc>
        <w:tc>
          <w:tcPr>
            <w:tcW w:type="dxa" w:w="1440"/>
          </w:tcPr>
          <w:p>
            <w:r/>
            <w:r>
              <w:rPr>
                <w:sz w:val="19"/>
              </w:rPr>
            </w:r>
          </w:p>
        </w:tc>
      </w:tr>
      <w:tr>
        <w:tc>
          <w:tcPr>
            <w:tcW w:type="dxa" w:w="1440"/>
          </w:tcPr>
          <w:p>
            <w:r/>
            <w:r>
              <w:rPr>
                <w:sz w:val="19"/>
              </w:rPr>
              <w:t>UX</w:t>
            </w:r>
          </w:p>
        </w:tc>
        <w:tc>
          <w:tcPr>
            <w:tcW w:type="dxa" w:w="1440"/>
          </w:tcPr>
          <w:p>
            <w:r/>
            <w:r>
              <w:rPr>
                <w:sz w:val="19"/>
              </w:rPr>
              <w:t>[REPLACE]</w:t>
            </w:r>
          </w:p>
        </w:tc>
        <w:tc>
          <w:tcPr>
            <w:tcW w:type="dxa" w:w="1440"/>
          </w:tcPr>
          <w:p>
            <w:r/>
            <w:r>
              <w:rPr>
                <w:sz w:val="19"/>
              </w:rPr>
              <w:t>0.877</w:t>
            </w:r>
          </w:p>
        </w:tc>
        <w:tc>
          <w:tcPr>
            <w:tcW w:type="dxa" w:w="1440"/>
          </w:tcPr>
          <w:p>
            <w:r/>
            <w:r>
              <w:rPr>
                <w:sz w:val="19"/>
              </w:rPr>
            </w:r>
          </w:p>
        </w:tc>
        <w:tc>
          <w:tcPr>
            <w:tcW w:type="dxa" w:w="1440"/>
          </w:tcPr>
          <w:p>
            <w:r/>
            <w:r>
              <w:rPr>
                <w:sz w:val="19"/>
              </w:rPr>
            </w:r>
          </w:p>
        </w:tc>
        <w:tc>
          <w:tcPr>
            <w:tcW w:type="dxa" w:w="1440"/>
          </w:tcPr>
          <w:p>
            <w:r/>
            <w:r>
              <w:rPr>
                <w:sz w:val="19"/>
              </w:rPr>
            </w:r>
          </w:p>
        </w:tc>
      </w:tr>
      <w:tr>
        <w:tc>
          <w:tcPr>
            <w:tcW w:type="dxa" w:w="1440"/>
          </w:tcPr>
          <w:p>
            <w:r/>
            <w:r>
              <w:rPr>
                <w:sz w:val="19"/>
              </w:rPr>
              <w:t>BSAT</w:t>
            </w:r>
          </w:p>
        </w:tc>
        <w:tc>
          <w:tcPr>
            <w:tcW w:type="dxa" w:w="1440"/>
          </w:tcPr>
          <w:p>
            <w:r/>
            <w:r>
              <w:rPr>
                <w:sz w:val="19"/>
              </w:rPr>
              <w:t>[REPLACE]</w:t>
            </w:r>
          </w:p>
        </w:tc>
        <w:tc>
          <w:tcPr>
            <w:tcW w:type="dxa" w:w="1440"/>
          </w:tcPr>
          <w:p>
            <w:r/>
            <w:r>
              <w:rPr>
                <w:sz w:val="19"/>
              </w:rPr>
              <w:t>[REPLACE]</w:t>
            </w:r>
          </w:p>
        </w:tc>
        <w:tc>
          <w:tcPr>
            <w:tcW w:type="dxa" w:w="1440"/>
          </w:tcPr>
          <w:p>
            <w:r/>
            <w:r>
              <w:rPr>
                <w:sz w:val="19"/>
              </w:rPr>
              <w:t>0.854</w:t>
            </w:r>
          </w:p>
        </w:tc>
        <w:tc>
          <w:tcPr>
            <w:tcW w:type="dxa" w:w="1440"/>
          </w:tcPr>
          <w:p>
            <w:r/>
            <w:r>
              <w:rPr>
                <w:sz w:val="19"/>
              </w:rPr>
            </w:r>
          </w:p>
        </w:tc>
        <w:tc>
          <w:tcPr>
            <w:tcW w:type="dxa" w:w="1440"/>
          </w:tcPr>
          <w:p>
            <w:r/>
            <w:r>
              <w:rPr>
                <w:sz w:val="19"/>
              </w:rPr>
            </w:r>
          </w:p>
        </w:tc>
      </w:tr>
      <w:tr>
        <w:tc>
          <w:tcPr>
            <w:tcW w:type="dxa" w:w="1440"/>
          </w:tcPr>
          <w:p>
            <w:r/>
            <w:r>
              <w:rPr>
                <w:sz w:val="19"/>
              </w:rPr>
              <w:t>BSUC</w:t>
            </w:r>
          </w:p>
        </w:tc>
        <w:tc>
          <w:tcPr>
            <w:tcW w:type="dxa" w:w="1440"/>
          </w:tcPr>
          <w:p>
            <w:r/>
            <w:r>
              <w:rPr>
                <w:sz w:val="19"/>
              </w:rPr>
              <w:t>[REPLACE]</w:t>
            </w:r>
          </w:p>
        </w:tc>
        <w:tc>
          <w:tcPr>
            <w:tcW w:type="dxa" w:w="1440"/>
          </w:tcPr>
          <w:p>
            <w:r/>
            <w:r>
              <w:rPr>
                <w:sz w:val="19"/>
              </w:rPr>
              <w:t>[REPLACE]</w:t>
            </w:r>
          </w:p>
        </w:tc>
        <w:tc>
          <w:tcPr>
            <w:tcW w:type="dxa" w:w="1440"/>
          </w:tcPr>
          <w:p>
            <w:r/>
            <w:r>
              <w:rPr>
                <w:sz w:val="19"/>
              </w:rPr>
              <w:t>[REPLACE]</w:t>
            </w:r>
          </w:p>
        </w:tc>
        <w:tc>
          <w:tcPr>
            <w:tcW w:type="dxa" w:w="1440"/>
          </w:tcPr>
          <w:p>
            <w:r/>
            <w:r>
              <w:rPr>
                <w:sz w:val="19"/>
              </w:rPr>
              <w:t>0.878</w:t>
            </w:r>
          </w:p>
        </w:tc>
        <w:tc>
          <w:tcPr>
            <w:tcW w:type="dxa" w:w="1440"/>
          </w:tcPr>
          <w:p>
            <w:r/>
            <w:r>
              <w:rPr>
                <w:sz w:val="19"/>
              </w:rPr>
            </w:r>
          </w:p>
        </w:tc>
      </w:tr>
      <w:tr>
        <w:tc>
          <w:tcPr>
            <w:tcW w:type="dxa" w:w="1440"/>
          </w:tcPr>
          <w:p>
            <w:r/>
            <w:r>
              <w:rPr>
                <w:sz w:val="19"/>
              </w:rPr>
              <w:t>ATT</w:t>
            </w:r>
          </w:p>
        </w:tc>
        <w:tc>
          <w:tcPr>
            <w:tcW w:type="dxa" w:w="1440"/>
          </w:tcPr>
          <w:p>
            <w:r/>
            <w:r>
              <w:rPr>
                <w:sz w:val="19"/>
              </w:rPr>
              <w:t>[REPLACE]</w:t>
            </w:r>
          </w:p>
        </w:tc>
        <w:tc>
          <w:tcPr>
            <w:tcW w:type="dxa" w:w="1440"/>
          </w:tcPr>
          <w:p>
            <w:r/>
            <w:r>
              <w:rPr>
                <w:sz w:val="19"/>
              </w:rPr>
              <w:t>[REPLACE]</w:t>
            </w:r>
          </w:p>
        </w:tc>
        <w:tc>
          <w:tcPr>
            <w:tcW w:type="dxa" w:w="1440"/>
          </w:tcPr>
          <w:p>
            <w:r/>
            <w:r>
              <w:rPr>
                <w:sz w:val="19"/>
              </w:rPr>
              <w:t>[REPLACE]</w:t>
            </w:r>
          </w:p>
        </w:tc>
        <w:tc>
          <w:tcPr>
            <w:tcW w:type="dxa" w:w="1440"/>
          </w:tcPr>
          <w:p>
            <w:r/>
            <w:r>
              <w:rPr>
                <w:sz w:val="19"/>
              </w:rPr>
              <w:t>[REPLACE]</w:t>
            </w:r>
          </w:p>
        </w:tc>
        <w:tc>
          <w:tcPr>
            <w:tcW w:type="dxa" w:w="1440"/>
          </w:tcPr>
          <w:p>
            <w:r/>
            <w:r>
              <w:rPr>
                <w:sz w:val="19"/>
              </w:rPr>
              <w:t>0.906</w:t>
            </w:r>
          </w:p>
        </w:tc>
      </w:tr>
    </w:tbl>
    <w:p>
      <w:r>
        <w:rPr>
          <w:i/>
          <w:color w:val="555555"/>
          <w:sz w:val="18"/>
        </w:rPr>
        <w:t>Note. Diagonal = sqrt(AVE) from Table 2. Off-diagonal = inter-construct correlations (smaller than diagonal per source; insert from SmartPLS output).</w:t>
      </w:r>
    </w:p>
    <w:p>
      <w:r>
        <w:rPr>
          <w:b/>
          <w:sz w:val="20"/>
        </w:rPr>
        <w:t>Table 4. Heterotrait-monotrait (HTMT) ratios.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Construct</w:t>
            </w:r>
          </w:p>
        </w:tc>
        <w:tc>
          <w:tcPr>
            <w:tcW w:type="dxa" w:w="1440"/>
          </w:tcPr>
          <w:p>
            <w:r/>
            <w:r>
              <w:rPr>
                <w:b/>
                <w:sz w:val="19"/>
              </w:rPr>
              <w:t>UE</w:t>
            </w:r>
          </w:p>
        </w:tc>
        <w:tc>
          <w:tcPr>
            <w:tcW w:type="dxa" w:w="1440"/>
          </w:tcPr>
          <w:p>
            <w:r/>
            <w:r>
              <w:rPr>
                <w:b/>
                <w:sz w:val="19"/>
              </w:rPr>
              <w:t>UX</w:t>
            </w:r>
          </w:p>
        </w:tc>
        <w:tc>
          <w:tcPr>
            <w:tcW w:type="dxa" w:w="1440"/>
          </w:tcPr>
          <w:p>
            <w:r/>
            <w:r>
              <w:rPr>
                <w:b/>
                <w:sz w:val="19"/>
              </w:rPr>
              <w:t>BSAT</w:t>
            </w:r>
          </w:p>
        </w:tc>
        <w:tc>
          <w:tcPr>
            <w:tcW w:type="dxa" w:w="1440"/>
          </w:tcPr>
          <w:p>
            <w:r/>
            <w:r>
              <w:rPr>
                <w:b/>
                <w:sz w:val="19"/>
              </w:rPr>
              <w:t>BSUC</w:t>
            </w:r>
          </w:p>
        </w:tc>
        <w:tc>
          <w:tcPr>
            <w:tcW w:type="dxa" w:w="1440"/>
          </w:tcPr>
          <w:p>
            <w:r/>
            <w:r>
              <w:rPr>
                <w:b/>
                <w:sz w:val="19"/>
              </w:rPr>
              <w:t>ATT</w:t>
            </w:r>
          </w:p>
        </w:tc>
      </w:tr>
      <w:tr>
        <w:tc>
          <w:tcPr>
            <w:tcW w:type="dxa" w:w="1440"/>
          </w:tcPr>
          <w:p>
            <w:r/>
            <w:r>
              <w:rPr>
                <w:sz w:val="19"/>
              </w:rPr>
              <w:t>UE</w:t>
            </w:r>
          </w:p>
        </w:tc>
        <w:tc>
          <w:tcPr>
            <w:tcW w:type="dxa" w:w="1440"/>
          </w:tcPr>
          <w:p>
            <w:r/>
            <w:r>
              <w:rPr>
                <w:sz w:val="19"/>
              </w:rPr>
              <w:t>-</w:t>
            </w:r>
          </w:p>
        </w:tc>
        <w:tc>
          <w:tcPr>
            <w:tcW w:type="dxa" w:w="1440"/>
          </w:tcPr>
          <w:p>
            <w:r/>
            <w:r>
              <w:rPr>
                <w:sz w:val="19"/>
              </w:rPr>
            </w:r>
          </w:p>
        </w:tc>
        <w:tc>
          <w:tcPr>
            <w:tcW w:type="dxa" w:w="1440"/>
          </w:tcPr>
          <w:p>
            <w:r/>
            <w:r>
              <w:rPr>
                <w:sz w:val="19"/>
              </w:rPr>
            </w:r>
          </w:p>
        </w:tc>
        <w:tc>
          <w:tcPr>
            <w:tcW w:type="dxa" w:w="1440"/>
          </w:tcPr>
          <w:p>
            <w:r/>
            <w:r>
              <w:rPr>
                <w:sz w:val="19"/>
              </w:rPr>
            </w:r>
          </w:p>
        </w:tc>
        <w:tc>
          <w:tcPr>
            <w:tcW w:type="dxa" w:w="1440"/>
          </w:tcPr>
          <w:p>
            <w:r/>
            <w:r>
              <w:rPr>
                <w:sz w:val="19"/>
              </w:rPr>
            </w:r>
          </w:p>
        </w:tc>
      </w:tr>
      <w:tr>
        <w:tc>
          <w:tcPr>
            <w:tcW w:type="dxa" w:w="1440"/>
          </w:tcPr>
          <w:p>
            <w:r/>
            <w:r>
              <w:rPr>
                <w:sz w:val="19"/>
              </w:rPr>
              <w:t>UX</w:t>
            </w:r>
          </w:p>
        </w:tc>
        <w:tc>
          <w:tcPr>
            <w:tcW w:type="dxa" w:w="1440"/>
          </w:tcPr>
          <w:p>
            <w:r/>
            <w:r>
              <w:rPr>
                <w:sz w:val="19"/>
              </w:rPr>
              <w:t>[REPLACE &lt;0.85]</w:t>
            </w:r>
          </w:p>
        </w:tc>
        <w:tc>
          <w:tcPr>
            <w:tcW w:type="dxa" w:w="1440"/>
          </w:tcPr>
          <w:p>
            <w:r/>
            <w:r>
              <w:rPr>
                <w:sz w:val="19"/>
              </w:rPr>
              <w:t>-</w:t>
            </w:r>
          </w:p>
        </w:tc>
        <w:tc>
          <w:tcPr>
            <w:tcW w:type="dxa" w:w="1440"/>
          </w:tcPr>
          <w:p>
            <w:r/>
            <w:r>
              <w:rPr>
                <w:sz w:val="19"/>
              </w:rPr>
            </w:r>
          </w:p>
        </w:tc>
        <w:tc>
          <w:tcPr>
            <w:tcW w:type="dxa" w:w="1440"/>
          </w:tcPr>
          <w:p>
            <w:r/>
            <w:r>
              <w:rPr>
                <w:sz w:val="19"/>
              </w:rPr>
            </w:r>
          </w:p>
        </w:tc>
        <w:tc>
          <w:tcPr>
            <w:tcW w:type="dxa" w:w="1440"/>
          </w:tcPr>
          <w:p>
            <w:r/>
            <w:r>
              <w:rPr>
                <w:sz w:val="19"/>
              </w:rPr>
            </w:r>
          </w:p>
        </w:tc>
      </w:tr>
      <w:tr>
        <w:tc>
          <w:tcPr>
            <w:tcW w:type="dxa" w:w="1440"/>
          </w:tcPr>
          <w:p>
            <w:r/>
            <w:r>
              <w:rPr>
                <w:sz w:val="19"/>
              </w:rPr>
              <w:t>BSAT</w:t>
            </w:r>
          </w:p>
        </w:tc>
        <w:tc>
          <w:tcPr>
            <w:tcW w:type="dxa" w:w="1440"/>
          </w:tcPr>
          <w:p>
            <w:r/>
            <w:r>
              <w:rPr>
                <w:sz w:val="19"/>
              </w:rPr>
              <w:t>[REPLACE &lt;0.85]</w:t>
            </w:r>
          </w:p>
        </w:tc>
        <w:tc>
          <w:tcPr>
            <w:tcW w:type="dxa" w:w="1440"/>
          </w:tcPr>
          <w:p>
            <w:r/>
            <w:r>
              <w:rPr>
                <w:sz w:val="19"/>
              </w:rPr>
              <w:t>[REPLACE &lt;0.85]</w:t>
            </w:r>
          </w:p>
        </w:tc>
        <w:tc>
          <w:tcPr>
            <w:tcW w:type="dxa" w:w="1440"/>
          </w:tcPr>
          <w:p>
            <w:r/>
            <w:r>
              <w:rPr>
                <w:sz w:val="19"/>
              </w:rPr>
              <w:t>-</w:t>
            </w:r>
          </w:p>
        </w:tc>
        <w:tc>
          <w:tcPr>
            <w:tcW w:type="dxa" w:w="1440"/>
          </w:tcPr>
          <w:p>
            <w:r/>
            <w:r>
              <w:rPr>
                <w:sz w:val="19"/>
              </w:rPr>
            </w:r>
          </w:p>
        </w:tc>
        <w:tc>
          <w:tcPr>
            <w:tcW w:type="dxa" w:w="1440"/>
          </w:tcPr>
          <w:p>
            <w:r/>
            <w:r>
              <w:rPr>
                <w:sz w:val="19"/>
              </w:rPr>
            </w:r>
          </w:p>
        </w:tc>
      </w:tr>
      <w:tr>
        <w:tc>
          <w:tcPr>
            <w:tcW w:type="dxa" w:w="1440"/>
          </w:tcPr>
          <w:p>
            <w:r/>
            <w:r>
              <w:rPr>
                <w:sz w:val="19"/>
              </w:rPr>
              <w:t>BSUC</w:t>
            </w:r>
          </w:p>
        </w:tc>
        <w:tc>
          <w:tcPr>
            <w:tcW w:type="dxa" w:w="1440"/>
          </w:tcPr>
          <w:p>
            <w:r/>
            <w:r>
              <w:rPr>
                <w:sz w:val="19"/>
              </w:rPr>
              <w:t>[REPLACE &lt;0.85]</w:t>
            </w:r>
          </w:p>
        </w:tc>
        <w:tc>
          <w:tcPr>
            <w:tcW w:type="dxa" w:w="1440"/>
          </w:tcPr>
          <w:p>
            <w:r/>
            <w:r>
              <w:rPr>
                <w:sz w:val="19"/>
              </w:rPr>
              <w:t>[REPLACE &lt;0.85]</w:t>
            </w:r>
          </w:p>
        </w:tc>
        <w:tc>
          <w:tcPr>
            <w:tcW w:type="dxa" w:w="1440"/>
          </w:tcPr>
          <w:p>
            <w:r/>
            <w:r>
              <w:rPr>
                <w:sz w:val="19"/>
              </w:rPr>
              <w:t>[REPLACE &lt;0.85]</w:t>
            </w:r>
          </w:p>
        </w:tc>
        <w:tc>
          <w:tcPr>
            <w:tcW w:type="dxa" w:w="1440"/>
          </w:tcPr>
          <w:p>
            <w:r/>
            <w:r>
              <w:rPr>
                <w:sz w:val="19"/>
              </w:rPr>
              <w:t>-</w:t>
            </w:r>
          </w:p>
        </w:tc>
        <w:tc>
          <w:tcPr>
            <w:tcW w:type="dxa" w:w="1440"/>
          </w:tcPr>
          <w:p>
            <w:r/>
            <w:r>
              <w:rPr>
                <w:sz w:val="19"/>
              </w:rPr>
            </w:r>
          </w:p>
        </w:tc>
      </w:tr>
      <w:tr>
        <w:tc>
          <w:tcPr>
            <w:tcW w:type="dxa" w:w="1440"/>
          </w:tcPr>
          <w:p>
            <w:r/>
            <w:r>
              <w:rPr>
                <w:sz w:val="19"/>
              </w:rPr>
              <w:t>ATT</w:t>
            </w:r>
          </w:p>
        </w:tc>
        <w:tc>
          <w:tcPr>
            <w:tcW w:type="dxa" w:w="1440"/>
          </w:tcPr>
          <w:p>
            <w:r/>
            <w:r>
              <w:rPr>
                <w:sz w:val="19"/>
              </w:rPr>
              <w:t>[REPLACE &lt;0.85]</w:t>
            </w:r>
          </w:p>
        </w:tc>
        <w:tc>
          <w:tcPr>
            <w:tcW w:type="dxa" w:w="1440"/>
          </w:tcPr>
          <w:p>
            <w:r/>
            <w:r>
              <w:rPr>
                <w:sz w:val="19"/>
              </w:rPr>
              <w:t>[REPLACE &lt;0.85]</w:t>
            </w:r>
          </w:p>
        </w:tc>
        <w:tc>
          <w:tcPr>
            <w:tcW w:type="dxa" w:w="1440"/>
          </w:tcPr>
          <w:p>
            <w:r/>
            <w:r>
              <w:rPr>
                <w:sz w:val="19"/>
              </w:rPr>
              <w:t>[REPLACE &lt;0.85]</w:t>
            </w:r>
          </w:p>
        </w:tc>
        <w:tc>
          <w:tcPr>
            <w:tcW w:type="dxa" w:w="1440"/>
          </w:tcPr>
          <w:p>
            <w:r/>
            <w:r>
              <w:rPr>
                <w:sz w:val="19"/>
              </w:rPr>
              <w:t>[REPLACE &lt;0.85]</w:t>
            </w:r>
          </w:p>
        </w:tc>
        <w:tc>
          <w:tcPr>
            <w:tcW w:type="dxa" w:w="1440"/>
          </w:tcPr>
          <w:p>
            <w:r/>
            <w:r>
              <w:rPr>
                <w:sz w:val="19"/>
              </w:rPr>
              <w:t>-</w:t>
            </w:r>
          </w:p>
        </w:tc>
      </w:tr>
    </w:tbl>
    <w:p>
      <w:r>
        <w:rPr>
          <w:i/>
          <w:color w:val="555555"/>
          <w:sz w:val="18"/>
        </w:rPr>
        <w:t>Note. Source confirms all HTMT &lt; 0.85 but does not tabulate the matrix; insert values.</w:t>
      </w:r>
    </w:p>
    <w:p>
      <w:r>
        <w:rPr>
          <w:b w:val="0"/>
          <w:i w:val="0"/>
          <w:sz w:val="22"/>
        </w:rPr>
        <w:t>Common method bias and collinearity. All indicator-block VIFs were below 3 (threshold = 5), so multicollinearity and common-method bias are unlikely to threaten the structural estimates. The measurement model satisfies all standard criteria, so we proceed to the structural model.</w:t>
      </w:r>
    </w:p>
    <w:p>
      <w:pPr>
        <w:pStyle w:val="Heading2"/>
      </w:pPr>
      <w:r>
        <w:t>4.2 Structural model and hypothesis testing</w:t>
      </w:r>
    </w:p>
    <w:p>
      <w:r>
        <w:rPr>
          <w:b/>
          <w:color w:val="7A1F1F"/>
          <w:sz w:val="19"/>
        </w:rPr>
        <w:t>[REPLACE] All coefficients, t-values, p-values, R2, f2, and Q2 in this section are illustrative placeholders for the SOP (BSUC-outcome) model, which was not estimated in the uploaded analysis. Re-estimate (UE, UX -&gt; BSAT -&gt; BSUC; UE, UX -&gt; BSUC) in SmartPLS and substitute actual values.</w:t>
      </w:r>
    </w:p>
    <w:p>
      <w:pPr>
        <w:jc w:val="center"/>
      </w:pPr>
      <w:r>
        <w:drawing>
          <wp:inline xmlns:a="http://schemas.openxmlformats.org/drawingml/2006/main" xmlns:pic="http://schemas.openxmlformats.org/drawingml/2006/picture">
            <wp:extent cx="5669280" cy="3493193"/>
            <wp:docPr id="1" name="Picture 1"/>
            <wp:cNvGraphicFramePr>
              <a:graphicFrameLocks noChangeAspect="1"/>
            </wp:cNvGraphicFramePr>
            <a:graphic>
              <a:graphicData uri="http://schemas.openxmlformats.org/drawingml/2006/picture">
                <pic:pic>
                  <pic:nvPicPr>
                    <pic:cNvPr id="0" name="figure1_structural_model.png"/>
                    <pic:cNvPicPr/>
                  </pic:nvPicPr>
                  <pic:blipFill>
                    <a:blip r:embed="rId9"/>
                    <a:stretch>
                      <a:fillRect/>
                    </a:stretch>
                  </pic:blipFill>
                  <pic:spPr>
                    <a:xfrm>
                      <a:off x="0" y="0"/>
                      <a:ext cx="5669280" cy="3493193"/>
                    </a:xfrm>
                    <a:prstGeom prst="rect"/>
                  </pic:spPr>
                </pic:pic>
              </a:graphicData>
            </a:graphic>
          </wp:inline>
        </w:drawing>
      </w:r>
    </w:p>
    <w:p>
      <w:r>
        <w:rPr>
          <w:i/>
          <w:color w:val="555555"/>
          <w:sz w:val="18"/>
        </w:rPr>
        <w:t>Figure 1. Structural model for avatar-mediated brand success. UE: User Engagement; UX: User Experience; BSAT: Brand Satisfaction; BSUC: Brand Success. Dashed lines = direct effects (H1, H2); solid lines = mediation chain (H3). Coefficients are [REPLACE] placeholders.</w:t>
      </w:r>
    </w:p>
    <w:p>
      <w:r>
        <w:rPr>
          <w:b w:val="0"/>
          <w:i w:val="0"/>
          <w:sz w:val="22"/>
        </w:rPr>
        <w:t>Explanatory power (R2). The antecedents explain R2 = 0.46 [REPLACE] of the variance in BSAT and R2 = 0.55 [REPLACE] of the variance in BSUC (moderate to substantial; Hair et al., 2022).</w:t>
      </w:r>
    </w:p>
    <w:p>
      <w:r>
        <w:rPr>
          <w:b w:val="0"/>
          <w:i w:val="0"/>
          <w:sz w:val="22"/>
        </w:rPr>
        <w:t>Paths to the mediator. UE -&gt; BSAT (beta = 0.34 [REPLACE], t = 5.9, p &lt; 0.001) and UX -&gt; BSAT (beta = 0.41 [REPLACE], t = 7.2, p &lt; 0.001) are both positive and significant.</w:t>
      </w:r>
    </w:p>
    <w:p>
      <w:r>
        <w:rPr>
          <w:b w:val="0"/>
          <w:i w:val="0"/>
          <w:sz w:val="22"/>
        </w:rPr>
        <w:t>Direct effects (H1, H2). UE -&gt; BSUC (beta = 0.23 [REPLACE], t = 3.9, p &lt; 0.001) supports H1. UX -&gt; BSUC (beta = 0.20 [REPLACE], t = 3.1, p &lt; 0.01) supports H2. BSAT -&gt; BSUC (beta = 0.39 [REPLACE], t = 6.6, p &lt; 0.001) is the strongest single predictor.</w:t>
      </w:r>
    </w:p>
    <w:p>
      <w:r>
        <w:rPr>
          <w:b/>
          <w:sz w:val="20"/>
        </w:rPr>
        <w:t>Table 5. Structural path coefficients (direct effects).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Path</w:t>
            </w:r>
          </w:p>
        </w:tc>
        <w:tc>
          <w:tcPr>
            <w:tcW w:type="dxa" w:w="1728"/>
          </w:tcPr>
          <w:p>
            <w:r/>
            <w:r>
              <w:rPr>
                <w:b/>
                <w:sz w:val="19"/>
              </w:rPr>
              <w:t>Std. beta</w:t>
            </w:r>
          </w:p>
        </w:tc>
        <w:tc>
          <w:tcPr>
            <w:tcW w:type="dxa" w:w="1728"/>
          </w:tcPr>
          <w:p>
            <w:r/>
            <w:r>
              <w:rPr>
                <w:b/>
                <w:sz w:val="19"/>
              </w:rPr>
              <w:t>t-value</w:t>
            </w:r>
          </w:p>
        </w:tc>
        <w:tc>
          <w:tcPr>
            <w:tcW w:type="dxa" w:w="1728"/>
          </w:tcPr>
          <w:p>
            <w:r/>
            <w:r>
              <w:rPr>
                <w:b/>
                <w:sz w:val="19"/>
              </w:rPr>
              <w:t>p-value</w:t>
            </w:r>
          </w:p>
        </w:tc>
        <w:tc>
          <w:tcPr>
            <w:tcW w:type="dxa" w:w="1728"/>
          </w:tcPr>
          <w:p>
            <w:r/>
            <w:r>
              <w:rPr>
                <w:b/>
                <w:sz w:val="19"/>
              </w:rPr>
              <w:t>Decision</w:t>
            </w:r>
          </w:p>
        </w:tc>
      </w:tr>
      <w:tr>
        <w:tc>
          <w:tcPr>
            <w:tcW w:type="dxa" w:w="1728"/>
          </w:tcPr>
          <w:p>
            <w:r/>
            <w:r>
              <w:rPr>
                <w:sz w:val="19"/>
              </w:rPr>
              <w:t>UE -&gt; BSAT</w:t>
            </w:r>
          </w:p>
        </w:tc>
        <w:tc>
          <w:tcPr>
            <w:tcW w:type="dxa" w:w="1728"/>
          </w:tcPr>
          <w:p>
            <w:r/>
            <w:r>
              <w:rPr>
                <w:sz w:val="19"/>
              </w:rPr>
              <w:t>0.34 [REPLACE]</w:t>
            </w:r>
          </w:p>
        </w:tc>
        <w:tc>
          <w:tcPr>
            <w:tcW w:type="dxa" w:w="1728"/>
          </w:tcPr>
          <w:p>
            <w:r/>
            <w:r>
              <w:rPr>
                <w:sz w:val="19"/>
              </w:rPr>
              <w:t>5.90</w:t>
            </w:r>
          </w:p>
        </w:tc>
        <w:tc>
          <w:tcPr>
            <w:tcW w:type="dxa" w:w="1728"/>
          </w:tcPr>
          <w:p>
            <w:r/>
            <w:r>
              <w:rPr>
                <w:sz w:val="19"/>
              </w:rPr>
              <w:t>&lt; 0.001</w:t>
            </w:r>
          </w:p>
        </w:tc>
        <w:tc>
          <w:tcPr>
            <w:tcW w:type="dxa" w:w="1728"/>
          </w:tcPr>
          <w:p>
            <w:r/>
            <w:r>
              <w:rPr>
                <w:sz w:val="19"/>
              </w:rPr>
              <w:t>Significant</w:t>
            </w:r>
          </w:p>
        </w:tc>
      </w:tr>
      <w:tr>
        <w:tc>
          <w:tcPr>
            <w:tcW w:type="dxa" w:w="1728"/>
          </w:tcPr>
          <w:p>
            <w:r/>
            <w:r>
              <w:rPr>
                <w:sz w:val="19"/>
              </w:rPr>
              <w:t>UX -&gt; BSAT</w:t>
            </w:r>
          </w:p>
        </w:tc>
        <w:tc>
          <w:tcPr>
            <w:tcW w:type="dxa" w:w="1728"/>
          </w:tcPr>
          <w:p>
            <w:r/>
            <w:r>
              <w:rPr>
                <w:sz w:val="19"/>
              </w:rPr>
              <w:t>0.41 [REPLACE]</w:t>
            </w:r>
          </w:p>
        </w:tc>
        <w:tc>
          <w:tcPr>
            <w:tcW w:type="dxa" w:w="1728"/>
          </w:tcPr>
          <w:p>
            <w:r/>
            <w:r>
              <w:rPr>
                <w:sz w:val="19"/>
              </w:rPr>
              <w:t>7.20</w:t>
            </w:r>
          </w:p>
        </w:tc>
        <w:tc>
          <w:tcPr>
            <w:tcW w:type="dxa" w:w="1728"/>
          </w:tcPr>
          <w:p>
            <w:r/>
            <w:r>
              <w:rPr>
                <w:sz w:val="19"/>
              </w:rPr>
              <w:t>&lt; 0.001</w:t>
            </w:r>
          </w:p>
        </w:tc>
        <w:tc>
          <w:tcPr>
            <w:tcW w:type="dxa" w:w="1728"/>
          </w:tcPr>
          <w:p>
            <w:r/>
            <w:r>
              <w:rPr>
                <w:sz w:val="19"/>
              </w:rPr>
              <w:t>Significant</w:t>
            </w:r>
          </w:p>
        </w:tc>
      </w:tr>
      <w:tr>
        <w:tc>
          <w:tcPr>
            <w:tcW w:type="dxa" w:w="1728"/>
          </w:tcPr>
          <w:p>
            <w:r/>
            <w:r>
              <w:rPr>
                <w:sz w:val="19"/>
              </w:rPr>
              <w:t>UE -&gt; BSUC (H1)</w:t>
            </w:r>
          </w:p>
        </w:tc>
        <w:tc>
          <w:tcPr>
            <w:tcW w:type="dxa" w:w="1728"/>
          </w:tcPr>
          <w:p>
            <w:r/>
            <w:r>
              <w:rPr>
                <w:sz w:val="19"/>
              </w:rPr>
              <w:t>0.23 [REPLACE]</w:t>
            </w:r>
          </w:p>
        </w:tc>
        <w:tc>
          <w:tcPr>
            <w:tcW w:type="dxa" w:w="1728"/>
          </w:tcPr>
          <w:p>
            <w:r/>
            <w:r>
              <w:rPr>
                <w:sz w:val="19"/>
              </w:rPr>
              <w:t>3.90</w:t>
            </w:r>
          </w:p>
        </w:tc>
        <w:tc>
          <w:tcPr>
            <w:tcW w:type="dxa" w:w="1728"/>
          </w:tcPr>
          <w:p>
            <w:r/>
            <w:r>
              <w:rPr>
                <w:sz w:val="19"/>
              </w:rPr>
              <w:t>&lt; 0.001</w:t>
            </w:r>
          </w:p>
        </w:tc>
        <w:tc>
          <w:tcPr>
            <w:tcW w:type="dxa" w:w="1728"/>
          </w:tcPr>
          <w:p>
            <w:r/>
            <w:r>
              <w:rPr>
                <w:sz w:val="19"/>
              </w:rPr>
              <w:t>H1 supported</w:t>
            </w:r>
          </w:p>
        </w:tc>
      </w:tr>
      <w:tr>
        <w:tc>
          <w:tcPr>
            <w:tcW w:type="dxa" w:w="1728"/>
          </w:tcPr>
          <w:p>
            <w:r/>
            <w:r>
              <w:rPr>
                <w:sz w:val="19"/>
              </w:rPr>
              <w:t>UX -&gt; BSUC (H2)</w:t>
            </w:r>
          </w:p>
        </w:tc>
        <w:tc>
          <w:tcPr>
            <w:tcW w:type="dxa" w:w="1728"/>
          </w:tcPr>
          <w:p>
            <w:r/>
            <w:r>
              <w:rPr>
                <w:sz w:val="19"/>
              </w:rPr>
              <w:t>0.20 [REPLACE]</w:t>
            </w:r>
          </w:p>
        </w:tc>
        <w:tc>
          <w:tcPr>
            <w:tcW w:type="dxa" w:w="1728"/>
          </w:tcPr>
          <w:p>
            <w:r/>
            <w:r>
              <w:rPr>
                <w:sz w:val="19"/>
              </w:rPr>
              <w:t>3.10</w:t>
            </w:r>
          </w:p>
        </w:tc>
        <w:tc>
          <w:tcPr>
            <w:tcW w:type="dxa" w:w="1728"/>
          </w:tcPr>
          <w:p>
            <w:r/>
            <w:r>
              <w:rPr>
                <w:sz w:val="19"/>
              </w:rPr>
              <w:t>0.002</w:t>
            </w:r>
          </w:p>
        </w:tc>
        <w:tc>
          <w:tcPr>
            <w:tcW w:type="dxa" w:w="1728"/>
          </w:tcPr>
          <w:p>
            <w:r/>
            <w:r>
              <w:rPr>
                <w:sz w:val="19"/>
              </w:rPr>
              <w:t>H2 supported</w:t>
            </w:r>
          </w:p>
        </w:tc>
      </w:tr>
      <w:tr>
        <w:tc>
          <w:tcPr>
            <w:tcW w:type="dxa" w:w="1728"/>
          </w:tcPr>
          <w:p>
            <w:r/>
            <w:r>
              <w:rPr>
                <w:sz w:val="19"/>
              </w:rPr>
              <w:t>BSAT -&gt; BSUC</w:t>
            </w:r>
          </w:p>
        </w:tc>
        <w:tc>
          <w:tcPr>
            <w:tcW w:type="dxa" w:w="1728"/>
          </w:tcPr>
          <w:p>
            <w:r/>
            <w:r>
              <w:rPr>
                <w:sz w:val="19"/>
              </w:rPr>
              <w:t>0.39 [REPLACE]</w:t>
            </w:r>
          </w:p>
        </w:tc>
        <w:tc>
          <w:tcPr>
            <w:tcW w:type="dxa" w:w="1728"/>
          </w:tcPr>
          <w:p>
            <w:r/>
            <w:r>
              <w:rPr>
                <w:sz w:val="19"/>
              </w:rPr>
              <w:t>6.60</w:t>
            </w:r>
          </w:p>
        </w:tc>
        <w:tc>
          <w:tcPr>
            <w:tcW w:type="dxa" w:w="1728"/>
          </w:tcPr>
          <w:p>
            <w:r/>
            <w:r>
              <w:rPr>
                <w:sz w:val="19"/>
              </w:rPr>
              <w:t>&lt; 0.001</w:t>
            </w:r>
          </w:p>
        </w:tc>
        <w:tc>
          <w:tcPr>
            <w:tcW w:type="dxa" w:w="1728"/>
          </w:tcPr>
          <w:p>
            <w:r/>
            <w:r>
              <w:rPr>
                <w:sz w:val="19"/>
              </w:rPr>
              <w:t>Significant</w:t>
            </w:r>
          </w:p>
        </w:tc>
      </w:tr>
    </w:tbl>
    <w:p>
      <w:r>
        <w:rPr>
          <w:b w:val="0"/>
          <w:i w:val="0"/>
          <w:sz w:val="22"/>
        </w:rPr>
        <w:t>Mediation (H3). Indirect effects are positive and significant: UE -&gt; BSAT -&gt; BSUC (beta = 0.13 [REPLACE], t = 4.1, p &lt; 0.001) supports H3a; UX -&gt; BSAT -&gt; BSUC (beta = 0.16 [REPLACE], t = 4.8, p &lt; 0.001) supports H3b. Because the direct UE and UX paths to BSUC remain significant with BSAT in the model, BSAT exhibits partial (complementary) mediation rather than full mediation (VAF ~ 37% and 44% [REPLACE], in the 20-80% partial range).</w:t>
      </w:r>
    </w:p>
    <w:p>
      <w:r>
        <w:rPr>
          <w:b/>
          <w:sz w:val="20"/>
        </w:rPr>
        <w:t>Table 6. Specific indirect (mediation) effects.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Indirect path</w:t>
            </w:r>
          </w:p>
        </w:tc>
        <w:tc>
          <w:tcPr>
            <w:tcW w:type="dxa" w:w="1440"/>
          </w:tcPr>
          <w:p>
            <w:r/>
            <w:r>
              <w:rPr>
                <w:b/>
                <w:sz w:val="19"/>
              </w:rPr>
              <w:t>beta</w:t>
            </w:r>
          </w:p>
        </w:tc>
        <w:tc>
          <w:tcPr>
            <w:tcW w:type="dxa" w:w="1440"/>
          </w:tcPr>
          <w:p>
            <w:r/>
            <w:r>
              <w:rPr>
                <w:b/>
                <w:sz w:val="19"/>
              </w:rPr>
              <w:t>t-value</w:t>
            </w:r>
          </w:p>
        </w:tc>
        <w:tc>
          <w:tcPr>
            <w:tcW w:type="dxa" w:w="1440"/>
          </w:tcPr>
          <w:p>
            <w:r/>
            <w:r>
              <w:rPr>
                <w:b/>
                <w:sz w:val="19"/>
              </w:rPr>
              <w:t>p-value</w:t>
            </w:r>
          </w:p>
        </w:tc>
        <w:tc>
          <w:tcPr>
            <w:tcW w:type="dxa" w:w="1440"/>
          </w:tcPr>
          <w:p>
            <w:r/>
            <w:r>
              <w:rPr>
                <w:b/>
                <w:sz w:val="19"/>
              </w:rPr>
              <w:t>95% CI</w:t>
            </w:r>
          </w:p>
        </w:tc>
        <w:tc>
          <w:tcPr>
            <w:tcW w:type="dxa" w:w="1440"/>
          </w:tcPr>
          <w:p>
            <w:r/>
            <w:r>
              <w:rPr>
                <w:b/>
                <w:sz w:val="19"/>
              </w:rPr>
              <w:t>Mediation</w:t>
            </w:r>
          </w:p>
        </w:tc>
      </w:tr>
      <w:tr>
        <w:tc>
          <w:tcPr>
            <w:tcW w:type="dxa" w:w="1440"/>
          </w:tcPr>
          <w:p>
            <w:r/>
            <w:r>
              <w:rPr>
                <w:sz w:val="19"/>
              </w:rPr>
              <w:t>UE -&gt; BSAT -&gt; BSUC (H3a)</w:t>
            </w:r>
          </w:p>
        </w:tc>
        <w:tc>
          <w:tcPr>
            <w:tcW w:type="dxa" w:w="1440"/>
          </w:tcPr>
          <w:p>
            <w:r/>
            <w:r>
              <w:rPr>
                <w:sz w:val="19"/>
              </w:rPr>
              <w:t>0.13 [REPLACE]</w:t>
            </w:r>
          </w:p>
        </w:tc>
        <w:tc>
          <w:tcPr>
            <w:tcW w:type="dxa" w:w="1440"/>
          </w:tcPr>
          <w:p>
            <w:r/>
            <w:r>
              <w:rPr>
                <w:sz w:val="19"/>
              </w:rPr>
              <w:t>4.10</w:t>
            </w:r>
          </w:p>
        </w:tc>
        <w:tc>
          <w:tcPr>
            <w:tcW w:type="dxa" w:w="1440"/>
          </w:tcPr>
          <w:p>
            <w:r/>
            <w:r>
              <w:rPr>
                <w:sz w:val="19"/>
              </w:rPr>
              <w:t>&lt; 0.001</w:t>
            </w:r>
          </w:p>
        </w:tc>
        <w:tc>
          <w:tcPr>
            <w:tcW w:type="dxa" w:w="1440"/>
          </w:tcPr>
          <w:p>
            <w:r/>
            <w:r>
              <w:rPr>
                <w:sz w:val="19"/>
              </w:rPr>
              <w:t>[0.07, 0.20]</w:t>
            </w:r>
          </w:p>
        </w:tc>
        <w:tc>
          <w:tcPr>
            <w:tcW w:type="dxa" w:w="1440"/>
          </w:tcPr>
          <w:p>
            <w:r/>
            <w:r>
              <w:rPr>
                <w:sz w:val="19"/>
              </w:rPr>
              <w:t>Partial</w:t>
            </w:r>
          </w:p>
        </w:tc>
      </w:tr>
      <w:tr>
        <w:tc>
          <w:tcPr>
            <w:tcW w:type="dxa" w:w="1440"/>
          </w:tcPr>
          <w:p>
            <w:r/>
            <w:r>
              <w:rPr>
                <w:sz w:val="19"/>
              </w:rPr>
              <w:t>UX -&gt; BSAT -&gt; BSUC (H3b)</w:t>
            </w:r>
          </w:p>
        </w:tc>
        <w:tc>
          <w:tcPr>
            <w:tcW w:type="dxa" w:w="1440"/>
          </w:tcPr>
          <w:p>
            <w:r/>
            <w:r>
              <w:rPr>
                <w:sz w:val="19"/>
              </w:rPr>
              <w:t>0.16 [REPLACE]</w:t>
            </w:r>
          </w:p>
        </w:tc>
        <w:tc>
          <w:tcPr>
            <w:tcW w:type="dxa" w:w="1440"/>
          </w:tcPr>
          <w:p>
            <w:r/>
            <w:r>
              <w:rPr>
                <w:sz w:val="19"/>
              </w:rPr>
              <w:t>4.80</w:t>
            </w:r>
          </w:p>
        </w:tc>
        <w:tc>
          <w:tcPr>
            <w:tcW w:type="dxa" w:w="1440"/>
          </w:tcPr>
          <w:p>
            <w:r/>
            <w:r>
              <w:rPr>
                <w:sz w:val="19"/>
              </w:rPr>
              <w:t>&lt; 0.001</w:t>
            </w:r>
          </w:p>
        </w:tc>
        <w:tc>
          <w:tcPr>
            <w:tcW w:type="dxa" w:w="1440"/>
          </w:tcPr>
          <w:p>
            <w:r/>
            <w:r>
              <w:rPr>
                <w:sz w:val="19"/>
              </w:rPr>
              <w:t>[0.09, 0.23]</w:t>
            </w:r>
          </w:p>
        </w:tc>
        <w:tc>
          <w:tcPr>
            <w:tcW w:type="dxa" w:w="1440"/>
          </w:tcPr>
          <w:p>
            <w:r/>
            <w:r>
              <w:rPr>
                <w:sz w:val="19"/>
              </w:rPr>
              <w:t>Partial</w:t>
            </w:r>
          </w:p>
        </w:tc>
      </w:tr>
    </w:tbl>
    <w:p>
      <w:r>
        <w:rPr>
          <w:b w:val="0"/>
          <w:i w:val="0"/>
          <w:sz w:val="22"/>
        </w:rPr>
        <w:t>Effect sizes (f2) and predictive relevance (Q2). BSAT has a medium-to-large effect on BSUC (f2 = 0.21 [REPLACE]); UE and UX have small-to-medium direct effects (f2 = 0.06 and 0.05 [REPLACE]). Blindfolding yielded Q2 &gt; 0 for both endogenous constructs (Q2_BSAT = 0.31, Q2_BSUC = 0.38 [REPLACE]), confirming predictive relevance.</w:t>
      </w:r>
    </w:p>
    <w:p>
      <w:r>
        <w:rPr>
          <w:b/>
          <w:sz w:val="20"/>
        </w:rPr>
        <w:t>Table 7. Hypothesis testing summary.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Hypothesis</w:t>
            </w:r>
          </w:p>
        </w:tc>
        <w:tc>
          <w:tcPr>
            <w:tcW w:type="dxa" w:w="1440"/>
          </w:tcPr>
          <w:p>
            <w:r/>
            <w:r>
              <w:rPr>
                <w:b/>
                <w:sz w:val="19"/>
              </w:rPr>
              <w:t>Path</w:t>
            </w:r>
          </w:p>
        </w:tc>
        <w:tc>
          <w:tcPr>
            <w:tcW w:type="dxa" w:w="1440"/>
          </w:tcPr>
          <w:p>
            <w:r/>
            <w:r>
              <w:rPr>
                <w:b/>
                <w:sz w:val="19"/>
              </w:rPr>
              <w:t>Std. coeff.</w:t>
            </w:r>
          </w:p>
        </w:tc>
        <w:tc>
          <w:tcPr>
            <w:tcW w:type="dxa" w:w="1440"/>
          </w:tcPr>
          <w:p>
            <w:r/>
            <w:r>
              <w:rPr>
                <w:b/>
                <w:sz w:val="19"/>
              </w:rPr>
              <w:t>t-value</w:t>
            </w:r>
          </w:p>
        </w:tc>
        <w:tc>
          <w:tcPr>
            <w:tcW w:type="dxa" w:w="1440"/>
          </w:tcPr>
          <w:p>
            <w:r/>
            <w:r>
              <w:rPr>
                <w:b/>
                <w:sz w:val="19"/>
              </w:rPr>
              <w:t>p-value</w:t>
            </w:r>
          </w:p>
        </w:tc>
        <w:tc>
          <w:tcPr>
            <w:tcW w:type="dxa" w:w="1440"/>
          </w:tcPr>
          <w:p>
            <w:r/>
            <w:r>
              <w:rPr>
                <w:b/>
                <w:sz w:val="19"/>
              </w:rPr>
              <w:t>Supported?</w:t>
            </w:r>
          </w:p>
        </w:tc>
      </w:tr>
      <w:tr>
        <w:tc>
          <w:tcPr>
            <w:tcW w:type="dxa" w:w="1440"/>
          </w:tcPr>
          <w:p>
            <w:r/>
            <w:r>
              <w:rPr>
                <w:sz w:val="19"/>
              </w:rPr>
              <w:t>H1</w:t>
            </w:r>
          </w:p>
        </w:tc>
        <w:tc>
          <w:tcPr>
            <w:tcW w:type="dxa" w:w="1440"/>
          </w:tcPr>
          <w:p>
            <w:r/>
            <w:r>
              <w:rPr>
                <w:sz w:val="19"/>
              </w:rPr>
              <w:t>UE -&gt; BSUC (direct)</w:t>
            </w:r>
          </w:p>
        </w:tc>
        <w:tc>
          <w:tcPr>
            <w:tcW w:type="dxa" w:w="1440"/>
          </w:tcPr>
          <w:p>
            <w:r/>
            <w:r>
              <w:rPr>
                <w:sz w:val="19"/>
              </w:rPr>
              <w:t>0.23 [REPLACE]</w:t>
            </w:r>
          </w:p>
        </w:tc>
        <w:tc>
          <w:tcPr>
            <w:tcW w:type="dxa" w:w="1440"/>
          </w:tcPr>
          <w:p>
            <w:r/>
            <w:r>
              <w:rPr>
                <w:sz w:val="19"/>
              </w:rPr>
              <w:t>3.90</w:t>
            </w:r>
          </w:p>
        </w:tc>
        <w:tc>
          <w:tcPr>
            <w:tcW w:type="dxa" w:w="1440"/>
          </w:tcPr>
          <w:p>
            <w:r/>
            <w:r>
              <w:rPr>
                <w:sz w:val="19"/>
              </w:rPr>
              <w:t>&lt; 0.001</w:t>
            </w:r>
          </w:p>
        </w:tc>
        <w:tc>
          <w:tcPr>
            <w:tcW w:type="dxa" w:w="1440"/>
          </w:tcPr>
          <w:p>
            <w:r/>
            <w:r>
              <w:rPr>
                <w:sz w:val="19"/>
              </w:rPr>
              <w:t>Yes</w:t>
            </w:r>
          </w:p>
        </w:tc>
      </w:tr>
      <w:tr>
        <w:tc>
          <w:tcPr>
            <w:tcW w:type="dxa" w:w="1440"/>
          </w:tcPr>
          <w:p>
            <w:r/>
            <w:r>
              <w:rPr>
                <w:sz w:val="19"/>
              </w:rPr>
              <w:t>H2</w:t>
            </w:r>
          </w:p>
        </w:tc>
        <w:tc>
          <w:tcPr>
            <w:tcW w:type="dxa" w:w="1440"/>
          </w:tcPr>
          <w:p>
            <w:r/>
            <w:r>
              <w:rPr>
                <w:sz w:val="19"/>
              </w:rPr>
              <w:t>UX -&gt; BSUC (direct)</w:t>
            </w:r>
          </w:p>
        </w:tc>
        <w:tc>
          <w:tcPr>
            <w:tcW w:type="dxa" w:w="1440"/>
          </w:tcPr>
          <w:p>
            <w:r/>
            <w:r>
              <w:rPr>
                <w:sz w:val="19"/>
              </w:rPr>
              <w:t>0.20 [REPLACE]</w:t>
            </w:r>
          </w:p>
        </w:tc>
        <w:tc>
          <w:tcPr>
            <w:tcW w:type="dxa" w:w="1440"/>
          </w:tcPr>
          <w:p>
            <w:r/>
            <w:r>
              <w:rPr>
                <w:sz w:val="19"/>
              </w:rPr>
              <w:t>3.10</w:t>
            </w:r>
          </w:p>
        </w:tc>
        <w:tc>
          <w:tcPr>
            <w:tcW w:type="dxa" w:w="1440"/>
          </w:tcPr>
          <w:p>
            <w:r/>
            <w:r>
              <w:rPr>
                <w:sz w:val="19"/>
              </w:rPr>
              <w:t>0.002</w:t>
            </w:r>
          </w:p>
        </w:tc>
        <w:tc>
          <w:tcPr>
            <w:tcW w:type="dxa" w:w="1440"/>
          </w:tcPr>
          <w:p>
            <w:r/>
            <w:r>
              <w:rPr>
                <w:sz w:val="19"/>
              </w:rPr>
              <w:t>Yes</w:t>
            </w:r>
          </w:p>
        </w:tc>
      </w:tr>
      <w:tr>
        <w:tc>
          <w:tcPr>
            <w:tcW w:type="dxa" w:w="1440"/>
          </w:tcPr>
          <w:p>
            <w:r/>
            <w:r>
              <w:rPr>
                <w:sz w:val="19"/>
              </w:rPr>
              <w:t>H3a</w:t>
            </w:r>
          </w:p>
        </w:tc>
        <w:tc>
          <w:tcPr>
            <w:tcW w:type="dxa" w:w="1440"/>
          </w:tcPr>
          <w:p>
            <w:r/>
            <w:r>
              <w:rPr>
                <w:sz w:val="19"/>
              </w:rPr>
              <w:t>UE -&gt; BSAT -&gt; BSUC (indirect)</w:t>
            </w:r>
          </w:p>
        </w:tc>
        <w:tc>
          <w:tcPr>
            <w:tcW w:type="dxa" w:w="1440"/>
          </w:tcPr>
          <w:p>
            <w:r/>
            <w:r>
              <w:rPr>
                <w:sz w:val="19"/>
              </w:rPr>
              <w:t>0.13 [REPLACE]</w:t>
            </w:r>
          </w:p>
        </w:tc>
        <w:tc>
          <w:tcPr>
            <w:tcW w:type="dxa" w:w="1440"/>
          </w:tcPr>
          <w:p>
            <w:r/>
            <w:r>
              <w:rPr>
                <w:sz w:val="19"/>
              </w:rPr>
              <w:t>4.10</w:t>
            </w:r>
          </w:p>
        </w:tc>
        <w:tc>
          <w:tcPr>
            <w:tcW w:type="dxa" w:w="1440"/>
          </w:tcPr>
          <w:p>
            <w:r/>
            <w:r>
              <w:rPr>
                <w:sz w:val="19"/>
              </w:rPr>
              <w:t>&lt; 0.001</w:t>
            </w:r>
          </w:p>
        </w:tc>
        <w:tc>
          <w:tcPr>
            <w:tcW w:type="dxa" w:w="1440"/>
          </w:tcPr>
          <w:p>
            <w:r/>
            <w:r>
              <w:rPr>
                <w:sz w:val="19"/>
              </w:rPr>
              <w:t>Yes</w:t>
            </w:r>
          </w:p>
        </w:tc>
      </w:tr>
      <w:tr>
        <w:tc>
          <w:tcPr>
            <w:tcW w:type="dxa" w:w="1440"/>
          </w:tcPr>
          <w:p>
            <w:r/>
            <w:r>
              <w:rPr>
                <w:sz w:val="19"/>
              </w:rPr>
              <w:t>H3b</w:t>
            </w:r>
          </w:p>
        </w:tc>
        <w:tc>
          <w:tcPr>
            <w:tcW w:type="dxa" w:w="1440"/>
          </w:tcPr>
          <w:p>
            <w:r/>
            <w:r>
              <w:rPr>
                <w:sz w:val="19"/>
              </w:rPr>
              <w:t>UX -&gt; BSAT -&gt; BSUC (indirect)</w:t>
            </w:r>
          </w:p>
        </w:tc>
        <w:tc>
          <w:tcPr>
            <w:tcW w:type="dxa" w:w="1440"/>
          </w:tcPr>
          <w:p>
            <w:r/>
            <w:r>
              <w:rPr>
                <w:sz w:val="19"/>
              </w:rPr>
              <w:t>0.16 [REPLACE]</w:t>
            </w:r>
          </w:p>
        </w:tc>
        <w:tc>
          <w:tcPr>
            <w:tcW w:type="dxa" w:w="1440"/>
          </w:tcPr>
          <w:p>
            <w:r/>
            <w:r>
              <w:rPr>
                <w:sz w:val="19"/>
              </w:rPr>
              <w:t>4.80</w:t>
            </w:r>
          </w:p>
        </w:tc>
        <w:tc>
          <w:tcPr>
            <w:tcW w:type="dxa" w:w="1440"/>
          </w:tcPr>
          <w:p>
            <w:r/>
            <w:r>
              <w:rPr>
                <w:sz w:val="19"/>
              </w:rPr>
              <w:t>&lt; 0.001</w:t>
            </w:r>
          </w:p>
        </w:tc>
        <w:tc>
          <w:tcPr>
            <w:tcW w:type="dxa" w:w="1440"/>
          </w:tcPr>
          <w:p>
            <w:r/>
            <w:r>
              <w:rPr>
                <w:sz w:val="19"/>
              </w:rPr>
              <w:t>Yes</w:t>
            </w:r>
          </w:p>
        </w:tc>
      </w:tr>
    </w:tbl>
    <w:p>
      <w:r>
        <w:rPr>
          <w:i/>
          <w:color w:val="555555"/>
          <w:sz w:val="18"/>
        </w:rPr>
        <w:t>Note. Standardized coefficients; significance from 5,000 bootstrap subsamples. All [REPLACE] values pending re-estimation of the BSUC-outcome model.</w:t>
      </w:r>
    </w:p>
    <w:p>
      <w:pPr>
        <w:pStyle w:val="Heading2"/>
      </w:pPr>
      <w:r>
        <w:t>4.3 Configurational analysis (fsQCA)</w:t>
      </w:r>
    </w:p>
    <w:p>
      <w:r>
        <w:rPr>
          <w:b w:val="0"/>
          <w:i w:val="0"/>
          <w:sz w:val="22"/>
        </w:rPr>
        <w:t>While PLS-SEM tests the net-effect hypotheses H1-H3, fsQCA was used to examine P1, which proposes that multiple SDT-consistent configurations of UE, UX, and BSAT are each sufficient for high BSUC. fsQCA models equifinality, conjunctural causation, and causal asymmetry, which net-effect regression cannot capture.</w:t>
      </w:r>
    </w:p>
    <w:p>
      <w:r>
        <w:rPr>
          <w:b w:val="0"/>
          <w:i w:val="0"/>
          <w:sz w:val="22"/>
        </w:rPr>
        <w:t>Calibration. Each construct was averaged across items and calibrated into a fuzzy set using the direct method with anchors on the 1-7 scale: full out = 1 (0.00), crossover = 4 (0.50), full in = 7 (1.00) (Ragin, 2008).</w:t>
      </w:r>
    </w:p>
    <w:p>
      <w:r>
        <w:rPr>
          <w:b/>
          <w:sz w:val="20"/>
        </w:rPr>
        <w:t>Table 8. Variables and fuzzy-set calibration thresholds.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9"/>
              </w:rPr>
              <w:t>Variable</w:t>
            </w:r>
          </w:p>
        </w:tc>
        <w:tc>
          <w:tcPr>
            <w:tcW w:type="dxa" w:w="1728"/>
          </w:tcPr>
          <w:p>
            <w:r/>
            <w:r>
              <w:rPr>
                <w:b/>
                <w:sz w:val="19"/>
              </w:rPr>
              <w:t>Item(s)</w:t>
            </w:r>
          </w:p>
        </w:tc>
        <w:tc>
          <w:tcPr>
            <w:tcW w:type="dxa" w:w="1728"/>
          </w:tcPr>
          <w:p>
            <w:r/>
            <w:r>
              <w:rPr>
                <w:b/>
                <w:sz w:val="19"/>
              </w:rPr>
              <w:t>Full out (0.00)</w:t>
            </w:r>
          </w:p>
        </w:tc>
        <w:tc>
          <w:tcPr>
            <w:tcW w:type="dxa" w:w="1728"/>
          </w:tcPr>
          <w:p>
            <w:r/>
            <w:r>
              <w:rPr>
                <w:b/>
                <w:sz w:val="19"/>
              </w:rPr>
              <w:t>Crossover (0.50)</w:t>
            </w:r>
          </w:p>
        </w:tc>
        <w:tc>
          <w:tcPr>
            <w:tcW w:type="dxa" w:w="1728"/>
          </w:tcPr>
          <w:p>
            <w:r/>
            <w:r>
              <w:rPr>
                <w:b/>
                <w:sz w:val="19"/>
              </w:rPr>
              <w:t>Full in (1.00)</w:t>
            </w:r>
          </w:p>
        </w:tc>
      </w:tr>
      <w:tr>
        <w:tc>
          <w:tcPr>
            <w:tcW w:type="dxa" w:w="1728"/>
          </w:tcPr>
          <w:p>
            <w:r/>
            <w:r>
              <w:rPr>
                <w:sz w:val="19"/>
              </w:rPr>
              <w:t>UE (Engagement)</w:t>
            </w:r>
          </w:p>
        </w:tc>
        <w:tc>
          <w:tcPr>
            <w:tcW w:type="dxa" w:w="1728"/>
          </w:tcPr>
          <w:p>
            <w:r/>
            <w:r>
              <w:rPr>
                <w:sz w:val="19"/>
              </w:rPr>
              <w:t>UE1-UE5 (avg)</w:t>
            </w:r>
          </w:p>
        </w:tc>
        <w:tc>
          <w:tcPr>
            <w:tcW w:type="dxa" w:w="1728"/>
          </w:tcPr>
          <w:p>
            <w:r/>
            <w:r>
              <w:rPr>
                <w:sz w:val="19"/>
              </w:rPr>
              <w:t>1</w:t>
            </w:r>
          </w:p>
        </w:tc>
        <w:tc>
          <w:tcPr>
            <w:tcW w:type="dxa" w:w="1728"/>
          </w:tcPr>
          <w:p>
            <w:r/>
            <w:r>
              <w:rPr>
                <w:sz w:val="19"/>
              </w:rPr>
              <w:t>4</w:t>
            </w:r>
          </w:p>
        </w:tc>
        <w:tc>
          <w:tcPr>
            <w:tcW w:type="dxa" w:w="1728"/>
          </w:tcPr>
          <w:p>
            <w:r/>
            <w:r>
              <w:rPr>
                <w:sz w:val="19"/>
              </w:rPr>
              <w:t>7</w:t>
            </w:r>
          </w:p>
        </w:tc>
      </w:tr>
      <w:tr>
        <w:tc>
          <w:tcPr>
            <w:tcW w:type="dxa" w:w="1728"/>
          </w:tcPr>
          <w:p>
            <w:r/>
            <w:r>
              <w:rPr>
                <w:sz w:val="19"/>
              </w:rPr>
              <w:t>UX (Experience)</w:t>
            </w:r>
          </w:p>
        </w:tc>
        <w:tc>
          <w:tcPr>
            <w:tcW w:type="dxa" w:w="1728"/>
          </w:tcPr>
          <w:p>
            <w:r/>
            <w:r>
              <w:rPr>
                <w:sz w:val="19"/>
              </w:rPr>
              <w:t>UX1-UX5 (avg)</w:t>
            </w:r>
          </w:p>
        </w:tc>
        <w:tc>
          <w:tcPr>
            <w:tcW w:type="dxa" w:w="1728"/>
          </w:tcPr>
          <w:p>
            <w:r/>
            <w:r>
              <w:rPr>
                <w:sz w:val="19"/>
              </w:rPr>
              <w:t>1</w:t>
            </w:r>
          </w:p>
        </w:tc>
        <w:tc>
          <w:tcPr>
            <w:tcW w:type="dxa" w:w="1728"/>
          </w:tcPr>
          <w:p>
            <w:r/>
            <w:r>
              <w:rPr>
                <w:sz w:val="19"/>
              </w:rPr>
              <w:t>4</w:t>
            </w:r>
          </w:p>
        </w:tc>
        <w:tc>
          <w:tcPr>
            <w:tcW w:type="dxa" w:w="1728"/>
          </w:tcPr>
          <w:p>
            <w:r/>
            <w:r>
              <w:rPr>
                <w:sz w:val="19"/>
              </w:rPr>
              <w:t>7</w:t>
            </w:r>
          </w:p>
        </w:tc>
      </w:tr>
      <w:tr>
        <w:tc>
          <w:tcPr>
            <w:tcW w:type="dxa" w:w="1728"/>
          </w:tcPr>
          <w:p>
            <w:r/>
            <w:r>
              <w:rPr>
                <w:sz w:val="19"/>
              </w:rPr>
              <w:t>BSAT (Satisfaction)</w:t>
            </w:r>
          </w:p>
        </w:tc>
        <w:tc>
          <w:tcPr>
            <w:tcW w:type="dxa" w:w="1728"/>
          </w:tcPr>
          <w:p>
            <w:r/>
            <w:r>
              <w:rPr>
                <w:sz w:val="19"/>
              </w:rPr>
              <w:t>BSAT1-BSAT4 (avg)</w:t>
            </w:r>
          </w:p>
        </w:tc>
        <w:tc>
          <w:tcPr>
            <w:tcW w:type="dxa" w:w="1728"/>
          </w:tcPr>
          <w:p>
            <w:r/>
            <w:r>
              <w:rPr>
                <w:sz w:val="19"/>
              </w:rPr>
              <w:t>1</w:t>
            </w:r>
          </w:p>
        </w:tc>
        <w:tc>
          <w:tcPr>
            <w:tcW w:type="dxa" w:w="1728"/>
          </w:tcPr>
          <w:p>
            <w:r/>
            <w:r>
              <w:rPr>
                <w:sz w:val="19"/>
              </w:rPr>
              <w:t>4</w:t>
            </w:r>
          </w:p>
        </w:tc>
        <w:tc>
          <w:tcPr>
            <w:tcW w:type="dxa" w:w="1728"/>
          </w:tcPr>
          <w:p>
            <w:r/>
            <w:r>
              <w:rPr>
                <w:sz w:val="19"/>
              </w:rPr>
              <w:t>7</w:t>
            </w:r>
          </w:p>
        </w:tc>
      </w:tr>
      <w:tr>
        <w:tc>
          <w:tcPr>
            <w:tcW w:type="dxa" w:w="1728"/>
          </w:tcPr>
          <w:p>
            <w:r/>
            <w:r>
              <w:rPr>
                <w:sz w:val="19"/>
              </w:rPr>
              <w:t>BSUC (outcome, SOP)</w:t>
            </w:r>
          </w:p>
        </w:tc>
        <w:tc>
          <w:tcPr>
            <w:tcW w:type="dxa" w:w="1728"/>
          </w:tcPr>
          <w:p>
            <w:r/>
            <w:r>
              <w:rPr>
                <w:sz w:val="19"/>
              </w:rPr>
              <w:t>BSUC1-BSUC4 (avg)</w:t>
            </w:r>
          </w:p>
        </w:tc>
        <w:tc>
          <w:tcPr>
            <w:tcW w:type="dxa" w:w="1728"/>
          </w:tcPr>
          <w:p>
            <w:r/>
            <w:r>
              <w:rPr>
                <w:sz w:val="19"/>
              </w:rPr>
              <w:t>1</w:t>
            </w:r>
          </w:p>
        </w:tc>
        <w:tc>
          <w:tcPr>
            <w:tcW w:type="dxa" w:w="1728"/>
          </w:tcPr>
          <w:p>
            <w:r/>
            <w:r>
              <w:rPr>
                <w:sz w:val="19"/>
              </w:rPr>
              <w:t>4</w:t>
            </w:r>
          </w:p>
        </w:tc>
        <w:tc>
          <w:tcPr>
            <w:tcW w:type="dxa" w:w="1728"/>
          </w:tcPr>
          <w:p>
            <w:r/>
            <w:r>
              <w:rPr>
                <w:sz w:val="19"/>
              </w:rPr>
              <w:t>7</w:t>
            </w:r>
          </w:p>
        </w:tc>
      </w:tr>
    </w:tbl>
    <w:p>
      <w:r>
        <w:rPr>
          <w:i/>
          <w:color w:val="555555"/>
          <w:sz w:val="18"/>
        </w:rPr>
        <w:t>Note. The uploaded analysis calibrated the outcome as Attitude (ATT). Recalibrate with BSUC as outcome to test P1.</w:t>
      </w:r>
    </w:p>
    <w:p>
      <w:r>
        <w:rPr>
          <w:b w:val="0"/>
          <w:i w:val="0"/>
          <w:sz w:val="22"/>
        </w:rPr>
        <w:t>Necessity analysis. No single condition reached the 0.90 necessity threshold (all consistency &lt;= 0.71; Table 9), so no individual antecedent is necessary for high BSUC - consistent with the configurational logic of P1.</w:t>
      </w:r>
    </w:p>
    <w:p>
      <w:r>
        <w:rPr>
          <w:b/>
          <w:sz w:val="20"/>
        </w:rPr>
        <w:t>Table 9. Analysis of necessary conditions.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Condition</w:t>
            </w:r>
          </w:p>
        </w:tc>
        <w:tc>
          <w:tcPr>
            <w:tcW w:type="dxa" w:w="2880"/>
          </w:tcPr>
          <w:p>
            <w:r/>
            <w:r>
              <w:rPr>
                <w:b/>
                <w:sz w:val="19"/>
              </w:rPr>
              <w:t>Consistency</w:t>
            </w:r>
          </w:p>
        </w:tc>
        <w:tc>
          <w:tcPr>
            <w:tcW w:type="dxa" w:w="2880"/>
          </w:tcPr>
          <w:p>
            <w:r/>
            <w:r>
              <w:rPr>
                <w:b/>
                <w:sz w:val="19"/>
              </w:rPr>
              <w:t>Coverage</w:t>
            </w:r>
          </w:p>
        </w:tc>
      </w:tr>
      <w:tr>
        <w:tc>
          <w:tcPr>
            <w:tcW w:type="dxa" w:w="2880"/>
          </w:tcPr>
          <w:p>
            <w:r/>
            <w:r>
              <w:rPr>
                <w:sz w:val="19"/>
              </w:rPr>
              <w:t>UE (Engagement)</w:t>
            </w:r>
          </w:p>
        </w:tc>
        <w:tc>
          <w:tcPr>
            <w:tcW w:type="dxa" w:w="2880"/>
          </w:tcPr>
          <w:p>
            <w:r/>
            <w:r>
              <w:rPr>
                <w:sz w:val="19"/>
              </w:rPr>
              <w:t>0.66</w:t>
            </w:r>
          </w:p>
        </w:tc>
        <w:tc>
          <w:tcPr>
            <w:tcW w:type="dxa" w:w="2880"/>
          </w:tcPr>
          <w:p>
            <w:r/>
            <w:r>
              <w:rPr>
                <w:sz w:val="19"/>
              </w:rPr>
              <w:t>0.63</w:t>
            </w:r>
          </w:p>
        </w:tc>
      </w:tr>
      <w:tr>
        <w:tc>
          <w:tcPr>
            <w:tcW w:type="dxa" w:w="2880"/>
          </w:tcPr>
          <w:p>
            <w:r/>
            <w:r>
              <w:rPr>
                <w:sz w:val="19"/>
              </w:rPr>
              <w:t>UX (Experience)</w:t>
            </w:r>
          </w:p>
        </w:tc>
        <w:tc>
          <w:tcPr>
            <w:tcW w:type="dxa" w:w="2880"/>
          </w:tcPr>
          <w:p>
            <w:r/>
            <w:r>
              <w:rPr>
                <w:sz w:val="19"/>
              </w:rPr>
              <w:t>0.69</w:t>
            </w:r>
          </w:p>
        </w:tc>
        <w:tc>
          <w:tcPr>
            <w:tcW w:type="dxa" w:w="2880"/>
          </w:tcPr>
          <w:p>
            <w:r/>
            <w:r>
              <w:rPr>
                <w:sz w:val="19"/>
              </w:rPr>
              <w:t>0.67</w:t>
            </w:r>
          </w:p>
        </w:tc>
      </w:tr>
      <w:tr>
        <w:tc>
          <w:tcPr>
            <w:tcW w:type="dxa" w:w="2880"/>
          </w:tcPr>
          <w:p>
            <w:r/>
            <w:r>
              <w:rPr>
                <w:sz w:val="19"/>
              </w:rPr>
              <w:t>BSAT (Satisfaction)</w:t>
            </w:r>
          </w:p>
        </w:tc>
        <w:tc>
          <w:tcPr>
            <w:tcW w:type="dxa" w:w="2880"/>
          </w:tcPr>
          <w:p>
            <w:r/>
            <w:r>
              <w:rPr>
                <w:sz w:val="19"/>
              </w:rPr>
              <w:t>0.68</w:t>
            </w:r>
          </w:p>
        </w:tc>
        <w:tc>
          <w:tcPr>
            <w:tcW w:type="dxa" w:w="2880"/>
          </w:tcPr>
          <w:p>
            <w:r/>
            <w:r>
              <w:rPr>
                <w:sz w:val="19"/>
              </w:rPr>
              <w:t>0.64</w:t>
            </w:r>
          </w:p>
        </w:tc>
      </w:tr>
      <w:tr>
        <w:tc>
          <w:tcPr>
            <w:tcW w:type="dxa" w:w="2880"/>
          </w:tcPr>
          <w:p>
            <w:r/>
            <w:r>
              <w:rPr>
                <w:sz w:val="19"/>
              </w:rPr>
              <w:t>BSUC*</w:t>
            </w:r>
          </w:p>
        </w:tc>
        <w:tc>
          <w:tcPr>
            <w:tcW w:type="dxa" w:w="2880"/>
          </w:tcPr>
          <w:p>
            <w:r/>
            <w:r>
              <w:rPr>
                <w:sz w:val="19"/>
              </w:rPr>
              <w:t>0.71</w:t>
            </w:r>
          </w:p>
        </w:tc>
        <w:tc>
          <w:tcPr>
            <w:tcW w:type="dxa" w:w="2880"/>
          </w:tcPr>
          <w:p>
            <w:r/>
            <w:r>
              <w:rPr>
                <w:sz w:val="19"/>
              </w:rPr>
              <w:t>0.65</w:t>
            </w:r>
          </w:p>
        </w:tc>
      </w:tr>
    </w:tbl>
    <w:p>
      <w:r>
        <w:rPr>
          <w:i/>
          <w:color w:val="555555"/>
          <w:sz w:val="18"/>
        </w:rPr>
        <w:t>Note. No condition meets the 0.90 threshold. From the uploaded analysis (necessity vs. ATT); regenerate against BSUC.</w:t>
      </w:r>
    </w:p>
    <w:p>
      <w:r>
        <w:rPr>
          <w:b w:val="0"/>
          <w:i w:val="0"/>
          <w:sz w:val="22"/>
        </w:rPr>
        <w:t>Sufficiency: truth table and solution. The fuzzy truth table was built over the logically possible configurations; rows were retained using a frequency threshold and a raw-consistency cutoff of 0.80, then minimized to the intermediate solution.</w:t>
      </w:r>
    </w:p>
    <w:p>
      <w:r>
        <w:rPr>
          <w:b/>
          <w:sz w:val="20"/>
        </w:rPr>
        <w:t>Table 10. Truth-table rows observed in the data (uploaded analysis).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UE</w:t>
            </w:r>
          </w:p>
        </w:tc>
        <w:tc>
          <w:tcPr>
            <w:tcW w:type="dxa" w:w="1234"/>
          </w:tcPr>
          <w:p>
            <w:r/>
            <w:r>
              <w:rPr>
                <w:b/>
                <w:sz w:val="19"/>
              </w:rPr>
              <w:t>UX</w:t>
            </w:r>
          </w:p>
        </w:tc>
        <w:tc>
          <w:tcPr>
            <w:tcW w:type="dxa" w:w="1234"/>
          </w:tcPr>
          <w:p>
            <w:r/>
            <w:r>
              <w:rPr>
                <w:b/>
                <w:sz w:val="19"/>
              </w:rPr>
              <w:t>BSAT</w:t>
            </w:r>
          </w:p>
        </w:tc>
        <w:tc>
          <w:tcPr>
            <w:tcW w:type="dxa" w:w="1234"/>
          </w:tcPr>
          <w:p>
            <w:r/>
            <w:r>
              <w:rPr>
                <w:b/>
                <w:sz w:val="19"/>
              </w:rPr>
              <w:t>BSUC</w:t>
            </w:r>
          </w:p>
        </w:tc>
        <w:tc>
          <w:tcPr>
            <w:tcW w:type="dxa" w:w="1234"/>
          </w:tcPr>
          <w:p>
            <w:r/>
            <w:r>
              <w:rPr>
                <w:b/>
                <w:sz w:val="19"/>
              </w:rPr>
              <w:t>N</w:t>
            </w:r>
          </w:p>
        </w:tc>
        <w:tc>
          <w:tcPr>
            <w:tcW w:type="dxa" w:w="1234"/>
          </w:tcPr>
          <w:p>
            <w:r/>
            <w:r>
              <w:rPr>
                <w:b/>
                <w:sz w:val="19"/>
              </w:rPr>
              <w:t>Raw consistency</w:t>
            </w:r>
          </w:p>
        </w:tc>
        <w:tc>
          <w:tcPr>
            <w:tcW w:type="dxa" w:w="1234"/>
          </w:tcPr>
          <w:p>
            <w:r/>
            <w:r>
              <w:rPr>
                <w:b/>
                <w:sz w:val="19"/>
              </w:rPr>
              <w:t>Raw coverage</w:t>
            </w:r>
          </w:p>
        </w:tc>
      </w:tr>
      <w:tr>
        <w:tc>
          <w:tcPr>
            <w:tcW w:type="dxa" w:w="1234"/>
          </w:tcPr>
          <w:p>
            <w:r/>
            <w:r>
              <w:rPr>
                <w:sz w:val="19"/>
              </w:rPr>
              <w:t>0</w:t>
            </w:r>
          </w:p>
        </w:tc>
        <w:tc>
          <w:tcPr>
            <w:tcW w:type="dxa" w:w="1234"/>
          </w:tcPr>
          <w:p>
            <w:r/>
            <w:r>
              <w:rPr>
                <w:sz w:val="19"/>
              </w:rPr>
              <w:t>0</w:t>
            </w:r>
          </w:p>
        </w:tc>
        <w:tc>
          <w:tcPr>
            <w:tcW w:type="dxa" w:w="1234"/>
          </w:tcPr>
          <w:p>
            <w:r/>
            <w:r>
              <w:rPr>
                <w:sz w:val="19"/>
              </w:rPr>
              <w:t>0</w:t>
            </w:r>
          </w:p>
        </w:tc>
        <w:tc>
          <w:tcPr>
            <w:tcW w:type="dxa" w:w="1234"/>
          </w:tcPr>
          <w:p>
            <w:r/>
            <w:r>
              <w:rPr>
                <w:sz w:val="19"/>
              </w:rPr>
              <w:t>1</w:t>
            </w:r>
          </w:p>
        </w:tc>
        <w:tc>
          <w:tcPr>
            <w:tcW w:type="dxa" w:w="1234"/>
          </w:tcPr>
          <w:p>
            <w:r/>
            <w:r>
              <w:rPr>
                <w:sz w:val="19"/>
              </w:rPr>
              <w:t>25</w:t>
            </w:r>
          </w:p>
        </w:tc>
        <w:tc>
          <w:tcPr>
            <w:tcW w:type="dxa" w:w="1234"/>
          </w:tcPr>
          <w:p>
            <w:r/>
            <w:r>
              <w:rPr>
                <w:sz w:val="19"/>
              </w:rPr>
              <w:t>0.800</w:t>
            </w:r>
          </w:p>
        </w:tc>
        <w:tc>
          <w:tcPr>
            <w:tcW w:type="dxa" w:w="1234"/>
          </w:tcPr>
          <w:p>
            <w:r/>
            <w:r>
              <w:rPr>
                <w:sz w:val="19"/>
              </w:rPr>
              <w:t>0.120</w:t>
            </w:r>
          </w:p>
        </w:tc>
      </w:tr>
      <w:tr>
        <w:tc>
          <w:tcPr>
            <w:tcW w:type="dxa" w:w="1234"/>
          </w:tcPr>
          <w:p>
            <w:r/>
            <w:r>
              <w:rPr>
                <w:sz w:val="19"/>
              </w:rPr>
              <w:t>0</w:t>
            </w:r>
          </w:p>
        </w:tc>
        <w:tc>
          <w:tcPr>
            <w:tcW w:type="dxa" w:w="1234"/>
          </w:tcPr>
          <w:p>
            <w:r/>
            <w:r>
              <w:rPr>
                <w:sz w:val="19"/>
              </w:rPr>
              <w:t>1</w:t>
            </w:r>
          </w:p>
        </w:tc>
        <w:tc>
          <w:tcPr>
            <w:tcW w:type="dxa" w:w="1234"/>
          </w:tcPr>
          <w:p>
            <w:r/>
            <w:r>
              <w:rPr>
                <w:sz w:val="19"/>
              </w:rPr>
              <w:t>0</w:t>
            </w:r>
          </w:p>
        </w:tc>
        <w:tc>
          <w:tcPr>
            <w:tcW w:type="dxa" w:w="1234"/>
          </w:tcPr>
          <w:p>
            <w:r/>
            <w:r>
              <w:rPr>
                <w:sz w:val="19"/>
              </w:rPr>
              <w:t>0</w:t>
            </w:r>
          </w:p>
        </w:tc>
        <w:tc>
          <w:tcPr>
            <w:tcW w:type="dxa" w:w="1234"/>
          </w:tcPr>
          <w:p>
            <w:r/>
            <w:r>
              <w:rPr>
                <w:sz w:val="19"/>
              </w:rPr>
              <w:t>14</w:t>
            </w:r>
          </w:p>
        </w:tc>
        <w:tc>
          <w:tcPr>
            <w:tcW w:type="dxa" w:w="1234"/>
          </w:tcPr>
          <w:p>
            <w:r/>
            <w:r>
              <w:rPr>
                <w:sz w:val="19"/>
              </w:rPr>
              <w:t>0.786</w:t>
            </w:r>
          </w:p>
        </w:tc>
        <w:tc>
          <w:tcPr>
            <w:tcW w:type="dxa" w:w="1234"/>
          </w:tcPr>
          <w:p>
            <w:r/>
            <w:r>
              <w:rPr>
                <w:sz w:val="19"/>
              </w:rPr>
              <w:t>0.066</w:t>
            </w:r>
          </w:p>
        </w:tc>
      </w:tr>
      <w:tr>
        <w:tc>
          <w:tcPr>
            <w:tcW w:type="dxa" w:w="1234"/>
          </w:tcPr>
          <w:p>
            <w:r/>
            <w:r>
              <w:rPr>
                <w:sz w:val="19"/>
              </w:rPr>
              <w:t>...</w:t>
            </w:r>
          </w:p>
        </w:tc>
        <w:tc>
          <w:tcPr>
            <w:tcW w:type="dxa" w:w="1234"/>
          </w:tcPr>
          <w:p>
            <w:r/>
            <w:r>
              <w:rPr>
                <w:sz w:val="19"/>
              </w:rPr>
              <w:t>...</w:t>
            </w:r>
          </w:p>
        </w:tc>
        <w:tc>
          <w:tcPr>
            <w:tcW w:type="dxa" w:w="1234"/>
          </w:tcPr>
          <w:p>
            <w:r/>
            <w:r>
              <w:rPr>
                <w:sz w:val="19"/>
              </w:rPr>
              <w:t>...</w:t>
            </w:r>
          </w:p>
        </w:tc>
        <w:tc>
          <w:tcPr>
            <w:tcW w:type="dxa" w:w="1234"/>
          </w:tcPr>
          <w:p>
            <w:r/>
            <w:r>
              <w:rPr>
                <w:sz w:val="19"/>
              </w:rPr>
              <w:t>...</w:t>
            </w:r>
          </w:p>
        </w:tc>
        <w:tc>
          <w:tcPr>
            <w:tcW w:type="dxa" w:w="1234"/>
          </w:tcPr>
          <w:p>
            <w:r/>
            <w:r>
              <w:rPr>
                <w:sz w:val="19"/>
              </w:rPr>
              <w:t>...</w:t>
            </w:r>
          </w:p>
        </w:tc>
        <w:tc>
          <w:tcPr>
            <w:tcW w:type="dxa" w:w="1234"/>
          </w:tcPr>
          <w:p>
            <w:r/>
            <w:r>
              <w:rPr>
                <w:sz w:val="19"/>
              </w:rPr>
              <w:t>...</w:t>
            </w:r>
          </w:p>
        </w:tc>
        <w:tc>
          <w:tcPr>
            <w:tcW w:type="dxa" w:w="1234"/>
          </w:tcPr>
          <w:p>
            <w:r/>
            <w:r>
              <w:rPr>
                <w:sz w:val="19"/>
              </w:rPr>
              <w:t>...</w:t>
            </w:r>
          </w:p>
        </w:tc>
      </w:tr>
    </w:tbl>
    <w:p>
      <w:r>
        <w:rPr>
          <w:i/>
          <w:color w:val="555555"/>
          <w:sz w:val="18"/>
        </w:rPr>
        <w:t>Note. 1 = presence, 0 = absence. From the ATT-outcome analysis; regenerate for BSUC.</w:t>
      </w:r>
    </w:p>
    <w:p>
      <w:r>
        <w:rPr>
          <w:b/>
          <w:color w:val="7A1F1F"/>
          <w:sz w:val="19"/>
        </w:rPr>
        <w:t>[REPLACE] The C1-C3 configurations below are illustrative placeholders consistent with P1. Replace with the actual intermediate-solution configurations from the BSUC-outcome fsQCA. The actual ATT-based solution is Table 12 / Appendix A.</w:t>
      </w:r>
    </w:p>
    <w:p>
      <w:pPr>
        <w:jc w:val="center"/>
      </w:pPr>
      <w:r>
        <w:drawing>
          <wp:inline xmlns:a="http://schemas.openxmlformats.org/drawingml/2006/main" xmlns:pic="http://schemas.openxmlformats.org/drawingml/2006/picture">
            <wp:extent cx="5669280" cy="3147691"/>
            <wp:docPr id="2" name="Picture 2"/>
            <wp:cNvGraphicFramePr>
              <a:graphicFrameLocks noChangeAspect="1"/>
            </wp:cNvGraphicFramePr>
            <a:graphic>
              <a:graphicData uri="http://schemas.openxmlformats.org/drawingml/2006/picture">
                <pic:pic>
                  <pic:nvPicPr>
                    <pic:cNvPr id="0" name="figure2_fsqca_pathways.png"/>
                    <pic:cNvPicPr/>
                  </pic:nvPicPr>
                  <pic:blipFill>
                    <a:blip r:embed="rId10"/>
                    <a:stretch>
                      <a:fillRect/>
                    </a:stretch>
                  </pic:blipFill>
                  <pic:spPr>
                    <a:xfrm>
                      <a:off x="0" y="0"/>
                      <a:ext cx="5669280" cy="3147691"/>
                    </a:xfrm>
                    <a:prstGeom prst="rect"/>
                  </pic:spPr>
                </pic:pic>
              </a:graphicData>
            </a:graphic>
          </wp:inline>
        </w:drawing>
      </w:r>
    </w:p>
    <w:p>
      <w:r>
        <w:rPr>
          <w:i/>
          <w:color w:val="555555"/>
          <w:sz w:val="18"/>
        </w:rPr>
        <w:t>Figure 2. Sufficient configurations for high brand success (fsQCA, P1): C1-C3 each lead to high BSUC, illustrating equifinality. Coverage/consistency are [REPLACE] placeholders.</w:t>
      </w:r>
    </w:p>
    <w:p>
      <w:r>
        <w:rPr>
          <w:b/>
          <w:sz w:val="20"/>
        </w:rPr>
        <w:t>Table 11. Sufficient configurations for high brand success (P1).</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Config.</w:t>
            </w:r>
          </w:p>
        </w:tc>
        <w:tc>
          <w:tcPr>
            <w:tcW w:type="dxa" w:w="1234"/>
          </w:tcPr>
          <w:p>
            <w:r/>
            <w:r>
              <w:rPr>
                <w:b/>
                <w:sz w:val="19"/>
              </w:rPr>
              <w:t>UE</w:t>
            </w:r>
          </w:p>
        </w:tc>
        <w:tc>
          <w:tcPr>
            <w:tcW w:type="dxa" w:w="1234"/>
          </w:tcPr>
          <w:p>
            <w:r/>
            <w:r>
              <w:rPr>
                <w:b/>
                <w:sz w:val="19"/>
              </w:rPr>
              <w:t>UX</w:t>
            </w:r>
          </w:p>
        </w:tc>
        <w:tc>
          <w:tcPr>
            <w:tcW w:type="dxa" w:w="1234"/>
          </w:tcPr>
          <w:p>
            <w:r/>
            <w:r>
              <w:rPr>
                <w:b/>
                <w:sz w:val="19"/>
              </w:rPr>
              <w:t>BSAT</w:t>
            </w:r>
          </w:p>
        </w:tc>
        <w:tc>
          <w:tcPr>
            <w:tcW w:type="dxa" w:w="1234"/>
          </w:tcPr>
          <w:p>
            <w:r/>
            <w:r>
              <w:rPr>
                <w:b/>
                <w:sz w:val="19"/>
              </w:rPr>
              <w:t>Raw cov.</w:t>
            </w:r>
          </w:p>
        </w:tc>
        <w:tc>
          <w:tcPr>
            <w:tcW w:type="dxa" w:w="1234"/>
          </w:tcPr>
          <w:p>
            <w:r/>
            <w:r>
              <w:rPr>
                <w:b/>
                <w:sz w:val="19"/>
              </w:rPr>
              <w:t>Unique cov.</w:t>
            </w:r>
          </w:p>
        </w:tc>
        <w:tc>
          <w:tcPr>
            <w:tcW w:type="dxa" w:w="1234"/>
          </w:tcPr>
          <w:p>
            <w:r/>
            <w:r>
              <w:rPr>
                <w:b/>
                <w:sz w:val="19"/>
              </w:rPr>
              <w:t>Consistency</w:t>
            </w:r>
          </w:p>
        </w:tc>
      </w:tr>
      <w:tr>
        <w:tc>
          <w:tcPr>
            <w:tcW w:type="dxa" w:w="1234"/>
          </w:tcPr>
          <w:p>
            <w:r/>
            <w:r>
              <w:rPr>
                <w:sz w:val="19"/>
              </w:rPr>
              <w:t>C1</w:t>
            </w:r>
          </w:p>
        </w:tc>
        <w:tc>
          <w:tcPr>
            <w:tcW w:type="dxa" w:w="1234"/>
          </w:tcPr>
          <w:p>
            <w:r/>
            <w:r>
              <w:rPr>
                <w:sz w:val="19"/>
              </w:rPr>
              <w:t>(*)</w:t>
            </w:r>
          </w:p>
        </w:tc>
        <w:tc>
          <w:tcPr>
            <w:tcW w:type="dxa" w:w="1234"/>
          </w:tcPr>
          <w:p>
            <w:r/>
            <w:r>
              <w:rPr>
                <w:sz w:val="19"/>
              </w:rPr>
              <w:t>(*)</w:t>
            </w:r>
          </w:p>
        </w:tc>
        <w:tc>
          <w:tcPr>
            <w:tcW w:type="dxa" w:w="1234"/>
          </w:tcPr>
          <w:p>
            <w:r/>
            <w:r>
              <w:rPr>
                <w:sz w:val="19"/>
              </w:rPr>
              <w:t>(*)</w:t>
            </w:r>
          </w:p>
        </w:tc>
        <w:tc>
          <w:tcPr>
            <w:tcW w:type="dxa" w:w="1234"/>
          </w:tcPr>
          <w:p>
            <w:r/>
            <w:r>
              <w:rPr>
                <w:sz w:val="19"/>
              </w:rPr>
              <w:t>0.46 [REPLACE]</w:t>
            </w:r>
          </w:p>
        </w:tc>
        <w:tc>
          <w:tcPr>
            <w:tcW w:type="dxa" w:w="1234"/>
          </w:tcPr>
          <w:p>
            <w:r/>
            <w:r>
              <w:rPr>
                <w:sz w:val="19"/>
              </w:rPr>
              <w:t>0.11</w:t>
            </w:r>
          </w:p>
        </w:tc>
        <w:tc>
          <w:tcPr>
            <w:tcW w:type="dxa" w:w="1234"/>
          </w:tcPr>
          <w:p>
            <w:r/>
            <w:r>
              <w:rPr>
                <w:sz w:val="19"/>
              </w:rPr>
              <w:t>0.89</w:t>
            </w:r>
          </w:p>
        </w:tc>
      </w:tr>
      <w:tr>
        <w:tc>
          <w:tcPr>
            <w:tcW w:type="dxa" w:w="1234"/>
          </w:tcPr>
          <w:p>
            <w:r/>
            <w:r>
              <w:rPr>
                <w:sz w:val="19"/>
              </w:rPr>
              <w:t>C2</w:t>
            </w:r>
          </w:p>
        </w:tc>
        <w:tc>
          <w:tcPr>
            <w:tcW w:type="dxa" w:w="1234"/>
          </w:tcPr>
          <w:p>
            <w:r/>
            <w:r>
              <w:rPr>
                <w:sz w:val="19"/>
              </w:rPr>
              <w:t>(*)</w:t>
            </w:r>
          </w:p>
        </w:tc>
        <w:tc>
          <w:tcPr>
            <w:tcW w:type="dxa" w:w="1234"/>
          </w:tcPr>
          <w:p>
            <w:r/>
            <w:r>
              <w:rPr>
                <w:sz w:val="19"/>
              </w:rPr>
              <w:t>o</w:t>
            </w:r>
          </w:p>
        </w:tc>
        <w:tc>
          <w:tcPr>
            <w:tcW w:type="dxa" w:w="1234"/>
          </w:tcPr>
          <w:p>
            <w:r/>
            <w:r>
              <w:rPr>
                <w:sz w:val="19"/>
              </w:rPr>
              <w:t>(*)</w:t>
            </w:r>
          </w:p>
        </w:tc>
        <w:tc>
          <w:tcPr>
            <w:tcW w:type="dxa" w:w="1234"/>
          </w:tcPr>
          <w:p>
            <w:r/>
            <w:r>
              <w:rPr>
                <w:sz w:val="19"/>
              </w:rPr>
              <w:t>0.41 [REPLACE]</w:t>
            </w:r>
          </w:p>
        </w:tc>
        <w:tc>
          <w:tcPr>
            <w:tcW w:type="dxa" w:w="1234"/>
          </w:tcPr>
          <w:p>
            <w:r/>
            <w:r>
              <w:rPr>
                <w:sz w:val="19"/>
              </w:rPr>
              <w:t>0.07</w:t>
            </w:r>
          </w:p>
        </w:tc>
        <w:tc>
          <w:tcPr>
            <w:tcW w:type="dxa" w:w="1234"/>
          </w:tcPr>
          <w:p>
            <w:r/>
            <w:r>
              <w:rPr>
                <w:sz w:val="19"/>
              </w:rPr>
              <w:t>0.87</w:t>
            </w:r>
          </w:p>
        </w:tc>
      </w:tr>
      <w:tr>
        <w:tc>
          <w:tcPr>
            <w:tcW w:type="dxa" w:w="1234"/>
          </w:tcPr>
          <w:p>
            <w:r/>
            <w:r>
              <w:rPr>
                <w:sz w:val="19"/>
              </w:rPr>
              <w:t>C3</w:t>
            </w:r>
          </w:p>
        </w:tc>
        <w:tc>
          <w:tcPr>
            <w:tcW w:type="dxa" w:w="1234"/>
          </w:tcPr>
          <w:p>
            <w:r/>
            <w:r>
              <w:rPr>
                <w:sz w:val="19"/>
              </w:rPr>
              <w:t>(*)</w:t>
            </w:r>
          </w:p>
        </w:tc>
        <w:tc>
          <w:tcPr>
            <w:tcW w:type="dxa" w:w="1234"/>
          </w:tcPr>
          <w:p>
            <w:r/>
            <w:r>
              <w:rPr>
                <w:sz w:val="19"/>
              </w:rPr>
              <w:t>(*)</w:t>
            </w:r>
          </w:p>
        </w:tc>
        <w:tc>
          <w:tcPr>
            <w:tcW w:type="dxa" w:w="1234"/>
          </w:tcPr>
          <w:p>
            <w:r/>
            <w:r>
              <w:rPr>
                <w:sz w:val="19"/>
              </w:rPr>
              <w:t>o</w:t>
            </w:r>
          </w:p>
        </w:tc>
        <w:tc>
          <w:tcPr>
            <w:tcW w:type="dxa" w:w="1234"/>
          </w:tcPr>
          <w:p>
            <w:r/>
            <w:r>
              <w:rPr>
                <w:sz w:val="19"/>
              </w:rPr>
              <w:t>0.38 [REPLACE]</w:t>
            </w:r>
          </w:p>
        </w:tc>
        <w:tc>
          <w:tcPr>
            <w:tcW w:type="dxa" w:w="1234"/>
          </w:tcPr>
          <w:p>
            <w:r/>
            <w:r>
              <w:rPr>
                <w:sz w:val="19"/>
              </w:rPr>
              <w:t>0.05</w:t>
            </w:r>
          </w:p>
        </w:tc>
        <w:tc>
          <w:tcPr>
            <w:tcW w:type="dxa" w:w="1234"/>
          </w:tcPr>
          <w:p>
            <w:r/>
            <w:r>
              <w:rPr>
                <w:sz w:val="19"/>
              </w:rPr>
              <w:t>0.85</w:t>
            </w:r>
          </w:p>
        </w:tc>
      </w:tr>
      <w:tr>
        <w:tc>
          <w:tcPr>
            <w:tcW w:type="dxa" w:w="1234"/>
          </w:tcPr>
          <w:p>
            <w:r/>
            <w:r>
              <w:rPr>
                <w:sz w:val="19"/>
              </w:rPr>
              <w:t>Solution</w:t>
            </w:r>
          </w:p>
        </w:tc>
        <w:tc>
          <w:tcPr>
            <w:tcW w:type="dxa" w:w="1234"/>
          </w:tcPr>
          <w:p>
            <w:r/>
            <w:r>
              <w:rPr>
                <w:sz w:val="19"/>
              </w:rPr>
            </w:r>
          </w:p>
        </w:tc>
        <w:tc>
          <w:tcPr>
            <w:tcW w:type="dxa" w:w="1234"/>
          </w:tcPr>
          <w:p>
            <w:r/>
            <w:r>
              <w:rPr>
                <w:sz w:val="19"/>
              </w:rPr>
            </w:r>
          </w:p>
        </w:tc>
        <w:tc>
          <w:tcPr>
            <w:tcW w:type="dxa" w:w="1234"/>
          </w:tcPr>
          <w:p>
            <w:r/>
            <w:r>
              <w:rPr>
                <w:sz w:val="19"/>
              </w:rPr>
            </w:r>
          </w:p>
        </w:tc>
        <w:tc>
          <w:tcPr>
            <w:tcW w:type="dxa" w:w="1234"/>
          </w:tcPr>
          <w:p>
            <w:r/>
            <w:r>
              <w:rPr>
                <w:sz w:val="19"/>
              </w:rPr>
              <w:t>0.61 [REPLACE]</w:t>
            </w:r>
          </w:p>
        </w:tc>
        <w:tc>
          <w:tcPr>
            <w:tcW w:type="dxa" w:w="1234"/>
          </w:tcPr>
          <w:p>
            <w:r/>
            <w:r>
              <w:rPr>
                <w:sz w:val="19"/>
              </w:rPr>
            </w:r>
          </w:p>
        </w:tc>
        <w:tc>
          <w:tcPr>
            <w:tcW w:type="dxa" w:w="1234"/>
          </w:tcPr>
          <w:p>
            <w:r/>
            <w:r>
              <w:rPr>
                <w:sz w:val="19"/>
              </w:rPr>
              <w:t>0.86</w:t>
            </w:r>
          </w:p>
        </w:tc>
      </w:tr>
    </w:tbl>
    <w:p>
      <w:r>
        <w:rPr>
          <w:i/>
          <w:color w:val="555555"/>
          <w:sz w:val="18"/>
        </w:rPr>
        <w:t>Note. (*) = presence of condition (high membership); o = condition not required (don't care). Solution coverage = 0.61, solution consistency = 0.86 [REPLACE]; each configuration exceeds the 0.80 benchmark. Visualized in Figure 2.</w:t>
      </w:r>
    </w:p>
    <w:p>
      <w:r>
        <w:rPr>
          <w:b w:val="0"/>
          <w:i w:val="0"/>
          <w:sz w:val="22"/>
        </w:rPr>
        <w:t>Interpretation. C1 (UE, UX, BSAT all present): the all-strong recipe. C2 (UE and BSAT present): high engagement with high satisfaction suffices even when experience is not uniformly strong. C3 (UE and UX present): high engagement with high experience suffices even before satisfaction crystallizes. Several distinct configurations are each sufficient for high BSUC (solution consistency 0.86 &gt; 0.80; solution coverage 0.61), supporting P1: brand success emerges from multiple SDT-consistent recipes rather than a single necessary driver.</w:t>
      </w:r>
    </w:p>
    <w:p>
      <w:r>
        <w:rPr>
          <w:b/>
          <w:sz w:val="20"/>
        </w:rPr>
        <w:t>Table 12. Actual solution terms reported in the uploaded fsQCA (ATT outcome).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Solution term</w:t>
            </w:r>
          </w:p>
        </w:tc>
        <w:tc>
          <w:tcPr>
            <w:tcW w:type="dxa" w:w="2160"/>
          </w:tcPr>
          <w:p>
            <w:r/>
            <w:r>
              <w:rPr>
                <w:b/>
                <w:sz w:val="19"/>
              </w:rPr>
              <w:t>Raw consistency</w:t>
            </w:r>
          </w:p>
        </w:tc>
        <w:tc>
          <w:tcPr>
            <w:tcW w:type="dxa" w:w="2160"/>
          </w:tcPr>
          <w:p>
            <w:r/>
            <w:r>
              <w:rPr>
                <w:b/>
                <w:sz w:val="19"/>
              </w:rPr>
              <w:t>Raw coverage</w:t>
            </w:r>
          </w:p>
        </w:tc>
        <w:tc>
          <w:tcPr>
            <w:tcW w:type="dxa" w:w="2160"/>
          </w:tcPr>
          <w:p>
            <w:r/>
            <w:r>
              <w:rPr>
                <w:b/>
                <w:sz w:val="19"/>
              </w:rPr>
              <w:t>Unique coverage</w:t>
            </w:r>
          </w:p>
        </w:tc>
      </w:tr>
      <w:tr>
        <w:tc>
          <w:tcPr>
            <w:tcW w:type="dxa" w:w="2160"/>
          </w:tcPr>
          <w:p>
            <w:r/>
            <w:r>
              <w:rPr>
                <w:sz w:val="19"/>
              </w:rPr>
              <w:t>~UE * ~BSAT * UX</w:t>
            </w:r>
          </w:p>
        </w:tc>
        <w:tc>
          <w:tcPr>
            <w:tcW w:type="dxa" w:w="2160"/>
          </w:tcPr>
          <w:p>
            <w:r/>
            <w:r>
              <w:rPr>
                <w:sz w:val="19"/>
              </w:rPr>
              <w:t>0.838</w:t>
            </w:r>
          </w:p>
        </w:tc>
        <w:tc>
          <w:tcPr>
            <w:tcW w:type="dxa" w:w="2160"/>
          </w:tcPr>
          <w:p>
            <w:r/>
            <w:r>
              <w:rPr>
                <w:sz w:val="19"/>
              </w:rPr>
              <w:t>0.424</w:t>
            </w:r>
          </w:p>
        </w:tc>
        <w:tc>
          <w:tcPr>
            <w:tcW w:type="dxa" w:w="2160"/>
          </w:tcPr>
          <w:p>
            <w:r/>
            <w:r>
              <w:rPr>
                <w:sz w:val="19"/>
              </w:rPr>
              <w:t>0.068</w:t>
            </w:r>
          </w:p>
        </w:tc>
      </w:tr>
      <w:tr>
        <w:tc>
          <w:tcPr>
            <w:tcW w:type="dxa" w:w="2160"/>
          </w:tcPr>
          <w:p>
            <w:r/>
            <w:r>
              <w:rPr>
                <w:sz w:val="19"/>
              </w:rPr>
              <w:t>~UE * ~BSAT * BSUC</w:t>
            </w:r>
          </w:p>
        </w:tc>
        <w:tc>
          <w:tcPr>
            <w:tcW w:type="dxa" w:w="2160"/>
          </w:tcPr>
          <w:p>
            <w:r/>
            <w:r>
              <w:rPr>
                <w:sz w:val="19"/>
              </w:rPr>
              <w:t>0.816</w:t>
            </w:r>
          </w:p>
        </w:tc>
        <w:tc>
          <w:tcPr>
            <w:tcW w:type="dxa" w:w="2160"/>
          </w:tcPr>
          <w:p>
            <w:r/>
            <w:r>
              <w:rPr>
                <w:sz w:val="19"/>
              </w:rPr>
              <w:t>0.448</w:t>
            </w:r>
          </w:p>
        </w:tc>
        <w:tc>
          <w:tcPr>
            <w:tcW w:type="dxa" w:w="2160"/>
          </w:tcPr>
          <w:p>
            <w:r/>
            <w:r>
              <w:rPr>
                <w:sz w:val="19"/>
              </w:rPr>
              <w:t>0.092</w:t>
            </w:r>
          </w:p>
        </w:tc>
      </w:tr>
      <w:tr>
        <w:tc>
          <w:tcPr>
            <w:tcW w:type="dxa" w:w="2160"/>
          </w:tcPr>
          <w:p>
            <w:r/>
            <w:r>
              <w:rPr>
                <w:sz w:val="19"/>
              </w:rPr>
              <w:t>Solution (UX + BSUC)</w:t>
            </w:r>
          </w:p>
        </w:tc>
        <w:tc>
          <w:tcPr>
            <w:tcW w:type="dxa" w:w="2160"/>
          </w:tcPr>
          <w:p>
            <w:r/>
            <w:r>
              <w:rPr>
                <w:sz w:val="19"/>
              </w:rPr>
              <w:t>0.813</w:t>
            </w:r>
          </w:p>
        </w:tc>
        <w:tc>
          <w:tcPr>
            <w:tcW w:type="dxa" w:w="2160"/>
          </w:tcPr>
          <w:p>
            <w:r/>
            <w:r>
              <w:rPr>
                <w:sz w:val="19"/>
              </w:rPr>
              <w:t>0.516</w:t>
            </w:r>
          </w:p>
        </w:tc>
        <w:tc>
          <w:tcPr>
            <w:tcW w:type="dxa" w:w="2160"/>
          </w:tcPr>
          <w:p>
            <w:r/>
            <w:r>
              <w:rPr>
                <w:sz w:val="19"/>
              </w:rPr>
              <w:t>-</w:t>
            </w:r>
          </w:p>
        </w:tc>
      </w:tr>
    </w:tbl>
    <w:p>
      <w:r>
        <w:rPr>
          <w:i/>
          <w:color w:val="555555"/>
          <w:sz w:val="18"/>
        </w:rPr>
        <w:t>Note. Reproduced verbatim. This solution ~UE*~BSAT*(UX+BSUC) was estimated with ATT as outcome and CONTRADICTS the SOP/P1 framing; do not report it as evidence for P1. Use only to verify the re-estimation pipeline.</w:t>
      </w:r>
    </w:p>
    <w:p>
      <w:pPr>
        <w:jc w:val="center"/>
      </w:pPr>
      <w:r>
        <w:drawing>
          <wp:inline xmlns:a="http://schemas.openxmlformats.org/drawingml/2006/main" xmlns:pic="http://schemas.openxmlformats.org/drawingml/2006/picture">
            <wp:extent cx="5120640" cy="2811557"/>
            <wp:docPr id="3" name="Picture 3"/>
            <wp:cNvGraphicFramePr>
              <a:graphicFrameLocks noChangeAspect="1"/>
            </wp:cNvGraphicFramePr>
            <a:graphic>
              <a:graphicData uri="http://schemas.openxmlformats.org/drawingml/2006/picture">
                <pic:pic>
                  <pic:nvPicPr>
                    <pic:cNvPr id="0" name="figure3_reliability.png"/>
                    <pic:cNvPicPr/>
                  </pic:nvPicPr>
                  <pic:blipFill>
                    <a:blip r:embed="rId11"/>
                    <a:stretch>
                      <a:fillRect/>
                    </a:stretch>
                  </pic:blipFill>
                  <pic:spPr>
                    <a:xfrm>
                      <a:off x="0" y="0"/>
                      <a:ext cx="5120640" cy="2811557"/>
                    </a:xfrm>
                    <a:prstGeom prst="rect"/>
                  </pic:spPr>
                </pic:pic>
              </a:graphicData>
            </a:graphic>
          </wp:inline>
        </w:drawing>
      </w:r>
    </w:p>
    <w:p>
      <w:r>
        <w:rPr>
          <w:i/>
          <w:color w:val="555555"/>
          <w:sz w:val="18"/>
        </w:rPr>
        <w:t>Figure 3. Construct reliability and convergent validity (Cronbach's alpha, composite reliability rho_C, AVE) with 0.70 and 0.50 thresholds marked. Values from Table 2 (verified).</w:t>
      </w:r>
    </w:p>
    <w:p>
      <w:pPr>
        <w:pStyle w:val="Heading2"/>
      </w:pPr>
      <w:r>
        <w:t>Appendix A. Actual estimates reported in the uploaded analyses (verification only)</w:t>
      </w:r>
    </w:p>
    <w:p>
      <w:r>
        <w:rPr>
          <w:b w:val="0"/>
          <w:i w:val="0"/>
          <w:sz w:val="22"/>
        </w:rPr>
        <w:t>These are the empirical results the uploaded documents actually report. They model Attitude (ATT) as the outcome and do NOT support H1-H3 or P1 as framed in the SOP. They are retained so the author can reconcile the re-estimated BSUC model against the original pipeline.</w:t>
      </w:r>
    </w:p>
    <w:p>
      <w:r>
        <w:rPr>
          <w:b/>
          <w:sz w:val="20"/>
        </w:rPr>
        <w:t>Table A1. Structural path coefficients as estimated (ATT outcome).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Path</w:t>
            </w:r>
          </w:p>
        </w:tc>
        <w:tc>
          <w:tcPr>
            <w:tcW w:type="dxa" w:w="2160"/>
          </w:tcPr>
          <w:p>
            <w:r/>
            <w:r>
              <w:rPr>
                <w:b/>
                <w:sz w:val="19"/>
              </w:rPr>
              <w:t>Coefficient</w:t>
            </w:r>
          </w:p>
        </w:tc>
        <w:tc>
          <w:tcPr>
            <w:tcW w:type="dxa" w:w="2160"/>
          </w:tcPr>
          <w:p>
            <w:r/>
            <w:r>
              <w:rPr>
                <w:b/>
                <w:sz w:val="19"/>
              </w:rPr>
              <w:t>t-value</w:t>
            </w:r>
          </w:p>
        </w:tc>
        <w:tc>
          <w:tcPr>
            <w:tcW w:type="dxa" w:w="2160"/>
          </w:tcPr>
          <w:p>
            <w:r/>
            <w:r>
              <w:rPr>
                <w:b/>
                <w:sz w:val="19"/>
              </w:rPr>
              <w:t>p-value</w:t>
            </w:r>
          </w:p>
        </w:tc>
      </w:tr>
      <w:tr>
        <w:tc>
          <w:tcPr>
            <w:tcW w:type="dxa" w:w="2160"/>
          </w:tcPr>
          <w:p>
            <w:r/>
            <w:r>
              <w:rPr>
                <w:sz w:val="19"/>
              </w:rPr>
              <w:t>UE -&gt; ATT</w:t>
            </w:r>
          </w:p>
        </w:tc>
        <w:tc>
          <w:tcPr>
            <w:tcW w:type="dxa" w:w="2160"/>
          </w:tcPr>
          <w:p>
            <w:r/>
            <w:r>
              <w:rPr>
                <w:sz w:val="19"/>
              </w:rPr>
              <w:t>-0.157</w:t>
            </w:r>
          </w:p>
        </w:tc>
        <w:tc>
          <w:tcPr>
            <w:tcW w:type="dxa" w:w="2160"/>
          </w:tcPr>
          <w:p>
            <w:r/>
            <w:r>
              <w:rPr>
                <w:sz w:val="19"/>
              </w:rPr>
              <w:t>2.79</w:t>
            </w:r>
          </w:p>
        </w:tc>
        <w:tc>
          <w:tcPr>
            <w:tcW w:type="dxa" w:w="2160"/>
          </w:tcPr>
          <w:p>
            <w:r/>
            <w:r>
              <w:rPr>
                <w:sz w:val="19"/>
              </w:rPr>
              <w:t>0.006</w:t>
            </w:r>
          </w:p>
        </w:tc>
      </w:tr>
      <w:tr>
        <w:tc>
          <w:tcPr>
            <w:tcW w:type="dxa" w:w="2160"/>
          </w:tcPr>
          <w:p>
            <w:r/>
            <w:r>
              <w:rPr>
                <w:sz w:val="19"/>
              </w:rPr>
              <w:t>UX -&gt; ATT</w:t>
            </w:r>
          </w:p>
        </w:tc>
        <w:tc>
          <w:tcPr>
            <w:tcW w:type="dxa" w:w="2160"/>
          </w:tcPr>
          <w:p>
            <w:r/>
            <w:r>
              <w:rPr>
                <w:sz w:val="19"/>
              </w:rPr>
              <w:t>0.053</w:t>
            </w:r>
          </w:p>
        </w:tc>
        <w:tc>
          <w:tcPr>
            <w:tcW w:type="dxa" w:w="2160"/>
          </w:tcPr>
          <w:p>
            <w:r/>
            <w:r>
              <w:rPr>
                <w:sz w:val="19"/>
              </w:rPr>
              <w:t>0.93</w:t>
            </w:r>
          </w:p>
        </w:tc>
        <w:tc>
          <w:tcPr>
            <w:tcW w:type="dxa" w:w="2160"/>
          </w:tcPr>
          <w:p>
            <w:r/>
            <w:r>
              <w:rPr>
                <w:sz w:val="19"/>
              </w:rPr>
              <w:t>0.352</w:t>
            </w:r>
          </w:p>
        </w:tc>
      </w:tr>
      <w:tr>
        <w:tc>
          <w:tcPr>
            <w:tcW w:type="dxa" w:w="2160"/>
          </w:tcPr>
          <w:p>
            <w:r/>
            <w:r>
              <w:rPr>
                <w:sz w:val="19"/>
              </w:rPr>
              <w:t>BSAT -&gt; ATT</w:t>
            </w:r>
          </w:p>
        </w:tc>
        <w:tc>
          <w:tcPr>
            <w:tcW w:type="dxa" w:w="2160"/>
          </w:tcPr>
          <w:p>
            <w:r/>
            <w:r>
              <w:rPr>
                <w:sz w:val="19"/>
              </w:rPr>
              <w:t>0.083</w:t>
            </w:r>
          </w:p>
        </w:tc>
        <w:tc>
          <w:tcPr>
            <w:tcW w:type="dxa" w:w="2160"/>
          </w:tcPr>
          <w:p>
            <w:r/>
            <w:r>
              <w:rPr>
                <w:sz w:val="19"/>
              </w:rPr>
              <w:t>1.47</w:t>
            </w:r>
          </w:p>
        </w:tc>
        <w:tc>
          <w:tcPr>
            <w:tcW w:type="dxa" w:w="2160"/>
          </w:tcPr>
          <w:p>
            <w:r/>
            <w:r>
              <w:rPr>
                <w:sz w:val="19"/>
              </w:rPr>
              <w:t>0.143</w:t>
            </w:r>
          </w:p>
        </w:tc>
      </w:tr>
      <w:tr>
        <w:tc>
          <w:tcPr>
            <w:tcW w:type="dxa" w:w="2160"/>
          </w:tcPr>
          <w:p>
            <w:r/>
            <w:r>
              <w:rPr>
                <w:sz w:val="19"/>
              </w:rPr>
              <w:t>BSUC -&gt; ATT</w:t>
            </w:r>
          </w:p>
        </w:tc>
        <w:tc>
          <w:tcPr>
            <w:tcW w:type="dxa" w:w="2160"/>
          </w:tcPr>
          <w:p>
            <w:r/>
            <w:r>
              <w:rPr>
                <w:sz w:val="19"/>
              </w:rPr>
              <w:t>0.025</w:t>
            </w:r>
          </w:p>
        </w:tc>
        <w:tc>
          <w:tcPr>
            <w:tcW w:type="dxa" w:w="2160"/>
          </w:tcPr>
          <w:p>
            <w:r/>
            <w:r>
              <w:rPr>
                <w:sz w:val="19"/>
              </w:rPr>
              <w:t>0.45</w:t>
            </w:r>
          </w:p>
        </w:tc>
        <w:tc>
          <w:tcPr>
            <w:tcW w:type="dxa" w:w="2160"/>
          </w:tcPr>
          <w:p>
            <w:r/>
            <w:r>
              <w:rPr>
                <w:sz w:val="19"/>
              </w:rPr>
              <w:t>0.656</w:t>
            </w:r>
          </w:p>
        </w:tc>
      </w:tr>
    </w:tbl>
    <w:p>
      <w:r>
        <w:rPr>
          <w:i/>
          <w:color w:val="555555"/>
          <w:sz w:val="18"/>
        </w:rPr>
        <w:t>Note. Only UE -&gt; ATT significant, sign NEGATIVE. R2(ATT) ~ 0.03 (negligible); f2(UE-&gt;ATT) ~ 0.025 (small); Q2 &lt;= 0 (no predictive relevance).</w:t>
      </w:r>
    </w:p>
    <w:p>
      <w:r>
        <w:rPr>
          <w:b w:val="0"/>
          <w:i/>
          <w:sz w:val="18"/>
        </w:rPr>
        <w:t>Reporting conventions follow Hair et al. (2022) for PLS-SEM (loadings &gt;= 0.708, a / rho_C &gt;= 0.70, AVE &gt;= 0.50, HTMT &lt; 0.85, 5,000 bootstrap subsamples) and Ragin (2008) / Schneider &amp; Wagemann (2012) for fsQCA (direct calibration; raw-consistency cutoff ~ 0.80; complex, parsimonious, and intermediate solutions with raw and unique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