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val="0"/>
        </w:rPr>
        <w:t>20 June 2026</w:t>
      </w:r>
    </w:p>
    <w:p>
      <w:pPr>
        <w:spacing w:after="200"/>
      </w:pPr>
      <w:r>
        <w:rPr>
          <w:b w:val="0"/>
        </w:rPr>
      </w:r>
    </w:p>
    <w:p>
      <w:pPr>
        <w:spacing w:after="200"/>
      </w:pPr>
      <w:r>
        <w:rPr>
          <w:b w:val="0"/>
        </w:rPr>
        <w:t>The Editor-in-Chief</w:t>
      </w:r>
    </w:p>
    <w:p>
      <w:pPr>
        <w:spacing w:after="200"/>
      </w:pPr>
      <w:r>
        <w:rPr>
          <w:b w:val="0"/>
        </w:rPr>
        <w:t>European Journal of Information Systems</w:t>
      </w:r>
    </w:p>
    <w:p>
      <w:pPr>
        <w:spacing w:after="200"/>
      </w:pPr>
      <w:r>
        <w:rPr>
          <w:b w:val="0"/>
        </w:rPr>
        <w:t>Taylor &amp; Francis (on behalf of the Operational Research Society)</w:t>
      </w:r>
    </w:p>
    <w:p>
      <w:pPr>
        <w:spacing w:after="200"/>
      </w:pPr>
      <w:r>
        <w:rPr>
          <w:b w:val="0"/>
        </w:rPr>
      </w:r>
    </w:p>
    <w:p>
      <w:pPr>
        <w:spacing w:after="200"/>
      </w:pPr>
      <w:r>
        <w:rPr>
          <w:b/>
        </w:rPr>
        <w:t>Subject: Submission of original research manuscript for consideration in the European Journal of Information Systems</w:t>
      </w:r>
    </w:p>
    <w:p>
      <w:pPr>
        <w:spacing w:after="200"/>
      </w:pPr>
      <w:r>
        <w:rPr>
          <w:b w:val="0"/>
        </w:rPr>
      </w:r>
    </w:p>
    <w:p>
      <w:pPr>
        <w:spacing w:after="200"/>
      </w:pPr>
      <w:r>
        <w:rPr>
          <w:b w:val="0"/>
        </w:rPr>
        <w:t>Dear Editor-in-Chief,</w:t>
      </w:r>
    </w:p>
    <w:p>
      <w:pPr>
        <w:spacing w:after="200"/>
      </w:pPr>
      <w:r>
        <w:rPr>
          <w:b w:val="0"/>
        </w:rPr>
      </w:r>
    </w:p>
    <w:p>
      <w:pPr>
        <w:spacing w:after="200"/>
      </w:pPr>
      <w:r>
        <w:rPr>
          <w:b w:val="0"/>
        </w:rPr>
        <w:t>We are pleased to submit our manuscript titled "When Does the Metaverse Pay Off for Brands? A Mixed-Method Test in an Emerging Market" for consideration for publication in the European Journal of Information Systems. The study examines an important and under-theorised question at the intersection of immersive information systems and brand value creation: under what conditions does a brand presence in the metaverse translate into sustained brand performance?</w:t>
      </w:r>
    </w:p>
    <w:p>
      <w:pPr>
        <w:spacing w:after="200"/>
      </w:pPr>
      <w:r>
        <w:rPr>
          <w:b w:val="0"/>
        </w:rPr>
        <w:t>As brands increasingly establish a presence in immersive, avatar-mediated digital environments, guidance on what actually sustains brand outcomes in these settings remains limited. Drawing on Flow Theory and Self-Determination Theory as explanatory lenses, we develop and empirically test a configurational model that links user engagement and user experience to brand satisfaction and brand success in metaverse ecosystems. We adopt a mixed-method design, combining partial least squares structural equation modelling (PLS-SEM) for measurement validation with fuzzy-set qualitative comparative analysis (fsQCA) to capture causal complexity and equifinality.</w:t>
      </w:r>
    </w:p>
    <w:p>
      <w:pPr>
        <w:spacing w:after="200"/>
      </w:pPr>
      <w:r>
        <w:rPr>
          <w:b w:val="0"/>
        </w:rPr>
        <w:t>Using survey data from 312 active metaverse users in India, a strategically important yet under-represented emerging market, our findings show that neither engagement nor experience alone is sufficient for brand success. Instead, specific conjunctural configurations, particularly the co-presence of brand satisfaction with either user experience or user engagement, are associated with favourable brand outcomes, with the fully triadic configuration yielding the highest solution consistency. The study contributes to information systems scholarship by (i) extending Flow Theory and Self-Determination Theory into co-creative, technology-mediated brand ecosystems, (ii) demonstrating the value of a configurational logic for understanding immersive IS-enabled environments, and (iii) offering actionable, evidence-based guidance for designing identity-affirming, community-embedded virtual experiences.</w:t>
      </w:r>
    </w:p>
    <w:p>
      <w:pPr>
        <w:spacing w:after="200"/>
      </w:pPr>
      <w:r>
        <w:rPr>
          <w:b w:val="0"/>
        </w:rPr>
        <w:t>We believe this work aligns well with the scope and readership of the European Journal of Information Systems, given its focus on the organisational and managerial implications of emerging information technologies and immersive digital platforms.</w:t>
      </w:r>
    </w:p>
    <w:p>
      <w:pPr>
        <w:spacing w:after="200"/>
      </w:pPr>
      <w:r>
        <w:rPr>
          <w:b w:val="0"/>
        </w:rPr>
        <w:t>We confirm that this manuscript is original, has not been published previously, and is not under consideration for publication elsewhere. All authors have read and approved the manuscript and agree to its submission. The authors declare no conflicts of interest. All listed authors have contributed substantially to the work reported.</w:t>
      </w:r>
    </w:p>
    <w:p>
      <w:pPr>
        <w:spacing w:after="200"/>
      </w:pPr>
      <w:r>
        <w:rPr>
          <w:b w:val="0"/>
        </w:rPr>
        <w:t>Thank you for considering our submission. We look forward to the opportunity to contribute to the European Journal of Information Systems and would be happy to provide any further information required.</w:t>
      </w:r>
    </w:p>
    <w:p>
      <w:pPr>
        <w:spacing w:after="200"/>
      </w:pPr>
      <w:r>
        <w:rPr>
          <w:b w:val="0"/>
        </w:rPr>
      </w:r>
    </w:p>
    <w:p>
      <w:pPr>
        <w:spacing w:after="200"/>
      </w:pPr>
      <w:r>
        <w:rPr>
          <w:b w:val="0"/>
        </w:rPr>
        <w:t>Sincerely,</w:t>
      </w:r>
    </w:p>
    <w:p>
      <w:pPr>
        <w:spacing w:after="200"/>
      </w:pPr>
      <w:r>
        <w:rPr>
          <w:b w:val="0"/>
        </w:rPr>
      </w:r>
    </w:p>
    <w:p>
      <w:pPr>
        <w:spacing w:after="200"/>
      </w:pPr>
      <w:r>
        <w:rPr>
          <w:b/>
        </w:rPr>
        <w:t>Nagendra Kumar Sharma (Corresponding Author)</w:t>
      </w:r>
    </w:p>
    <w:p>
      <w:pPr>
        <w:spacing w:after="200"/>
      </w:pPr>
      <w:r>
        <w:rPr>
          <w:b w:val="0"/>
        </w:rPr>
        <w:t>Graphic Era School of Management, Dehradun, India</w:t>
      </w:r>
    </w:p>
    <w:p>
      <w:pPr>
        <w:spacing w:after="200"/>
      </w:pPr>
      <w:r>
        <w:rPr>
          <w:b w:val="0"/>
        </w:rPr>
        <w:t>Email: nagendrasharmag@gmail.com</w:t>
      </w:r>
    </w:p>
    <w:p>
      <w:pPr>
        <w:spacing w:after="200"/>
      </w:pPr>
      <w:r>
        <w:rPr>
          <w:b w:val="0"/>
        </w:rPr>
        <w:t>ORCID: 0000-0002-6698-8926</w:t>
      </w:r>
    </w:p>
    <w:p>
      <w:pPr>
        <w:spacing w:after="200"/>
      </w:pPr>
      <w:r>
        <w:rPr>
          <w:b w:val="0"/>
        </w:rPr>
      </w:r>
    </w:p>
    <w:p>
      <w:pPr>
        <w:spacing w:after="200"/>
      </w:pPr>
      <w:r>
        <w:rPr>
          <w:b w:val="0"/>
        </w:rPr>
        <w:t>On behalf of the co-authors:</w:t>
      </w:r>
    </w:p>
    <w:p>
      <w:pPr>
        <w:spacing w:after="200"/>
      </w:pPr>
      <w:r>
        <w:rPr>
          <w:b w:val="0"/>
        </w:rPr>
        <w:t>Mohit Gundwal, Graphic Era School of Management, Dehradun, India</w:t>
      </w:r>
    </w:p>
    <w:p>
      <w:pPr>
        <w:spacing w:after="200"/>
      </w:pPr>
      <w:r>
        <w:rPr>
          <w:b w:val="0"/>
        </w:rPr>
        <w:t>Vikas Arya, Paris School of Business, Paris, France</w:t>
      </w:r>
    </w:p>
    <w:p>
      <w:pPr>
        <w:spacing w:after="200"/>
      </w:pPr>
      <w:r>
        <w:rPr>
          <w:b w:val="0"/>
        </w:rPr>
        <w:t>Somesh Kumar Sinha, Rajagiri Business School,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