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Configurations of User Engagement and Experience Driving Brand Success in the Metaverse: A Flow Theory and Self-Determination Theory Perspective</w:t>
      </w:r>
    </w:p>
    <w:p>
      <w:r>
        <w:rPr>
          <w:i/>
        </w:rPr>
        <w:t>(Revised manuscript. Construct acronyms standardized throughout: UE = User Engagement; UX = User Experience; BSAT = Brand Satisfaction; BSUC = Brand Success.)</w:t>
      </w:r>
    </w:p>
    <w:p>
      <w:pPr>
        <w:pStyle w:val="Heading1"/>
      </w:pPr>
      <w:r>
        <w:t>Abstract</w:t>
      </w:r>
    </w:p>
    <w:p>
      <w:r>
        <w:t xml:space="preserve">As brands establish a presence in immersive virtual environments, understanding what sustains brand performance in the metaverse has become a practical priority and a theoretical gap. Prior marketing research shows that engagement, experience, and satisfaction predict positive brand outcomes, but it does not explain whether these relationships hold in the metaverse, where value is co-created through avatars, persistent social worlds, and user-owned digital assets, or whether they combine in metaverse-specific ways. Grounding the study in Flow Theory and Self-Determination Theory (SDT), we argue that brand success in the metaverse is unlikely to depend on any single antecedent and is better understood as the outcome of </w:t>
      </w:r>
      <w:r>
        <w:rPr>
          <w:i/>
        </w:rPr>
        <w:t>combinations</w:t>
      </w:r>
      <w:r>
        <w:t xml:space="preserve"> of conditions. We test this configurational logic with survey data from 312 active metaverse users in India, an under-represented but fast-growing market. Measurement quality is established with PLS-SEM, and fuzzy-set qualitative comparative analysis (fsQCA) identifies the combinations of User Engagement (UE), User Experience (UX), and Brand Satisfaction (BSAT) associated with high Brand Success (BSUC). No single condition is necessary for brand success. Instead, brand satisfaction combined with either engagement or experience, and most strongly all three together, is associated with favourable outcomes, supporting equifinality. The study contributes a configurational, theory-grounded account of metaverse branding and offers brand managers guidance on which bundles of conditions to prioritize, while acknowledging the metaverse's contested commercial trajectory.</w:t>
      </w:r>
    </w:p>
    <w:p>
      <w:r>
        <w:rPr>
          <w:b/>
        </w:rPr>
        <w:t>Keywords:</w:t>
      </w:r>
      <w:r>
        <w:t xml:space="preserve"> metaverse; user engagement; user experience; brand satisfaction; brand success; fuzzy-set QCA; Flow Theory; Self-Determination Theory</w:t>
      </w:r>
    </w:p>
    <w:p>
      <w:pPr>
        <w:pStyle w:val="Heading1"/>
      </w:pPr>
      <w:r>
        <w:t>1. Introduction</w:t>
      </w:r>
    </w:p>
    <w:p>
      <w:r>
        <w:t>The metaverse is a network of persistent, immersive virtual environments in which users, represented by avatars, interact with one another, with digital objects, and with brands (Dwivedi et al., 2023; Hennig-Thurau et al., 2023). For brands, these environments differ from earlier digital channels in three concrete ways: interaction is embodied rather than screen-mediated, social presence is persistent rather than episodic, and value can be attached to user-owned digital assets rather than to advertising impressions alone (Arya et al., 2024a; Bilgihan et al., 2024). These features raise a specific question: do the engagement-experience-satisfaction relationships established in conventional marketing still hold when brand interaction is embodied, social, and asset-based, and do they operate in the same way?</w:t>
      </w:r>
    </w:p>
    <w:p>
      <w:r>
        <w:t>This question matters because the commercial reality of the metaverse is contested. After a period of intense investment, several major firms have scaled back dedicated metaverse initiatives, and practitioner sentiment has cooled relative to the peak of the hype cycle (eMarketer, 2023). At the same time, large immersive-social platforms such as Roblox and Fortnite retain very large, commercially active user bases, and emerging markets continue to expand. We therefore do not treat the metaverse as self-evidently "the future" of marketing. Instead, we scope our contribution to the platforms and user segments where immersive brand activity is currently concentrated, and we test whether established relationships replicate and recombine there.</w:t>
      </w:r>
    </w:p>
    <w:p>
      <w:r>
        <w:t xml:space="preserve">Most existing studies examine isolated elements (for example, gamification, avatars, or NFTs) and estimate their </w:t>
      </w:r>
      <w:r>
        <w:rPr>
          <w:i/>
        </w:rPr>
        <w:t>net, independent</w:t>
      </w:r>
      <w:r>
        <w:t xml:space="preserve"> effects on a brand outcome (Hennig-Thurau et al., 2023; Xie and Muralidharan, 2023). This variable-centric approach answers "which factor matters most on average." It does not answer the question brand managers actually face: </w:t>
      </w:r>
      <w:r>
        <w:rPr>
          <w:i/>
        </w:rPr>
        <w:t>which combinations</w:t>
      </w:r>
      <w:r>
        <w:t xml:space="preserve"> of engagement, experience, and satisfaction together produce brand success, and whether more than one combination can do so. Because metaverse brand value is co-created across embodied, social, and economic activities simultaneously, a configurational lens is theoretically appropriate (Furnari et al., 2021; Pappas and Woodside, 2021).</w:t>
      </w:r>
    </w:p>
    <w:p>
      <w:r>
        <w:t>We address three research questions:</w:t>
      </w:r>
    </w:p>
    <w:p>
      <w:pPr>
        <w:pStyle w:val="ListBullet"/>
      </w:pPr>
      <w:r>
        <w:rPr>
          <w:b/>
        </w:rPr>
        <w:t>RQ1.</w:t>
      </w:r>
      <w:r>
        <w:t xml:space="preserve"> Which combinations of user engagement and user experience are associated with users' brand satisfaction in the metaverse?</w:t>
      </w:r>
    </w:p>
    <w:p>
      <w:pPr>
        <w:pStyle w:val="ListBullet"/>
      </w:pPr>
      <w:r>
        <w:rPr>
          <w:b/>
        </w:rPr>
        <w:t>RQ2.</w:t>
      </w:r>
      <w:r>
        <w:t xml:space="preserve"> How are user engagement and user experience related to one another in the metaverse, and how distinct are they empirically?</w:t>
      </w:r>
    </w:p>
    <w:p>
      <w:pPr>
        <w:pStyle w:val="ListBullet"/>
      </w:pPr>
      <w:r>
        <w:rPr>
          <w:b/>
        </w:rPr>
        <w:t>RQ3.</w:t>
      </w:r>
      <w:r>
        <w:t xml:space="preserve"> Which configurations of engagement, experience, and satisfaction are associated with brand success in the metaverse?</w:t>
      </w:r>
    </w:p>
    <w:p>
      <w:r>
        <w:t xml:space="preserve">We make three contributions. First, we move metaverse branding from a variable-centric to a </w:t>
      </w:r>
      <w:r>
        <w:rPr>
          <w:i/>
        </w:rPr>
        <w:t>configurational</w:t>
      </w:r>
      <w:r>
        <w:t xml:space="preserve"> account, using fuzzy-set qualitative comparative analysis (fsQCA) to identify equifinal pathways to brand success rather than a single "best" predictor (Ragin, 2008; Pappas and Woodside, 2021). Second, we translate Flow Theory and SDT from descriptive references into an explanatory framework with explicit propositions that connect specific theoretical mechanisms to the measured constructs. Third, we test these ideas in India, a large, digitally native, under-researched market, extending a literature that has been predominantly Western. Throughout, we discipline our claims so that every empirical statement maps to a measured construct, and we are explicit about what the four-construct design can and cannot support.</w:t>
      </w:r>
    </w:p>
    <w:p>
      <w:r>
        <w:t>The remainder of the paper develops the theoretical framework and propositions, describes the method and measures, reports the PLS-SEM and fsQCA results, and discusses the theoretical and managerial implications, limitations, and avenues for future research.</w:t>
      </w:r>
    </w:p>
    <w:p>
      <w:pPr>
        <w:pStyle w:val="Heading1"/>
      </w:pPr>
      <w:r>
        <w:t>2. Theoretical Background and Propositions</w:t>
      </w:r>
    </w:p>
    <w:p>
      <w:r>
        <w:t xml:space="preserve">We use two complementary theories. Flow Theory explains the </w:t>
      </w:r>
      <w:r>
        <w:rPr>
          <w:i/>
        </w:rPr>
        <w:t>experiential</w:t>
      </w:r>
      <w:r>
        <w:t xml:space="preserve"> mechanism through which immersive interaction becomes rewarding; SDT explains the </w:t>
      </w:r>
      <w:r>
        <w:rPr>
          <w:i/>
        </w:rPr>
        <w:t>motivational</w:t>
      </w:r>
      <w:r>
        <w:t xml:space="preserve"> mechanism that draws users into, and keeps them in, those experiences. We first specify each mechanism in the metaverse setting, then integrate them into a configurational model and state propositions. Consistent with reviewer guidance, we treat SDT's needs (autonomy, competence, relatedness) and Flow's antecedents (challenge–skill balance, clear goals, immediate feedback) as </w:t>
      </w:r>
      <w:r>
        <w:rPr>
          <w:i/>
        </w:rPr>
        <w:t>theoretical mechanisms that motivate the measured constructs</w:t>
      </w:r>
      <w:r>
        <w:t>, not as separately measured variables. We are explicit that this study measures four constructs: UE, UX, BSAT, and BSUC.</w:t>
      </w:r>
    </w:p>
    <w:p>
      <w:pPr>
        <w:pStyle w:val="Heading2"/>
      </w:pPr>
      <w:r>
        <w:t>2.1 Flow Theory: the experiential mechanism</w:t>
      </w:r>
    </w:p>
    <w:p>
      <w:r>
        <w:t xml:space="preserve">Flow is a state of deep, focused immersion in an activity that is intrinsically rewarding and arises when perceived challenge is balanced with skill, goals are clear, and feedback is immediate (Csikszentmihalyi, 1990). In the metaverse, embodied navigation, skill-based tasks, and responsive environments are designed to produce exactly these conditions. The theoretical claim is directional: when interaction induces flow, attention and affect intensify, the interaction is experienced as high quality (high UX), and the user is more behaviourally and cognitively involved (high UE). Flow thus predicts that engagement and experience are not independent inputs but mutually reinforcing facets of the same immersive episode, which is why we expect them to </w:t>
      </w:r>
      <w:r>
        <w:rPr>
          <w:i/>
        </w:rPr>
        <w:t>co-occur</w:t>
      </w:r>
      <w:r>
        <w:t xml:space="preserve"> in pathways to brand success rather than to substitute for one another.</w:t>
      </w:r>
    </w:p>
    <w:p>
      <w:pPr>
        <w:pStyle w:val="Heading2"/>
      </w:pPr>
      <w:r>
        <w:t>2.2 Self-Determination Theory: the motivational mechanism</w:t>
      </w:r>
    </w:p>
    <w:p>
      <w:r>
        <w:t xml:space="preserve">SDT holds that intrinsic motivation and well-being are strongest when three psychological needs are met: autonomy, competence, and relatedness (Deci and Ryan, 2000). Metaverse affordances map onto these needs: avatar customization and asset ownership support autonomy; skill-based progression supports competence; persistent social worlds support relatedness. SDT's contribution to our model is to explain </w:t>
      </w:r>
      <w:r>
        <w:rPr>
          <w:i/>
        </w:rPr>
        <w:t>why</w:t>
      </w:r>
      <w:r>
        <w:t xml:space="preserve"> users engage at all and why engagement persists: need-satisfying interactions generate self-determined, durable participation rather than one-off attention. This motivational durability is what converts momentary engagement and experience into evaluative judgements about the brand (satisfaction), and ultimately into brand success.</w:t>
      </w:r>
    </w:p>
    <w:p>
      <w:pPr>
        <w:pStyle w:val="Heading2"/>
      </w:pPr>
      <w:r>
        <w:t>2.3 An integrated configurational model and propositions</w:t>
      </w:r>
    </w:p>
    <w:p>
      <w:r>
        <w:t xml:space="preserve">Combining the two lenses yields a clear logic. SDT explains the motivation to enter and remain in immersive brand interactions; Flow explains why those interactions, when well designed, are experienced as high quality and absorbing. Both mechanisms operate through the same metaverse activities, so we expect engagement (UE) and experience (UX) to act as </w:t>
      </w:r>
      <w:r>
        <w:rPr>
          <w:b/>
        </w:rPr>
        <w:t>mutually reinforcing antecedents</w:t>
      </w:r>
      <w:r>
        <w:t xml:space="preserve"> of brand satisfaction (BSAT), which in turn supports brand success (BSUC). Crucially, because multiple need-satisfying and flow-inducing routes exist (social, experiential, economic), we expect </w:t>
      </w:r>
      <w:r>
        <w:rPr>
          <w:b/>
        </w:rPr>
        <w:t>equifinality</w:t>
      </w:r>
      <w:r>
        <w:t>: more than one combination of conditions can produce brand success, and no single condition is indispensable.</w:t>
      </w:r>
    </w:p>
    <w:p>
      <w:r>
        <w:t>This reasoning yields the following propositions, tested configurationally with fsQCA:</w:t>
      </w:r>
    </w:p>
    <w:p>
      <w:pPr>
        <w:pStyle w:val="ListBullet"/>
      </w:pPr>
      <w:r>
        <w:rPr>
          <w:b/>
        </w:rPr>
        <w:t>P1.</w:t>
      </w:r>
      <w:r>
        <w:t xml:space="preserve"> Higher user engagement (UE) is associated with higher brand satisfaction (BSAT) in the metaverse.</w:t>
      </w:r>
    </w:p>
    <w:p>
      <w:pPr>
        <w:pStyle w:val="ListBullet"/>
      </w:pPr>
      <w:r>
        <w:rPr>
          <w:b/>
        </w:rPr>
        <w:t>P2.</w:t>
      </w:r>
      <w:r>
        <w:t xml:space="preserve"> Higher user experience (UX) is associated with higher brand satisfaction (BSAT) in the metaverse.</w:t>
      </w:r>
    </w:p>
    <w:p>
      <w:pPr>
        <w:pStyle w:val="ListBullet"/>
      </w:pPr>
      <w:r>
        <w:rPr>
          <w:b/>
        </w:rPr>
        <w:t>P3.</w:t>
      </w:r>
      <w:r>
        <w:t xml:space="preserve"> UE and UX are positively related and operate as complementary, co-occurring antecedents rather than substitutes.</w:t>
      </w:r>
    </w:p>
    <w:p>
      <w:pPr>
        <w:pStyle w:val="ListBullet"/>
      </w:pPr>
      <w:r>
        <w:rPr>
          <w:b/>
        </w:rPr>
        <w:t>P4.</w:t>
      </w:r>
      <w:r>
        <w:t xml:space="preserve"> No single condition (UE, UX, or BSAT) is </w:t>
      </w:r>
      <w:r>
        <w:rPr>
          <w:i/>
        </w:rPr>
        <w:t>necessary</w:t>
      </w:r>
      <w:r>
        <w:t xml:space="preserve"> for high brand success (BSUC); brand success is produced by </w:t>
      </w:r>
      <w:r>
        <w:rPr>
          <w:i/>
        </w:rPr>
        <w:t>combinations</w:t>
      </w:r>
      <w:r>
        <w:t xml:space="preserve"> of conditions (equifinality).</w:t>
      </w:r>
    </w:p>
    <w:p>
      <w:pPr>
        <w:pStyle w:val="ListBullet"/>
      </w:pPr>
      <w:r>
        <w:rPr>
          <w:b/>
        </w:rPr>
        <w:t>P5.</w:t>
      </w:r>
      <w:r>
        <w:t xml:space="preserve"> The configuration combining brand satisfaction with both engagement and experience (BSAT × UX × UE) is associated with the most consistent pathway to high brand success.</w:t>
      </w:r>
    </w:p>
    <w:p>
      <w:r>
        <w:t>Figure 1 presents the resulting conceptual model.</w:t>
      </w:r>
    </w:p>
    <w:p>
      <w:pPr>
        <w:ind w:left="360"/>
      </w:pPr>
      <w:r>
        <w:rPr>
          <w:b/>
          <w:i/>
        </w:rPr>
        <w:t>Figure 1.</w:t>
      </w:r>
      <w:r>
        <w:rPr>
          <w:i/>
        </w:rPr>
        <w:t xml:space="preserve"> Conceptual model: Flow- and SDT-grounded configurations of User Engagement (UE), User Experience (UX), and Brand Satisfaction (BSAT) as conditions for Brand Success (BSUC). </w:t>
      </w:r>
      <w:r>
        <w:rPr>
          <w:i/>
        </w:rPr>
        <w:t>(Figure to be inserted; replaces the earlier, inconsistently referenced model figures.)</w:t>
      </w:r>
    </w:p>
    <w:p>
      <w:pPr>
        <w:pStyle w:val="Heading1"/>
      </w:pPr>
      <w:r>
        <w:t>3. Literature Review and Positioning</w:t>
      </w:r>
    </w:p>
    <w:p>
      <w:pPr>
        <w:pStyle w:val="Heading2"/>
      </w:pPr>
      <w:r>
        <w:t>3.1 Immersive environments and brand interaction</w:t>
      </w:r>
    </w:p>
    <w:p>
      <w:r>
        <w:t>Three properties shape brand interaction in immersive environments: immersiveness (sensory absorption and presence), sociability (the quality of avatar-mediated social interaction), and ecological faithfulness (the authenticity with which the environment reflects real-world referents) (Arya et al., 2024a; Daassi and Debbabi, 2021; Hennig-Thurau et al., 2023). Immersiveness reduces external distraction and strengthens affective connection; sociability builds community and advocacy; faithfulness supports trust. Poorly designed immersion, however, can produce overstimulation, escapism, or disengagement (Lavoie et al., 2021), which is why experience quality, not immersion per se, is the relevant construct.</w:t>
      </w:r>
    </w:p>
    <w:p>
      <w:pPr>
        <w:pStyle w:val="Heading2"/>
      </w:pPr>
      <w:r>
        <w:t>3.2 User engagement and user experience in the metaverse</w:t>
      </w:r>
    </w:p>
    <w:p>
      <w:r>
        <w:t xml:space="preserve">Engagement research provides validated, multidimensional instruments. O'Brien and Toms (2010) developed the User Engagement Scale (UES), capturing focused attention, felt involvement, endurability, novelty, aesthetic appeal, and perceived usability. Subsequent work extended engagement conceptualizations to mobile and immersive settings (Basu et al., 2024; Soltani et al., 2024). We treat </w:t>
      </w:r>
      <w:r>
        <w:rPr>
          <w:b/>
        </w:rPr>
        <w:t>user engagement</w:t>
      </w:r>
      <w:r>
        <w:t xml:space="preserve"> as the user's behavioural and cognitive involvement (focused attention, felt involvement, endurability, novelty) and </w:t>
      </w:r>
      <w:r>
        <w:rPr>
          <w:b/>
        </w:rPr>
        <w:t>user experience</w:t>
      </w:r>
      <w:r>
        <w:t xml:space="preserve"> as the perceived quality of the immersive interaction (presence/immersiveness, navigability, sensory quality, authenticity). Separating the two constructs at the conceptual level is what allows us to test, rather than assume, their relationship (RQ2).</w:t>
      </w:r>
    </w:p>
    <w:p>
      <w:pPr>
        <w:pStyle w:val="Heading2"/>
      </w:pPr>
      <w:r>
        <w:t>3.3 From satisfaction to brand success</w:t>
      </w:r>
    </w:p>
    <w:p>
      <w:r>
        <w:t xml:space="preserve">Engagement and experience are well-established antecedents of satisfaction and downstream brand outcomes in non-metaverse settings (Brodie et al., 2011; Hollebeek et al., 2022; Thaichon et al., 2022). The open empirical question, and the reason a new study is warranted, is not </w:t>
      </w:r>
      <w:r>
        <w:rPr>
          <w:i/>
        </w:rPr>
        <w:t>whether</w:t>
      </w:r>
      <w:r>
        <w:t xml:space="preserve"> these links exist but </w:t>
      </w:r>
      <w:r>
        <w:rPr>
          <w:i/>
        </w:rPr>
        <w:t>whether and how they recombine</w:t>
      </w:r>
      <w:r>
        <w:t xml:space="preserve"> when interaction is embodied, persistently social, and asset-based. Our configurational design targets exactly this gap.</w:t>
      </w:r>
    </w:p>
    <w:p>
      <w:pPr>
        <w:pStyle w:val="Heading2"/>
      </w:pPr>
      <w:r>
        <w:t>3.4 Positioning and contribution</w:t>
      </w:r>
    </w:p>
    <w:p>
      <w:r>
        <w:t>Table 1 positions this study against representative prior work and clarifies the gap it addresses.</w:t>
      </w:r>
    </w:p>
    <w:p>
      <w:r>
        <w:rPr>
          <w:b/>
        </w:rPr>
        <w:t>Table 1. Positioning of the present study relative to representative prior research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Study (representative)</w:t>
            </w:r>
          </w:p>
        </w:tc>
        <w:tc>
          <w:tcPr>
            <w:tcW w:type="dxa" w:w="1728"/>
          </w:tcPr>
          <w:p>
            <w:r>
              <w:rPr>
                <w:b/>
              </w:rPr>
              <w:t>Context</w:t>
            </w:r>
          </w:p>
        </w:tc>
        <w:tc>
          <w:tcPr>
            <w:tcW w:type="dxa" w:w="1728"/>
          </w:tcPr>
          <w:p>
            <w:r>
              <w:rPr>
                <w:b/>
              </w:rPr>
              <w:t>Analytical approach</w:t>
            </w:r>
          </w:p>
        </w:tc>
        <w:tc>
          <w:tcPr>
            <w:tcW w:type="dxa" w:w="1728"/>
          </w:tcPr>
          <w:p>
            <w:r>
              <w:rPr>
                <w:b/>
              </w:rPr>
              <w:t>Treatment of engagement/experience</w:t>
            </w:r>
          </w:p>
        </w:tc>
        <w:tc>
          <w:tcPr>
            <w:tcW w:type="dxa" w:w="1728"/>
          </w:tcPr>
          <w:p>
            <w:r>
              <w:rPr>
                <w:b/>
              </w:rPr>
              <w:t>Gap addressed here</w:t>
            </w:r>
          </w:p>
        </w:tc>
      </w:tr>
      <w:tr>
        <w:tc>
          <w:tcPr>
            <w:tcW w:type="dxa" w:w="1728"/>
          </w:tcPr>
          <w:p>
            <w:r>
              <w:t>Brodie et al. (2011)</w:t>
            </w:r>
          </w:p>
        </w:tc>
        <w:tc>
          <w:tcPr>
            <w:tcW w:type="dxa" w:w="1728"/>
          </w:tcPr>
          <w:p>
            <w:r>
              <w:t>General digital/service</w:t>
            </w:r>
          </w:p>
        </w:tc>
        <w:tc>
          <w:tcPr>
            <w:tcW w:type="dxa" w:w="1728"/>
          </w:tcPr>
          <w:p>
            <w:r>
              <w:t>Conceptual</w:t>
            </w:r>
          </w:p>
        </w:tc>
        <w:tc>
          <w:tcPr>
            <w:tcW w:type="dxa" w:w="1728"/>
          </w:tcPr>
          <w:p>
            <w:r>
              <w:t>Engagement as net driver</w:t>
            </w:r>
          </w:p>
        </w:tc>
        <w:tc>
          <w:tcPr>
            <w:tcW w:type="dxa" w:w="1728"/>
          </w:tcPr>
          <w:p>
            <w:r>
              <w:t>No metaverse test; no configurations</w:t>
            </w:r>
          </w:p>
        </w:tc>
      </w:tr>
      <w:tr>
        <w:tc>
          <w:tcPr>
            <w:tcW w:type="dxa" w:w="1728"/>
          </w:tcPr>
          <w:p>
            <w:r>
              <w:t>Hollebeek et al. (2022)</w:t>
            </w:r>
          </w:p>
        </w:tc>
        <w:tc>
          <w:tcPr>
            <w:tcW w:type="dxa" w:w="1728"/>
          </w:tcPr>
          <w:p>
            <w:r>
              <w:t>Digital brand engagement</w:t>
            </w:r>
          </w:p>
        </w:tc>
        <w:tc>
          <w:tcPr>
            <w:tcW w:type="dxa" w:w="1728"/>
          </w:tcPr>
          <w:p>
            <w:r>
              <w:t>Variance-based (net effects)</w:t>
            </w:r>
          </w:p>
        </w:tc>
        <w:tc>
          <w:tcPr>
            <w:tcW w:type="dxa" w:w="1728"/>
          </w:tcPr>
          <w:p>
            <w:r>
              <w:t>Independent antecedents</w:t>
            </w:r>
          </w:p>
        </w:tc>
        <w:tc>
          <w:tcPr>
            <w:tcW w:type="dxa" w:w="1728"/>
          </w:tcPr>
          <w:p>
            <w:r>
              <w:t>Does not model equifinality</w:t>
            </w:r>
          </w:p>
        </w:tc>
      </w:tr>
      <w:tr>
        <w:tc>
          <w:tcPr>
            <w:tcW w:type="dxa" w:w="1728"/>
          </w:tcPr>
          <w:p>
            <w:r>
              <w:t>Hennig-Thurau et al. (2023)</w:t>
            </w:r>
          </w:p>
        </w:tc>
        <w:tc>
          <w:tcPr>
            <w:tcW w:type="dxa" w:w="1728"/>
          </w:tcPr>
          <w:p>
            <w:r>
              <w:t>Metaverse (conceptual/agenda)</w:t>
            </w:r>
          </w:p>
        </w:tc>
        <w:tc>
          <w:tcPr>
            <w:tcW w:type="dxa" w:w="1728"/>
          </w:tcPr>
          <w:p>
            <w:r>
              <w:t>Conceptual framework</w:t>
            </w:r>
          </w:p>
        </w:tc>
        <w:tc>
          <w:tcPr>
            <w:tcW w:type="dxa" w:w="1728"/>
          </w:tcPr>
          <w:p>
            <w:r>
              <w:t>Identifies drivers, not combinations</w:t>
            </w:r>
          </w:p>
        </w:tc>
        <w:tc>
          <w:tcPr>
            <w:tcW w:type="dxa" w:w="1728"/>
          </w:tcPr>
          <w:p>
            <w:r>
              <w:t>No empirical configurational test</w:t>
            </w:r>
          </w:p>
        </w:tc>
      </w:tr>
      <w:tr>
        <w:tc>
          <w:tcPr>
            <w:tcW w:type="dxa" w:w="1728"/>
          </w:tcPr>
          <w:p>
            <w:r>
              <w:t>Bilgihan et al. (2024)</w:t>
            </w:r>
          </w:p>
        </w:tc>
        <w:tc>
          <w:tcPr>
            <w:tcW w:type="dxa" w:w="1728"/>
          </w:tcPr>
          <w:p>
            <w:r>
              <w:t>Metaverse engagement</w:t>
            </w:r>
          </w:p>
        </w:tc>
        <w:tc>
          <w:tcPr>
            <w:tcW w:type="dxa" w:w="1728"/>
          </w:tcPr>
          <w:p>
            <w:r>
              <w:t>Conceptual model</w:t>
            </w:r>
          </w:p>
        </w:tc>
        <w:tc>
          <w:tcPr>
            <w:tcW w:type="dxa" w:w="1728"/>
          </w:tcPr>
          <w:p>
            <w:r>
              <w:t>Engagement model</w:t>
            </w:r>
          </w:p>
        </w:tc>
        <w:tc>
          <w:tcPr>
            <w:tcW w:type="dxa" w:w="1728"/>
          </w:tcPr>
          <w:p>
            <w:r>
              <w:t>No fsQCA; Western focus</w:t>
            </w:r>
          </w:p>
        </w:tc>
      </w:tr>
      <w:tr>
        <w:tc>
          <w:tcPr>
            <w:tcW w:type="dxa" w:w="1728"/>
          </w:tcPr>
          <w:p>
            <w:r>
              <w:rPr>
                <w:b/>
              </w:rPr>
              <w:t>This study</w:t>
            </w:r>
          </w:p>
        </w:tc>
        <w:tc>
          <w:tcPr>
            <w:tcW w:type="dxa" w:w="1728"/>
          </w:tcPr>
          <w:p>
            <w:r>
              <w:rPr>
                <w:b/>
              </w:rPr>
              <w:t>Metaverse (India)</w:t>
            </w:r>
          </w:p>
        </w:tc>
        <w:tc>
          <w:tcPr>
            <w:tcW w:type="dxa" w:w="1728"/>
          </w:tcPr>
          <w:p>
            <w:r>
              <w:rPr>
                <w:b/>
              </w:rPr>
              <w:t>PLS-SEM + fsQCA</w:t>
            </w:r>
          </w:p>
        </w:tc>
        <w:tc>
          <w:tcPr>
            <w:tcW w:type="dxa" w:w="1728"/>
          </w:tcPr>
          <w:p>
            <w:r>
              <w:rPr>
                <w:b/>
              </w:rPr>
              <w:t>Configurations / equifinality</w:t>
            </w:r>
          </w:p>
        </w:tc>
        <w:tc>
          <w:tcPr>
            <w:tcW w:type="dxa" w:w="1728"/>
          </w:tcPr>
          <w:p>
            <w:r>
              <w:rPr>
                <w:b/>
              </w:rPr>
              <w:t>Combinatorial, theory-grounded test in an emerging market</w:t>
            </w:r>
          </w:p>
        </w:tc>
      </w:tr>
    </w:tbl>
    <w:p/>
    <w:p>
      <w:r>
        <w:t xml:space="preserve">The contribution is therefore not the rediscovery that engagement, experience, and satisfaction "matter," but the demonstration of </w:t>
      </w:r>
      <w:r>
        <w:rPr>
          <w:i/>
        </w:rPr>
        <w:t>which combinations</w:t>
      </w:r>
      <w:r>
        <w:t xml:space="preserve"> are associated with brand success, that </w:t>
      </w:r>
      <w:r>
        <w:rPr>
          <w:i/>
        </w:rPr>
        <w:t>no single one is necessary</w:t>
      </w:r>
      <w:r>
        <w:t>, and that this configurational structure is consistent with an integrated Flow–SDT account.</w:t>
      </w:r>
    </w:p>
    <w:p>
      <w:pPr>
        <w:pStyle w:val="Heading1"/>
      </w:pPr>
      <w:r>
        <w:t>4. Methodology</w:t>
      </w:r>
    </w:p>
    <w:p>
      <w:pPr>
        <w:pStyle w:val="Heading2"/>
      </w:pPr>
      <w:r>
        <w:t>4.1 Why fsQCA, and why for this model</w:t>
      </w:r>
    </w:p>
    <w:p>
      <w:r>
        <w:t xml:space="preserve">Fuzzy-set qualitative comparative analysis (fsQCA) identifies combinations of conditions that are sufficient (and, separately, necessary) for an outcome, allowing for equifinality, where different configurations lead to the same result (Ragin, 2008; Pappas and Woodside, 2021). We selected fsQCA for three reasons specific to this study. First, our theory predicts </w:t>
      </w:r>
      <w:r>
        <w:rPr>
          <w:i/>
        </w:rPr>
        <w:t>combinatorial</w:t>
      </w:r>
      <w:r>
        <w:t xml:space="preserve"> causation (P4–P5), which variance-based methods, estimating average net effects, are not designed to reveal. Second, fsQCA distinguishes </w:t>
      </w:r>
      <w:r>
        <w:rPr>
          <w:i/>
        </w:rPr>
        <w:t>necessity</w:t>
      </w:r>
      <w:r>
        <w:t xml:space="preserve"> from </w:t>
      </w:r>
      <w:r>
        <w:rPr>
          <w:i/>
        </w:rPr>
        <w:t>sufficiency</w:t>
      </w:r>
      <w:r>
        <w:t>, letting us test directly whether any condition is indispensable. Third, the managerial question is configurational: managers allocate effort across bundles of design choices, and fsQCA outputs map onto that decision. We do not justify fsQCA as a bridge between qualitative and quantitative data, because all inputs here are quantitative survey measures; the rationale is its configurational logic.</w:t>
      </w:r>
    </w:p>
    <w:p>
      <w:r>
        <w:t>The analysis follows the standard sequence: calibration of survey responses into fuzzy-set membership scores, construction of the truth table, analysis of necessity, and logical minimization for sufficiency, with consistency and coverage as fit indices. Figure 2 summarizes the procedure.</w:t>
      </w:r>
    </w:p>
    <w:p>
      <w:pPr>
        <w:ind w:left="360"/>
      </w:pPr>
      <w:r>
        <w:rPr>
          <w:b/>
          <w:i/>
        </w:rPr>
        <w:t>Figure 2.</w:t>
      </w:r>
      <w:r>
        <w:rPr>
          <w:i/>
        </w:rPr>
        <w:t xml:space="preserve"> Flowchart of the fsQCA procedure, from calibration to necessity and sufficiency analysis. </w:t>
      </w:r>
      <w:r>
        <w:rPr>
          <w:i/>
        </w:rPr>
        <w:t>(Figure to be inserted.)</w:t>
      </w:r>
    </w:p>
    <w:p>
      <w:pPr>
        <w:pStyle w:val="Heading2"/>
      </w:pPr>
      <w:r>
        <w:t>4.2 Constructs and measures</w:t>
      </w:r>
    </w:p>
    <w:p>
      <w:r>
        <w:t xml:space="preserve">We measured four constructs with multi-item reflective scales adapted from validated sources. All items used a seven-point Likert format (1 = strongly disagree, 7 = strongly agree). To address prior ambiguity, we reattribute the user-experience scale to its correct sources: it is </w:t>
      </w:r>
      <w:r>
        <w:rPr>
          <w:b/>
        </w:rPr>
        <w:t>not</w:t>
      </w:r>
      <w:r>
        <w:t xml:space="preserve"> a 10-item O'Brien and Toms (2010) scale. Engagement items were adapted from the O'Brien and Toms (2010) UES (focused attention, felt involvement, endurability, novelty); experience items were adapted from the VR/presence and realism measures of Cadet and Chainay (2020) and the metaverse user-experience items of Basu et al. (2024); satisfaction items from Fornell et al. (1996); and brand-success items from the brand-outcomes literature (Mathwick et al., 2008). The complete item set, sources, and psychometrics appear in Table 3 (Section 5), consolidating all measurement information into a single location.</w:t>
      </w:r>
    </w:p>
    <w:p>
      <w:pPr>
        <w:pStyle w:val="Heading2"/>
      </w:pPr>
      <w:r>
        <w:t>4.3 Sampling and data collection</w:t>
      </w:r>
    </w:p>
    <w:p>
      <w:r>
        <w:t>We used stratified random sampling. A sampling frame of active users was assembled in cooperation with metaverse platforms spanning gaming, social, and creative environments (e.g., Roblox, Decentraland, The Sandbox). Strata were defined by primary activity type. From this frame, 600 eligible users were invited; 312 provided complete, consenting responses (52% response rate), distributed across the activity strata. Eligibility required active metaverse use within the prior three months. India was chosen as the study context because it is a large, digitally native, fast-growing immersive-technology market that is under-represented in a predominantly Western literature (Dwivedi et al., 2023; Payal et al., 2024). We acknowledge that sampling active users limits generalization to casual or prospective users (see Section 8).</w:t>
      </w:r>
    </w:p>
    <w:p>
      <w:r>
        <w:rPr>
          <w:i/>
        </w:rPr>
        <w:t>Note on study activities:</w:t>
      </w:r>
      <w:r>
        <w:t xml:space="preserve"> respondents' brand-relevant metaverse activities were classified into four types, used consistently throughout: (1) social interaction, (2) content creation, (3) virtual events, and (4) digital-asset (NFT) activity. Earlier inconsistent enumerations have been removed.</w:t>
      </w:r>
    </w:p>
    <w:p>
      <w:pPr>
        <w:pStyle w:val="Heading2"/>
      </w:pPr>
      <w:r>
        <w:t>4.4 Analytical approach</w:t>
      </w:r>
    </w:p>
    <w:p>
      <w:r>
        <w:t>Measurement quality (reliability, convergent validity, discriminant validity) was assessed with PLS-SEM in SmartPLS, and common method bias was evaluated with multiple procedures (Section 5.2). Calibrated data were then analysed with fsQCA 4.1. Following convention, we calibrated the three anchors at the 95th percentile (full membership), 50th percentile (crossover), and 5th percentile (full non-membership) (Pappas and Woodside, 2021).</w:t>
      </w:r>
    </w:p>
    <w:p>
      <w:pPr>
        <w:pStyle w:val="Heading1"/>
      </w:pPr>
      <w:r>
        <w:t>5. Results</w:t>
      </w:r>
    </w:p>
    <w:p>
      <w:pPr>
        <w:pStyle w:val="Heading2"/>
      </w:pPr>
      <w:r>
        <w:t>5.1 Sample profile</w:t>
      </w:r>
    </w:p>
    <w:p>
      <w:r>
        <w:t>The 312 respondents were 54% women and 46% men, distributed across age bands from 18 to 45 (the largest being 23–28 at 24.0%). Occupations spanned business (39.1%), salaried employment (32.7%), and students (28.2%). Most held an undergraduate (53.5%) or master's (36.9%) qualification. In terms of metaverse use, 48.1% engaged at least several times per week; 45.2% had interacted with NFTs, 52.6% reported social interaction or content creation, and 41.4% had attended virtual events. Table 2 reports the full profile.</w:t>
      </w:r>
    </w:p>
    <w:p>
      <w:r>
        <w:rPr>
          <w:b/>
        </w:rPr>
        <w:t>Table 2. Sample profile (N = 312)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Characteristic</w:t>
            </w:r>
          </w:p>
        </w:tc>
        <w:tc>
          <w:tcPr>
            <w:tcW w:type="dxa" w:w="2160"/>
          </w:tcPr>
          <w:p>
            <w:r>
              <w:rPr>
                <w:b/>
              </w:rPr>
              <w:t>Category</w:t>
            </w:r>
          </w:p>
        </w:tc>
        <w:tc>
          <w:tcPr>
            <w:tcW w:type="dxa" w:w="2160"/>
          </w:tcPr>
          <w:p>
            <w:r>
              <w:rPr>
                <w:b/>
              </w:rPr>
              <w:t>n</w:t>
            </w:r>
          </w:p>
        </w:tc>
        <w:tc>
          <w:tcPr>
            <w:tcW w:type="dxa" w:w="2160"/>
          </w:tcPr>
          <w:p>
            <w:r>
              <w:rPr>
                <w:b/>
              </w:rPr>
              <w:t>%</w:t>
            </w:r>
          </w:p>
        </w:tc>
      </w:tr>
      <w:tr>
        <w:tc>
          <w:tcPr>
            <w:tcW w:type="dxa" w:w="2160"/>
          </w:tcPr>
          <w:p>
            <w:r>
              <w:t>Gender</w:t>
            </w:r>
          </w:p>
        </w:tc>
        <w:tc>
          <w:tcPr>
            <w:tcW w:type="dxa" w:w="2160"/>
          </w:tcPr>
          <w:p>
            <w:r>
              <w:t>Male</w:t>
            </w:r>
          </w:p>
        </w:tc>
        <w:tc>
          <w:tcPr>
            <w:tcW w:type="dxa" w:w="2160"/>
          </w:tcPr>
          <w:p>
            <w:r>
              <w:t>143</w:t>
            </w:r>
          </w:p>
        </w:tc>
        <w:tc>
          <w:tcPr>
            <w:tcW w:type="dxa" w:w="2160"/>
          </w:tcPr>
          <w:p>
            <w:r>
              <w:t>46.0</w:t>
            </w:r>
          </w:p>
        </w:tc>
      </w:tr>
      <w:tr>
        <w:tc>
          <w:tcPr>
            <w:tcW w:type="dxa" w:w="2160"/>
          </w:tcPr>
          <w:p/>
        </w:tc>
        <w:tc>
          <w:tcPr>
            <w:tcW w:type="dxa" w:w="2160"/>
          </w:tcPr>
          <w:p>
            <w:r>
              <w:t>Female</w:t>
            </w:r>
          </w:p>
        </w:tc>
        <w:tc>
          <w:tcPr>
            <w:tcW w:type="dxa" w:w="2160"/>
          </w:tcPr>
          <w:p>
            <w:r>
              <w:t>169</w:t>
            </w:r>
          </w:p>
        </w:tc>
        <w:tc>
          <w:tcPr>
            <w:tcW w:type="dxa" w:w="2160"/>
          </w:tcPr>
          <w:p>
            <w:r>
              <w:t>54.0</w:t>
            </w:r>
          </w:p>
        </w:tc>
      </w:tr>
      <w:tr>
        <w:tc>
          <w:tcPr>
            <w:tcW w:type="dxa" w:w="2160"/>
          </w:tcPr>
          <w:p>
            <w:r>
              <w:t>Age (years)</w:t>
            </w:r>
          </w:p>
        </w:tc>
        <w:tc>
          <w:tcPr>
            <w:tcW w:type="dxa" w:w="2160"/>
          </w:tcPr>
          <w:p>
            <w:r>
              <w:t>18–22</w:t>
            </w:r>
          </w:p>
        </w:tc>
        <w:tc>
          <w:tcPr>
            <w:tcW w:type="dxa" w:w="2160"/>
          </w:tcPr>
          <w:p>
            <w:r>
              <w:t>64</w:t>
            </w:r>
          </w:p>
        </w:tc>
        <w:tc>
          <w:tcPr>
            <w:tcW w:type="dxa" w:w="2160"/>
          </w:tcPr>
          <w:p>
            <w:r>
              <w:t>20.5</w:t>
            </w:r>
          </w:p>
        </w:tc>
      </w:tr>
      <w:tr>
        <w:tc>
          <w:tcPr>
            <w:tcW w:type="dxa" w:w="2160"/>
          </w:tcPr>
          <w:p/>
        </w:tc>
        <w:tc>
          <w:tcPr>
            <w:tcW w:type="dxa" w:w="2160"/>
          </w:tcPr>
          <w:p>
            <w:r>
              <w:t>23–28</w:t>
            </w:r>
          </w:p>
        </w:tc>
        <w:tc>
          <w:tcPr>
            <w:tcW w:type="dxa" w:w="2160"/>
          </w:tcPr>
          <w:p>
            <w:r>
              <w:t>75</w:t>
            </w:r>
          </w:p>
        </w:tc>
        <w:tc>
          <w:tcPr>
            <w:tcW w:type="dxa" w:w="2160"/>
          </w:tcPr>
          <w:p>
            <w:r>
              <w:t>24.0</w:t>
            </w:r>
          </w:p>
        </w:tc>
      </w:tr>
      <w:tr>
        <w:tc>
          <w:tcPr>
            <w:tcW w:type="dxa" w:w="2160"/>
          </w:tcPr>
          <w:p/>
        </w:tc>
        <w:tc>
          <w:tcPr>
            <w:tcW w:type="dxa" w:w="2160"/>
          </w:tcPr>
          <w:p>
            <w:r>
              <w:t>29–34</w:t>
            </w:r>
          </w:p>
        </w:tc>
        <w:tc>
          <w:tcPr>
            <w:tcW w:type="dxa" w:w="2160"/>
          </w:tcPr>
          <w:p>
            <w:r>
              <w:t>60</w:t>
            </w:r>
          </w:p>
        </w:tc>
        <w:tc>
          <w:tcPr>
            <w:tcW w:type="dxa" w:w="2160"/>
          </w:tcPr>
          <w:p>
            <w:r>
              <w:t>19.2</w:t>
            </w:r>
          </w:p>
        </w:tc>
      </w:tr>
      <w:tr>
        <w:tc>
          <w:tcPr>
            <w:tcW w:type="dxa" w:w="2160"/>
          </w:tcPr>
          <w:p/>
        </w:tc>
        <w:tc>
          <w:tcPr>
            <w:tcW w:type="dxa" w:w="2160"/>
          </w:tcPr>
          <w:p>
            <w:r>
              <w:t>35–41</w:t>
            </w:r>
          </w:p>
        </w:tc>
        <w:tc>
          <w:tcPr>
            <w:tcW w:type="dxa" w:w="2160"/>
          </w:tcPr>
          <w:p>
            <w:r>
              <w:t>57</w:t>
            </w:r>
          </w:p>
        </w:tc>
        <w:tc>
          <w:tcPr>
            <w:tcW w:type="dxa" w:w="2160"/>
          </w:tcPr>
          <w:p>
            <w:r>
              <w:t>18.3</w:t>
            </w:r>
          </w:p>
        </w:tc>
      </w:tr>
      <w:tr>
        <w:tc>
          <w:tcPr>
            <w:tcW w:type="dxa" w:w="2160"/>
          </w:tcPr>
          <w:p/>
        </w:tc>
        <w:tc>
          <w:tcPr>
            <w:tcW w:type="dxa" w:w="2160"/>
          </w:tcPr>
          <w:p>
            <w:r>
              <w:t>42–45</w:t>
            </w:r>
          </w:p>
        </w:tc>
        <w:tc>
          <w:tcPr>
            <w:tcW w:type="dxa" w:w="2160"/>
          </w:tcPr>
          <w:p>
            <w:r>
              <w:t>56</w:t>
            </w:r>
          </w:p>
        </w:tc>
        <w:tc>
          <w:tcPr>
            <w:tcW w:type="dxa" w:w="2160"/>
          </w:tcPr>
          <w:p>
            <w:r>
              <w:t>18.0</w:t>
            </w:r>
          </w:p>
        </w:tc>
      </w:tr>
      <w:tr>
        <w:tc>
          <w:tcPr>
            <w:tcW w:type="dxa" w:w="2160"/>
          </w:tcPr>
          <w:p>
            <w:r>
              <w:t>Marital status</w:t>
            </w:r>
          </w:p>
        </w:tc>
        <w:tc>
          <w:tcPr>
            <w:tcW w:type="dxa" w:w="2160"/>
          </w:tcPr>
          <w:p>
            <w:r>
              <w:t>Single</w:t>
            </w:r>
          </w:p>
        </w:tc>
        <w:tc>
          <w:tcPr>
            <w:tcW w:type="dxa" w:w="2160"/>
          </w:tcPr>
          <w:p>
            <w:r>
              <w:t>107</w:t>
            </w:r>
          </w:p>
        </w:tc>
        <w:tc>
          <w:tcPr>
            <w:tcW w:type="dxa" w:w="2160"/>
          </w:tcPr>
          <w:p>
            <w:r>
              <w:t>34.3</w:t>
            </w:r>
          </w:p>
        </w:tc>
      </w:tr>
      <w:tr>
        <w:tc>
          <w:tcPr>
            <w:tcW w:type="dxa" w:w="2160"/>
          </w:tcPr>
          <w:p/>
        </w:tc>
        <w:tc>
          <w:tcPr>
            <w:tcW w:type="dxa" w:w="2160"/>
          </w:tcPr>
          <w:p>
            <w:r>
              <w:t>Married with children</w:t>
            </w:r>
          </w:p>
        </w:tc>
        <w:tc>
          <w:tcPr>
            <w:tcW w:type="dxa" w:w="2160"/>
          </w:tcPr>
          <w:p>
            <w:r>
              <w:t>84</w:t>
            </w:r>
          </w:p>
        </w:tc>
        <w:tc>
          <w:tcPr>
            <w:tcW w:type="dxa" w:w="2160"/>
          </w:tcPr>
          <w:p>
            <w:r>
              <w:t>26.9</w:t>
            </w:r>
          </w:p>
        </w:tc>
      </w:tr>
      <w:tr>
        <w:tc>
          <w:tcPr>
            <w:tcW w:type="dxa" w:w="2160"/>
          </w:tcPr>
          <w:p/>
        </w:tc>
        <w:tc>
          <w:tcPr>
            <w:tcW w:type="dxa" w:w="2160"/>
          </w:tcPr>
          <w:p>
            <w:r>
              <w:t>Married without children</w:t>
            </w:r>
          </w:p>
        </w:tc>
        <w:tc>
          <w:tcPr>
            <w:tcW w:type="dxa" w:w="2160"/>
          </w:tcPr>
          <w:p>
            <w:r>
              <w:t>121</w:t>
            </w:r>
          </w:p>
        </w:tc>
        <w:tc>
          <w:tcPr>
            <w:tcW w:type="dxa" w:w="2160"/>
          </w:tcPr>
          <w:p>
            <w:r>
              <w:t>38.8</w:t>
            </w:r>
          </w:p>
        </w:tc>
      </w:tr>
      <w:tr>
        <w:tc>
          <w:tcPr>
            <w:tcW w:type="dxa" w:w="2160"/>
          </w:tcPr>
          <w:p>
            <w:r>
              <w:t>Occupation</w:t>
            </w:r>
          </w:p>
        </w:tc>
        <w:tc>
          <w:tcPr>
            <w:tcW w:type="dxa" w:w="2160"/>
          </w:tcPr>
          <w:p>
            <w:r>
              <w:t>Student</w:t>
            </w:r>
          </w:p>
        </w:tc>
        <w:tc>
          <w:tcPr>
            <w:tcW w:type="dxa" w:w="2160"/>
          </w:tcPr>
          <w:p>
            <w:r>
              <w:t>88</w:t>
            </w:r>
          </w:p>
        </w:tc>
        <w:tc>
          <w:tcPr>
            <w:tcW w:type="dxa" w:w="2160"/>
          </w:tcPr>
          <w:p>
            <w:r>
              <w:t>28.2</w:t>
            </w:r>
          </w:p>
        </w:tc>
      </w:tr>
      <w:tr>
        <w:tc>
          <w:tcPr>
            <w:tcW w:type="dxa" w:w="2160"/>
          </w:tcPr>
          <w:p/>
        </w:tc>
        <w:tc>
          <w:tcPr>
            <w:tcW w:type="dxa" w:w="2160"/>
          </w:tcPr>
          <w:p>
            <w:r>
              <w:t>Salaried</w:t>
            </w:r>
          </w:p>
        </w:tc>
        <w:tc>
          <w:tcPr>
            <w:tcW w:type="dxa" w:w="2160"/>
          </w:tcPr>
          <w:p>
            <w:r>
              <w:t>102</w:t>
            </w:r>
          </w:p>
        </w:tc>
        <w:tc>
          <w:tcPr>
            <w:tcW w:type="dxa" w:w="2160"/>
          </w:tcPr>
          <w:p>
            <w:r>
              <w:t>32.7</w:t>
            </w:r>
          </w:p>
        </w:tc>
      </w:tr>
      <w:tr>
        <w:tc>
          <w:tcPr>
            <w:tcW w:type="dxa" w:w="2160"/>
          </w:tcPr>
          <w:p/>
        </w:tc>
        <w:tc>
          <w:tcPr>
            <w:tcW w:type="dxa" w:w="2160"/>
          </w:tcPr>
          <w:p>
            <w:r>
              <w:t>Business</w:t>
            </w:r>
          </w:p>
        </w:tc>
        <w:tc>
          <w:tcPr>
            <w:tcW w:type="dxa" w:w="2160"/>
          </w:tcPr>
          <w:p>
            <w:r>
              <w:t>122</w:t>
            </w:r>
          </w:p>
        </w:tc>
        <w:tc>
          <w:tcPr>
            <w:tcW w:type="dxa" w:w="2160"/>
          </w:tcPr>
          <w:p>
            <w:r>
              <w:t>39.1</w:t>
            </w:r>
          </w:p>
        </w:tc>
      </w:tr>
      <w:tr>
        <w:tc>
          <w:tcPr>
            <w:tcW w:type="dxa" w:w="2160"/>
          </w:tcPr>
          <w:p>
            <w:r>
              <w:t>Engagement frequency</w:t>
            </w:r>
          </w:p>
        </w:tc>
        <w:tc>
          <w:tcPr>
            <w:tcW w:type="dxa" w:w="2160"/>
          </w:tcPr>
          <w:p>
            <w:r>
              <w:t>Daily</w:t>
            </w:r>
          </w:p>
        </w:tc>
        <w:tc>
          <w:tcPr>
            <w:tcW w:type="dxa" w:w="2160"/>
          </w:tcPr>
          <w:p>
            <w:r>
              <w:t>52</w:t>
            </w:r>
          </w:p>
        </w:tc>
        <w:tc>
          <w:tcPr>
            <w:tcW w:type="dxa" w:w="2160"/>
          </w:tcPr>
          <w:p>
            <w:r>
              <w:t>16.7</w:t>
            </w:r>
          </w:p>
        </w:tc>
      </w:tr>
      <w:tr>
        <w:tc>
          <w:tcPr>
            <w:tcW w:type="dxa" w:w="2160"/>
          </w:tcPr>
          <w:p/>
        </w:tc>
        <w:tc>
          <w:tcPr>
            <w:tcW w:type="dxa" w:w="2160"/>
          </w:tcPr>
          <w:p>
            <w:r>
              <w:t>Several times a week</w:t>
            </w:r>
          </w:p>
        </w:tc>
        <w:tc>
          <w:tcPr>
            <w:tcW w:type="dxa" w:w="2160"/>
          </w:tcPr>
          <w:p>
            <w:r>
              <w:t>98</w:t>
            </w:r>
          </w:p>
        </w:tc>
        <w:tc>
          <w:tcPr>
            <w:tcW w:type="dxa" w:w="2160"/>
          </w:tcPr>
          <w:p>
            <w:r>
              <w:t>31.4</w:t>
            </w:r>
          </w:p>
        </w:tc>
      </w:tr>
      <w:tr>
        <w:tc>
          <w:tcPr>
            <w:tcW w:type="dxa" w:w="2160"/>
          </w:tcPr>
          <w:p/>
        </w:tc>
        <w:tc>
          <w:tcPr>
            <w:tcW w:type="dxa" w:w="2160"/>
          </w:tcPr>
          <w:p>
            <w:r>
              <w:t>Weekly</w:t>
            </w:r>
          </w:p>
        </w:tc>
        <w:tc>
          <w:tcPr>
            <w:tcW w:type="dxa" w:w="2160"/>
          </w:tcPr>
          <w:p>
            <w:r>
              <w:t>73</w:t>
            </w:r>
          </w:p>
        </w:tc>
        <w:tc>
          <w:tcPr>
            <w:tcW w:type="dxa" w:w="2160"/>
          </w:tcPr>
          <w:p>
            <w:r>
              <w:t>23.4</w:t>
            </w:r>
          </w:p>
        </w:tc>
      </w:tr>
      <w:tr>
        <w:tc>
          <w:tcPr>
            <w:tcW w:type="dxa" w:w="2160"/>
          </w:tcPr>
          <w:p/>
        </w:tc>
        <w:tc>
          <w:tcPr>
            <w:tcW w:type="dxa" w:w="2160"/>
          </w:tcPr>
          <w:p>
            <w:r>
              <w:t>Monthly</w:t>
            </w:r>
          </w:p>
        </w:tc>
        <w:tc>
          <w:tcPr>
            <w:tcW w:type="dxa" w:w="2160"/>
          </w:tcPr>
          <w:p>
            <w:r>
              <w:t>54</w:t>
            </w:r>
          </w:p>
        </w:tc>
        <w:tc>
          <w:tcPr>
            <w:tcW w:type="dxa" w:w="2160"/>
          </w:tcPr>
          <w:p>
            <w:r>
              <w:t>17.3</w:t>
            </w:r>
          </w:p>
        </w:tc>
      </w:tr>
      <w:tr>
        <w:tc>
          <w:tcPr>
            <w:tcW w:type="dxa" w:w="2160"/>
          </w:tcPr>
          <w:p/>
        </w:tc>
        <w:tc>
          <w:tcPr>
            <w:tcW w:type="dxa" w:w="2160"/>
          </w:tcPr>
          <w:p>
            <w:r>
              <w:t>Rarely</w:t>
            </w:r>
          </w:p>
        </w:tc>
        <w:tc>
          <w:tcPr>
            <w:tcW w:type="dxa" w:w="2160"/>
          </w:tcPr>
          <w:p>
            <w:r>
              <w:t>35</w:t>
            </w:r>
          </w:p>
        </w:tc>
        <w:tc>
          <w:tcPr>
            <w:tcW w:type="dxa" w:w="2160"/>
          </w:tcPr>
          <w:p>
            <w:r>
              <w:t>11.2</w:t>
            </w:r>
          </w:p>
        </w:tc>
      </w:tr>
      <w:tr>
        <w:tc>
          <w:tcPr>
            <w:tcW w:type="dxa" w:w="2160"/>
          </w:tcPr>
          <w:p>
            <w:r>
              <w:t>NFT interaction</w:t>
            </w:r>
          </w:p>
        </w:tc>
        <w:tc>
          <w:tcPr>
            <w:tcW w:type="dxa" w:w="2160"/>
          </w:tcPr>
          <w:p>
            <w:r>
              <w:t>Yes</w:t>
            </w:r>
          </w:p>
        </w:tc>
        <w:tc>
          <w:tcPr>
            <w:tcW w:type="dxa" w:w="2160"/>
          </w:tcPr>
          <w:p>
            <w:r>
              <w:t>141</w:t>
            </w:r>
          </w:p>
        </w:tc>
        <w:tc>
          <w:tcPr>
            <w:tcW w:type="dxa" w:w="2160"/>
          </w:tcPr>
          <w:p>
            <w:r>
              <w:t>45.2</w:t>
            </w:r>
          </w:p>
        </w:tc>
      </w:tr>
      <w:tr>
        <w:tc>
          <w:tcPr>
            <w:tcW w:type="dxa" w:w="2160"/>
          </w:tcPr>
          <w:p>
            <w:r>
              <w:t>Virtual event participation</w:t>
            </w:r>
          </w:p>
        </w:tc>
        <w:tc>
          <w:tcPr>
            <w:tcW w:type="dxa" w:w="2160"/>
          </w:tcPr>
          <w:p>
            <w:r>
              <w:t>Yes</w:t>
            </w:r>
          </w:p>
        </w:tc>
        <w:tc>
          <w:tcPr>
            <w:tcW w:type="dxa" w:w="2160"/>
          </w:tcPr>
          <w:p>
            <w:r>
              <w:t>129</w:t>
            </w:r>
          </w:p>
        </w:tc>
        <w:tc>
          <w:tcPr>
            <w:tcW w:type="dxa" w:w="2160"/>
          </w:tcPr>
          <w:p>
            <w:r>
              <w:t>41.4</w:t>
            </w:r>
          </w:p>
        </w:tc>
      </w:tr>
      <w:tr>
        <w:tc>
          <w:tcPr>
            <w:tcW w:type="dxa" w:w="2160"/>
          </w:tcPr>
          <w:p>
            <w:r>
              <w:t>Social interaction / content creation</w:t>
            </w:r>
          </w:p>
        </w:tc>
        <w:tc>
          <w:tcPr>
            <w:tcW w:type="dxa" w:w="2160"/>
          </w:tcPr>
          <w:p>
            <w:r>
              <w:t>Yes</w:t>
            </w:r>
          </w:p>
        </w:tc>
        <w:tc>
          <w:tcPr>
            <w:tcW w:type="dxa" w:w="2160"/>
          </w:tcPr>
          <w:p>
            <w:r>
              <w:t>164</w:t>
            </w:r>
          </w:p>
        </w:tc>
        <w:tc>
          <w:tcPr>
            <w:tcW w:type="dxa" w:w="2160"/>
          </w:tcPr>
          <w:p>
            <w:r>
              <w:t>52.6</w:t>
            </w:r>
          </w:p>
        </w:tc>
      </w:tr>
    </w:tbl>
    <w:p/>
    <w:p>
      <w:pPr>
        <w:pStyle w:val="Heading2"/>
      </w:pPr>
      <w:r>
        <w:t>5.2 Measurement model: reliability and validity</w:t>
      </w:r>
    </w:p>
    <w:p>
      <w:r>
        <w:t>Standardized factor loadings ranged from 0.661 to 0.741 and were significant (p &lt; .001), exceeding the 0.60 benchmark (Bagozzi and Yi, 1988). Internal consistency was high: Cronbach's α was 0.970 (BSAT), 0.982 (UE), 0.983 (UX), and 0.959 (BSUC), and composite reliability (CR) exceeded 0.95 for all constructs (Hair et al., 2019). Average variance extracted (AVE) was 0.865 (BSAT), 0.848 (UE), 0.855 (UX), and 0.854 (BSUC), all above 0.50.</w:t>
      </w:r>
    </w:p>
    <w:p>
      <w:r>
        <w:t xml:space="preserve">Following reviewer guidance, we state the inferential role of AVE precisely: an AVE above 0.50 indicates that the construct's indicators share more variance with the construct than with error, which supports </w:t>
      </w:r>
      <w:r>
        <w:rPr>
          <w:b/>
        </w:rPr>
        <w:t>convergence and reliability of the indicator set</w:t>
      </w:r>
      <w:r>
        <w:t>; because AVE excludes systematic error, it is not by itself a test of validity in the broader sense (Fornell and Larcker, 1981). Discriminant validity was assessed with the heterotrait–monotrait (HTMT) ratio (Henseler et al., 2015). All HTMT values were below the conservative 0.85 threshold (maximum = 0.814 for UX–UE), confirming that the constructs are empirically distinct. Table 3 consolidates all items, sources, and psychometrics; Table 4 reports the HTMT matrix, which also serves as the construct-level association matrix requested for structural studies.</w:t>
      </w:r>
    </w:p>
    <w:p>
      <w:r>
        <w:rPr>
          <w:b/>
        </w:rPr>
        <w:t>Table 3. Measurement items, sources, and psychometrics (seven-point Likert)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Construct (α; CR; AVE)</w:t>
            </w:r>
          </w:p>
        </w:tc>
        <w:tc>
          <w:tcPr>
            <w:tcW w:type="dxa" w:w="1728"/>
          </w:tcPr>
          <w:p>
            <w:r>
              <w:rPr>
                <w:b/>
              </w:rPr>
              <w:t>Item</w:t>
            </w:r>
          </w:p>
        </w:tc>
        <w:tc>
          <w:tcPr>
            <w:tcW w:type="dxa" w:w="1728"/>
          </w:tcPr>
          <w:p>
            <w:r>
              <w:rPr>
                <w:b/>
              </w:rPr>
              <w:t>Adapted wording</w:t>
            </w:r>
          </w:p>
        </w:tc>
        <w:tc>
          <w:tcPr>
            <w:tcW w:type="dxa" w:w="1728"/>
          </w:tcPr>
          <w:p>
            <w:r>
              <w:rPr>
                <w:b/>
              </w:rPr>
              <w:t>Loading</w:t>
            </w:r>
          </w:p>
        </w:tc>
        <w:tc>
          <w:tcPr>
            <w:tcW w:type="dxa" w:w="1728"/>
          </w:tcPr>
          <w:p>
            <w:r>
              <w:rPr>
                <w:b/>
              </w:rPr>
              <w:t>Source</w:t>
            </w:r>
          </w:p>
        </w:tc>
      </w:tr>
      <w:tr>
        <w:tc>
          <w:tcPr>
            <w:tcW w:type="dxa" w:w="1728"/>
          </w:tcPr>
          <w:p>
            <w:r>
              <w:rPr>
                <w:b/>
              </w:rPr>
              <w:t>Brand Satisfaction — BSAT</w:t>
            </w:r>
            <w:r>
              <w:t xml:space="preserve"> (α = .970; CR &gt; .95; AVE = .865)</w:t>
            </w:r>
          </w:p>
        </w:tc>
        <w:tc>
          <w:tcPr>
            <w:tcW w:type="dxa" w:w="1728"/>
          </w:tcPr>
          <w:p>
            <w:r>
              <w:t>BSAT1</w:t>
            </w:r>
          </w:p>
        </w:tc>
        <w:tc>
          <w:tcPr>
            <w:tcW w:type="dxa" w:w="1728"/>
          </w:tcPr>
          <w:p>
            <w:r>
              <w:t>Overall, I am satisfied with this brand's presence in the metaverse.</w:t>
            </w:r>
          </w:p>
        </w:tc>
        <w:tc>
          <w:tcPr>
            <w:tcW w:type="dxa" w:w="1728"/>
          </w:tcPr>
          <w:p>
            <w:r>
              <w:t>.705</w:t>
            </w:r>
          </w:p>
        </w:tc>
        <w:tc>
          <w:tcPr>
            <w:tcW w:type="dxa" w:w="1728"/>
          </w:tcPr>
          <w:p>
            <w:r>
              <w:t>Fornell et al. (1996)</w:t>
            </w:r>
          </w:p>
        </w:tc>
      </w:tr>
      <w:tr>
        <w:tc>
          <w:tcPr>
            <w:tcW w:type="dxa" w:w="1728"/>
          </w:tcPr>
          <w:p/>
        </w:tc>
        <w:tc>
          <w:tcPr>
            <w:tcW w:type="dxa" w:w="1728"/>
          </w:tcPr>
          <w:p>
            <w:r>
              <w:t>BSAT2</w:t>
            </w:r>
          </w:p>
        </w:tc>
        <w:tc>
          <w:tcPr>
            <w:tcW w:type="dxa" w:w="1728"/>
          </w:tcPr>
          <w:p>
            <w:r>
              <w:t>The brand's metaverse experience meets my expectations.</w:t>
            </w:r>
          </w:p>
        </w:tc>
        <w:tc>
          <w:tcPr>
            <w:tcW w:type="dxa" w:w="1728"/>
          </w:tcPr>
          <w:p>
            <w:r>
              <w:t>.741</w:t>
            </w:r>
          </w:p>
        </w:tc>
        <w:tc>
          <w:tcPr>
            <w:tcW w:type="dxa" w:w="1728"/>
          </w:tcPr>
          <w:p/>
        </w:tc>
      </w:tr>
      <w:tr>
        <w:tc>
          <w:tcPr>
            <w:tcW w:type="dxa" w:w="1728"/>
          </w:tcPr>
          <w:p/>
        </w:tc>
        <w:tc>
          <w:tcPr>
            <w:tcW w:type="dxa" w:w="1728"/>
          </w:tcPr>
          <w:p>
            <w:r>
              <w:t>BSAT3</w:t>
            </w:r>
          </w:p>
        </w:tc>
        <w:tc>
          <w:tcPr>
            <w:tcW w:type="dxa" w:w="1728"/>
          </w:tcPr>
          <w:p>
            <w:r>
              <w:t>The brand's virtual offerings come close to my idea of an ideal brand experience.</w:t>
            </w:r>
          </w:p>
        </w:tc>
        <w:tc>
          <w:tcPr>
            <w:tcW w:type="dxa" w:w="1728"/>
          </w:tcPr>
          <w:p>
            <w:r>
              <w:t>.721</w:t>
            </w:r>
          </w:p>
        </w:tc>
        <w:tc>
          <w:tcPr>
            <w:tcW w:type="dxa" w:w="1728"/>
          </w:tcPr>
          <w:p/>
        </w:tc>
      </w:tr>
      <w:tr>
        <w:tc>
          <w:tcPr>
            <w:tcW w:type="dxa" w:w="1728"/>
          </w:tcPr>
          <w:p/>
        </w:tc>
        <w:tc>
          <w:tcPr>
            <w:tcW w:type="dxa" w:w="1728"/>
          </w:tcPr>
          <w:p>
            <w:r>
              <w:t>BSAT4</w:t>
            </w:r>
          </w:p>
        </w:tc>
        <w:tc>
          <w:tcPr>
            <w:tcW w:type="dxa" w:w="1728"/>
          </w:tcPr>
          <w:p>
            <w:r>
              <w:t>I am satisfied with how the brand engages with me in virtual spaces.</w:t>
            </w:r>
          </w:p>
        </w:tc>
        <w:tc>
          <w:tcPr>
            <w:tcW w:type="dxa" w:w="1728"/>
          </w:tcPr>
          <w:p>
            <w:r>
              <w:t>.719</w:t>
            </w:r>
          </w:p>
        </w:tc>
        <w:tc>
          <w:tcPr>
            <w:tcW w:type="dxa" w:w="1728"/>
          </w:tcPr>
          <w:p/>
        </w:tc>
      </w:tr>
      <w:tr>
        <w:tc>
          <w:tcPr>
            <w:tcW w:type="dxa" w:w="1728"/>
          </w:tcPr>
          <w:p/>
        </w:tc>
        <w:tc>
          <w:tcPr>
            <w:tcW w:type="dxa" w:w="1728"/>
          </w:tcPr>
          <w:p>
            <w:r>
              <w:t>BSAT5</w:t>
            </w:r>
          </w:p>
        </w:tc>
        <w:tc>
          <w:tcPr>
            <w:tcW w:type="dxa" w:w="1728"/>
          </w:tcPr>
          <w:p>
            <w:r>
              <w:t>My overall experience with the brand in the metaverse is satisfying.</w:t>
            </w:r>
          </w:p>
        </w:tc>
        <w:tc>
          <w:tcPr>
            <w:tcW w:type="dxa" w:w="1728"/>
          </w:tcPr>
          <w:p>
            <w:r>
              <w:t>.699</w:t>
            </w:r>
          </w:p>
        </w:tc>
        <w:tc>
          <w:tcPr>
            <w:tcW w:type="dxa" w:w="1728"/>
          </w:tcPr>
          <w:p/>
        </w:tc>
      </w:tr>
      <w:tr>
        <w:tc>
          <w:tcPr>
            <w:tcW w:type="dxa" w:w="1728"/>
          </w:tcPr>
          <w:p>
            <w:r>
              <w:rPr>
                <w:b/>
              </w:rPr>
              <w:t>User Engagement — UE</w:t>
            </w:r>
            <w:r>
              <w:t xml:space="preserve"> (α = .982; CR &gt; .95; AVE = .848)</w:t>
            </w:r>
          </w:p>
        </w:tc>
        <w:tc>
          <w:tcPr>
            <w:tcW w:type="dxa" w:w="1728"/>
          </w:tcPr>
          <w:p>
            <w:r>
              <w:t>UE1</w:t>
            </w:r>
          </w:p>
        </w:tc>
        <w:tc>
          <w:tcPr>
            <w:tcW w:type="dxa" w:w="1728"/>
          </w:tcPr>
          <w:p>
            <w:r>
              <w:t xml:space="preserve">I was absorbed in my activity within the metaverse. </w:t>
            </w:r>
            <w:r>
              <w:rPr>
                <w:i/>
              </w:rPr>
              <w:t>(focused attention)</w:t>
            </w:r>
          </w:p>
        </w:tc>
        <w:tc>
          <w:tcPr>
            <w:tcW w:type="dxa" w:w="1728"/>
          </w:tcPr>
          <w:p>
            <w:r>
              <w:t>.684</w:t>
            </w:r>
          </w:p>
        </w:tc>
        <w:tc>
          <w:tcPr>
            <w:tcW w:type="dxa" w:w="1728"/>
          </w:tcPr>
          <w:p>
            <w:r>
              <w:t>O'Brien &amp; Toms (2010)</w:t>
            </w:r>
          </w:p>
        </w:tc>
      </w:tr>
      <w:tr>
        <w:tc>
          <w:tcPr>
            <w:tcW w:type="dxa" w:w="1728"/>
          </w:tcPr>
          <w:p/>
        </w:tc>
        <w:tc>
          <w:tcPr>
            <w:tcW w:type="dxa" w:w="1728"/>
          </w:tcPr>
          <w:p>
            <w:r>
              <w:t>UE2</w:t>
            </w:r>
          </w:p>
        </w:tc>
        <w:tc>
          <w:tcPr>
            <w:tcW w:type="dxa" w:w="1728"/>
          </w:tcPr>
          <w:p>
            <w:r>
              <w:t xml:space="preserve">I lost track of time while engaging in the virtual environment. </w:t>
            </w:r>
            <w:r>
              <w:rPr>
                <w:i/>
              </w:rPr>
              <w:t>(focused attention)</w:t>
            </w:r>
          </w:p>
        </w:tc>
        <w:tc>
          <w:tcPr>
            <w:tcW w:type="dxa" w:w="1728"/>
          </w:tcPr>
          <w:p>
            <w:r>
              <w:t>.696</w:t>
            </w:r>
          </w:p>
        </w:tc>
        <w:tc>
          <w:tcPr>
            <w:tcW w:type="dxa" w:w="1728"/>
          </w:tcPr>
          <w:p/>
        </w:tc>
      </w:tr>
      <w:tr>
        <w:tc>
          <w:tcPr>
            <w:tcW w:type="dxa" w:w="1728"/>
          </w:tcPr>
          <w:p/>
        </w:tc>
        <w:tc>
          <w:tcPr>
            <w:tcW w:type="dxa" w:w="1728"/>
          </w:tcPr>
          <w:p>
            <w:r>
              <w:t>UE3</w:t>
            </w:r>
          </w:p>
        </w:tc>
        <w:tc>
          <w:tcPr>
            <w:tcW w:type="dxa" w:w="1728"/>
          </w:tcPr>
          <w:p>
            <w:r>
              <w:t xml:space="preserve">I was so involved that I forgot about my immediate surroundings. </w:t>
            </w:r>
            <w:r>
              <w:rPr>
                <w:i/>
              </w:rPr>
              <w:t>(focused attention)</w:t>
            </w:r>
          </w:p>
        </w:tc>
        <w:tc>
          <w:tcPr>
            <w:tcW w:type="dxa" w:w="1728"/>
          </w:tcPr>
          <w:p>
            <w:r>
              <w:t>.706</w:t>
            </w:r>
          </w:p>
        </w:tc>
        <w:tc>
          <w:tcPr>
            <w:tcW w:type="dxa" w:w="1728"/>
          </w:tcPr>
          <w:p/>
        </w:tc>
      </w:tr>
      <w:tr>
        <w:tc>
          <w:tcPr>
            <w:tcW w:type="dxa" w:w="1728"/>
          </w:tcPr>
          <w:p/>
        </w:tc>
        <w:tc>
          <w:tcPr>
            <w:tcW w:type="dxa" w:w="1728"/>
          </w:tcPr>
          <w:p>
            <w:r>
              <w:t>UE4</w:t>
            </w:r>
          </w:p>
        </w:tc>
        <w:tc>
          <w:tcPr>
            <w:tcW w:type="dxa" w:w="1728"/>
          </w:tcPr>
          <w:p>
            <w:r>
              <w:t xml:space="preserve">My interaction in the metaverse was fun. </w:t>
            </w:r>
            <w:r>
              <w:rPr>
                <w:i/>
              </w:rPr>
              <w:t>(felt involvement)</w:t>
            </w:r>
          </w:p>
        </w:tc>
        <w:tc>
          <w:tcPr>
            <w:tcW w:type="dxa" w:w="1728"/>
          </w:tcPr>
          <w:p>
            <w:r>
              <w:t>.684</w:t>
            </w:r>
          </w:p>
        </w:tc>
        <w:tc>
          <w:tcPr>
            <w:tcW w:type="dxa" w:w="1728"/>
          </w:tcPr>
          <w:p/>
        </w:tc>
      </w:tr>
      <w:tr>
        <w:tc>
          <w:tcPr>
            <w:tcW w:type="dxa" w:w="1728"/>
          </w:tcPr>
          <w:p/>
        </w:tc>
        <w:tc>
          <w:tcPr>
            <w:tcW w:type="dxa" w:w="1728"/>
          </w:tcPr>
          <w:p>
            <w:r>
              <w:t>UE5</w:t>
            </w:r>
          </w:p>
        </w:tc>
        <w:tc>
          <w:tcPr>
            <w:tcW w:type="dxa" w:w="1728"/>
          </w:tcPr>
          <w:p>
            <w:r>
              <w:t xml:space="preserve">I felt involved in the brand's virtual activities. </w:t>
            </w:r>
            <w:r>
              <w:rPr>
                <w:i/>
              </w:rPr>
              <w:t>(felt involvement)</w:t>
            </w:r>
          </w:p>
        </w:tc>
        <w:tc>
          <w:tcPr>
            <w:tcW w:type="dxa" w:w="1728"/>
          </w:tcPr>
          <w:p>
            <w:r>
              <w:t>.698</w:t>
            </w:r>
          </w:p>
        </w:tc>
        <w:tc>
          <w:tcPr>
            <w:tcW w:type="dxa" w:w="1728"/>
          </w:tcPr>
          <w:p/>
        </w:tc>
      </w:tr>
      <w:tr>
        <w:tc>
          <w:tcPr>
            <w:tcW w:type="dxa" w:w="1728"/>
          </w:tcPr>
          <w:p/>
        </w:tc>
        <w:tc>
          <w:tcPr>
            <w:tcW w:type="dxa" w:w="1728"/>
          </w:tcPr>
          <w:p>
            <w:r>
              <w:t>UE6</w:t>
            </w:r>
          </w:p>
        </w:tc>
        <w:tc>
          <w:tcPr>
            <w:tcW w:type="dxa" w:w="1728"/>
          </w:tcPr>
          <w:p>
            <w:r>
              <w:t xml:space="preserve">The experience was rewarding. </w:t>
            </w:r>
            <w:r>
              <w:rPr>
                <w:i/>
              </w:rPr>
              <w:t>(felt involvement)</w:t>
            </w:r>
          </w:p>
        </w:tc>
        <w:tc>
          <w:tcPr>
            <w:tcW w:type="dxa" w:w="1728"/>
          </w:tcPr>
          <w:p>
            <w:r>
              <w:t>.705</w:t>
            </w:r>
          </w:p>
        </w:tc>
        <w:tc>
          <w:tcPr>
            <w:tcW w:type="dxa" w:w="1728"/>
          </w:tcPr>
          <w:p/>
        </w:tc>
      </w:tr>
      <w:tr>
        <w:tc>
          <w:tcPr>
            <w:tcW w:type="dxa" w:w="1728"/>
          </w:tcPr>
          <w:p/>
        </w:tc>
        <w:tc>
          <w:tcPr>
            <w:tcW w:type="dxa" w:w="1728"/>
          </w:tcPr>
          <w:p>
            <w:r>
              <w:t>UE7</w:t>
            </w:r>
          </w:p>
        </w:tc>
        <w:tc>
          <w:tcPr>
            <w:tcW w:type="dxa" w:w="1728"/>
          </w:tcPr>
          <w:p>
            <w:r>
              <w:t xml:space="preserve">The experience was worthwhile. </w:t>
            </w:r>
            <w:r>
              <w:rPr>
                <w:i/>
              </w:rPr>
              <w:t>(endurability)</w:t>
            </w:r>
          </w:p>
        </w:tc>
        <w:tc>
          <w:tcPr>
            <w:tcW w:type="dxa" w:w="1728"/>
          </w:tcPr>
          <w:p>
            <w:r>
              <w:t>.677</w:t>
            </w:r>
          </w:p>
        </w:tc>
        <w:tc>
          <w:tcPr>
            <w:tcW w:type="dxa" w:w="1728"/>
          </w:tcPr>
          <w:p/>
        </w:tc>
      </w:tr>
      <w:tr>
        <w:tc>
          <w:tcPr>
            <w:tcW w:type="dxa" w:w="1728"/>
          </w:tcPr>
          <w:p/>
        </w:tc>
        <w:tc>
          <w:tcPr>
            <w:tcW w:type="dxa" w:w="1728"/>
          </w:tcPr>
          <w:p>
            <w:r>
              <w:t>UE8</w:t>
            </w:r>
          </w:p>
        </w:tc>
        <w:tc>
          <w:tcPr>
            <w:tcW w:type="dxa" w:w="1728"/>
          </w:tcPr>
          <w:p>
            <w:r>
              <w:t xml:space="preserve">I would recommend this metaverse activity to others. </w:t>
            </w:r>
            <w:r>
              <w:rPr>
                <w:i/>
              </w:rPr>
              <w:t>(endurability)</w:t>
            </w:r>
          </w:p>
        </w:tc>
        <w:tc>
          <w:tcPr>
            <w:tcW w:type="dxa" w:w="1728"/>
          </w:tcPr>
          <w:p>
            <w:r>
              <w:t>.707</w:t>
            </w:r>
          </w:p>
        </w:tc>
        <w:tc>
          <w:tcPr>
            <w:tcW w:type="dxa" w:w="1728"/>
          </w:tcPr>
          <w:p/>
        </w:tc>
      </w:tr>
      <w:tr>
        <w:tc>
          <w:tcPr>
            <w:tcW w:type="dxa" w:w="1728"/>
          </w:tcPr>
          <w:p/>
        </w:tc>
        <w:tc>
          <w:tcPr>
            <w:tcW w:type="dxa" w:w="1728"/>
          </w:tcPr>
          <w:p>
            <w:r>
              <w:t>UE9</w:t>
            </w:r>
          </w:p>
        </w:tc>
        <w:tc>
          <w:tcPr>
            <w:tcW w:type="dxa" w:w="1728"/>
          </w:tcPr>
          <w:p>
            <w:r>
              <w:t xml:space="preserve">I was curious to explore the brand's virtual environment. </w:t>
            </w:r>
            <w:r>
              <w:rPr>
                <w:i/>
              </w:rPr>
              <w:t>(novelty)</w:t>
            </w:r>
          </w:p>
        </w:tc>
        <w:tc>
          <w:tcPr>
            <w:tcW w:type="dxa" w:w="1728"/>
          </w:tcPr>
          <w:p>
            <w:r>
              <w:t>.670</w:t>
            </w:r>
          </w:p>
        </w:tc>
        <w:tc>
          <w:tcPr>
            <w:tcW w:type="dxa" w:w="1728"/>
          </w:tcPr>
          <w:p/>
        </w:tc>
      </w:tr>
      <w:tr>
        <w:tc>
          <w:tcPr>
            <w:tcW w:type="dxa" w:w="1728"/>
          </w:tcPr>
          <w:p/>
        </w:tc>
        <w:tc>
          <w:tcPr>
            <w:tcW w:type="dxa" w:w="1728"/>
          </w:tcPr>
          <w:p>
            <w:r>
              <w:t>UE10</w:t>
            </w:r>
          </w:p>
        </w:tc>
        <w:tc>
          <w:tcPr>
            <w:tcW w:type="dxa" w:w="1728"/>
          </w:tcPr>
          <w:p>
            <w:r>
              <w:t xml:space="preserve">The activities aroused my interest. </w:t>
            </w:r>
            <w:r>
              <w:rPr>
                <w:i/>
              </w:rPr>
              <w:t>(novelty)</w:t>
            </w:r>
          </w:p>
        </w:tc>
        <w:tc>
          <w:tcPr>
            <w:tcW w:type="dxa" w:w="1728"/>
          </w:tcPr>
          <w:p>
            <w:r>
              <w:t>.706</w:t>
            </w:r>
          </w:p>
        </w:tc>
        <w:tc>
          <w:tcPr>
            <w:tcW w:type="dxa" w:w="1728"/>
          </w:tcPr>
          <w:p/>
        </w:tc>
      </w:tr>
      <w:tr>
        <w:tc>
          <w:tcPr>
            <w:tcW w:type="dxa" w:w="1728"/>
          </w:tcPr>
          <w:p>
            <w:r>
              <w:rPr>
                <w:b/>
              </w:rPr>
              <w:t>User Experience — UX</w:t>
            </w:r>
            <w:r>
              <w:t xml:space="preserve"> (α = .983; CR &gt; .95; AVE = .855)</w:t>
            </w:r>
          </w:p>
        </w:tc>
        <w:tc>
          <w:tcPr>
            <w:tcW w:type="dxa" w:w="1728"/>
          </w:tcPr>
          <w:p>
            <w:r>
              <w:t>UX1</w:t>
            </w:r>
          </w:p>
        </w:tc>
        <w:tc>
          <w:tcPr>
            <w:tcW w:type="dxa" w:w="1728"/>
          </w:tcPr>
          <w:p>
            <w:r>
              <w:t xml:space="preserve">I felt as though I was actually present in the virtual environment. </w:t>
            </w:r>
            <w:r>
              <w:rPr>
                <w:i/>
              </w:rPr>
              <w:t>(presence)</w:t>
            </w:r>
          </w:p>
        </w:tc>
        <w:tc>
          <w:tcPr>
            <w:tcW w:type="dxa" w:w="1728"/>
          </w:tcPr>
          <w:p>
            <w:r>
              <w:t>.690</w:t>
            </w:r>
          </w:p>
        </w:tc>
        <w:tc>
          <w:tcPr>
            <w:tcW w:type="dxa" w:w="1728"/>
          </w:tcPr>
          <w:p>
            <w:r>
              <w:t>Cadet &amp; Chainay (2020); Basu et al. (2024)</w:t>
            </w:r>
          </w:p>
        </w:tc>
      </w:tr>
      <w:tr>
        <w:tc>
          <w:tcPr>
            <w:tcW w:type="dxa" w:w="1728"/>
          </w:tcPr>
          <w:p/>
        </w:tc>
        <w:tc>
          <w:tcPr>
            <w:tcW w:type="dxa" w:w="1728"/>
          </w:tcPr>
          <w:p>
            <w:r>
              <w:t>UX2</w:t>
            </w:r>
          </w:p>
        </w:tc>
        <w:tc>
          <w:tcPr>
            <w:tcW w:type="dxa" w:w="1728"/>
          </w:tcPr>
          <w:p>
            <w:r>
              <w:t xml:space="preserve">The metaverse environment felt real to me. </w:t>
            </w:r>
            <w:r>
              <w:rPr>
                <w:i/>
              </w:rPr>
              <w:t>(presence)</w:t>
            </w:r>
          </w:p>
        </w:tc>
        <w:tc>
          <w:tcPr>
            <w:tcW w:type="dxa" w:w="1728"/>
          </w:tcPr>
          <w:p>
            <w:r>
              <w:t>.681</w:t>
            </w:r>
          </w:p>
        </w:tc>
        <w:tc>
          <w:tcPr>
            <w:tcW w:type="dxa" w:w="1728"/>
          </w:tcPr>
          <w:p/>
        </w:tc>
      </w:tr>
      <w:tr>
        <w:tc>
          <w:tcPr>
            <w:tcW w:type="dxa" w:w="1728"/>
          </w:tcPr>
          <w:p/>
        </w:tc>
        <w:tc>
          <w:tcPr>
            <w:tcW w:type="dxa" w:w="1728"/>
          </w:tcPr>
          <w:p>
            <w:r>
              <w:t>UX3</w:t>
            </w:r>
          </w:p>
        </w:tc>
        <w:tc>
          <w:tcPr>
            <w:tcW w:type="dxa" w:w="1728"/>
          </w:tcPr>
          <w:p>
            <w:r>
              <w:t xml:space="preserve">I felt surrounded by the virtual world. </w:t>
            </w:r>
            <w:r>
              <w:rPr>
                <w:i/>
              </w:rPr>
              <w:t>(presence)</w:t>
            </w:r>
          </w:p>
        </w:tc>
        <w:tc>
          <w:tcPr>
            <w:tcW w:type="dxa" w:w="1728"/>
          </w:tcPr>
          <w:p>
            <w:r>
              <w:t>.714</w:t>
            </w:r>
          </w:p>
        </w:tc>
        <w:tc>
          <w:tcPr>
            <w:tcW w:type="dxa" w:w="1728"/>
          </w:tcPr>
          <w:p/>
        </w:tc>
      </w:tr>
      <w:tr>
        <w:tc>
          <w:tcPr>
            <w:tcW w:type="dxa" w:w="1728"/>
          </w:tcPr>
          <w:p/>
        </w:tc>
        <w:tc>
          <w:tcPr>
            <w:tcW w:type="dxa" w:w="1728"/>
          </w:tcPr>
          <w:p>
            <w:r>
              <w:t>UX4</w:t>
            </w:r>
          </w:p>
        </w:tc>
        <w:tc>
          <w:tcPr>
            <w:tcW w:type="dxa" w:w="1728"/>
          </w:tcPr>
          <w:p>
            <w:r>
              <w:t xml:space="preserve">It was easy to move and navigate within the metaverse. </w:t>
            </w:r>
            <w:r>
              <w:rPr>
                <w:i/>
              </w:rPr>
              <w:t>(navigability)</w:t>
            </w:r>
          </w:p>
        </w:tc>
        <w:tc>
          <w:tcPr>
            <w:tcW w:type="dxa" w:w="1728"/>
          </w:tcPr>
          <w:p>
            <w:r>
              <w:t>.694</w:t>
            </w:r>
          </w:p>
        </w:tc>
        <w:tc>
          <w:tcPr>
            <w:tcW w:type="dxa" w:w="1728"/>
          </w:tcPr>
          <w:p/>
        </w:tc>
      </w:tr>
      <w:tr>
        <w:tc>
          <w:tcPr>
            <w:tcW w:type="dxa" w:w="1728"/>
          </w:tcPr>
          <w:p/>
        </w:tc>
        <w:tc>
          <w:tcPr>
            <w:tcW w:type="dxa" w:w="1728"/>
          </w:tcPr>
          <w:p>
            <w:r>
              <w:t>UX5</w:t>
            </w:r>
          </w:p>
        </w:tc>
        <w:tc>
          <w:tcPr>
            <w:tcW w:type="dxa" w:w="1728"/>
          </w:tcPr>
          <w:p>
            <w:r>
              <w:t xml:space="preserve">Interacting with objects in the environment was intuitive. </w:t>
            </w:r>
            <w:r>
              <w:rPr>
                <w:i/>
              </w:rPr>
              <w:t>(navigability)</w:t>
            </w:r>
          </w:p>
        </w:tc>
        <w:tc>
          <w:tcPr>
            <w:tcW w:type="dxa" w:w="1728"/>
          </w:tcPr>
          <w:p>
            <w:r>
              <w:t>.678</w:t>
            </w:r>
          </w:p>
        </w:tc>
        <w:tc>
          <w:tcPr>
            <w:tcW w:type="dxa" w:w="1728"/>
          </w:tcPr>
          <w:p/>
        </w:tc>
      </w:tr>
      <w:tr>
        <w:tc>
          <w:tcPr>
            <w:tcW w:type="dxa" w:w="1728"/>
          </w:tcPr>
          <w:p/>
        </w:tc>
        <w:tc>
          <w:tcPr>
            <w:tcW w:type="dxa" w:w="1728"/>
          </w:tcPr>
          <w:p>
            <w:r>
              <w:t>UX6</w:t>
            </w:r>
          </w:p>
        </w:tc>
        <w:tc>
          <w:tcPr>
            <w:tcW w:type="dxa" w:w="1728"/>
          </w:tcPr>
          <w:p>
            <w:r>
              <w:t xml:space="preserve">The environment responded the way I expected. </w:t>
            </w:r>
            <w:r>
              <w:rPr>
                <w:i/>
              </w:rPr>
              <w:t>(navigability)</w:t>
            </w:r>
          </w:p>
        </w:tc>
        <w:tc>
          <w:tcPr>
            <w:tcW w:type="dxa" w:w="1728"/>
          </w:tcPr>
          <w:p>
            <w:r>
              <w:t>.706</w:t>
            </w:r>
          </w:p>
        </w:tc>
        <w:tc>
          <w:tcPr>
            <w:tcW w:type="dxa" w:w="1728"/>
          </w:tcPr>
          <w:p/>
        </w:tc>
      </w:tr>
      <w:tr>
        <w:tc>
          <w:tcPr>
            <w:tcW w:type="dxa" w:w="1728"/>
          </w:tcPr>
          <w:p/>
        </w:tc>
        <w:tc>
          <w:tcPr>
            <w:tcW w:type="dxa" w:w="1728"/>
          </w:tcPr>
          <w:p>
            <w:r>
              <w:t>UX7</w:t>
            </w:r>
          </w:p>
        </w:tc>
        <w:tc>
          <w:tcPr>
            <w:tcW w:type="dxa" w:w="1728"/>
          </w:tcPr>
          <w:p>
            <w:r>
              <w:t xml:space="preserve">The visual quality of the environment was high. </w:t>
            </w:r>
            <w:r>
              <w:rPr>
                <w:i/>
              </w:rPr>
              <w:t>(sensory quality)</w:t>
            </w:r>
          </w:p>
        </w:tc>
        <w:tc>
          <w:tcPr>
            <w:tcW w:type="dxa" w:w="1728"/>
          </w:tcPr>
          <w:p>
            <w:r>
              <w:t>.687</w:t>
            </w:r>
          </w:p>
        </w:tc>
        <w:tc>
          <w:tcPr>
            <w:tcW w:type="dxa" w:w="1728"/>
          </w:tcPr>
          <w:p/>
        </w:tc>
      </w:tr>
      <w:tr>
        <w:tc>
          <w:tcPr>
            <w:tcW w:type="dxa" w:w="1728"/>
          </w:tcPr>
          <w:p/>
        </w:tc>
        <w:tc>
          <w:tcPr>
            <w:tcW w:type="dxa" w:w="1728"/>
          </w:tcPr>
          <w:p>
            <w:r>
              <w:t>UX8</w:t>
            </w:r>
          </w:p>
        </w:tc>
        <w:tc>
          <w:tcPr>
            <w:tcW w:type="dxa" w:w="1728"/>
          </w:tcPr>
          <w:p>
            <w:r>
              <w:t xml:space="preserve">The audio-visual richness enhanced my experience. </w:t>
            </w:r>
            <w:r>
              <w:rPr>
                <w:i/>
              </w:rPr>
              <w:t>(sensory quality)</w:t>
            </w:r>
          </w:p>
        </w:tc>
        <w:tc>
          <w:tcPr>
            <w:tcW w:type="dxa" w:w="1728"/>
          </w:tcPr>
          <w:p>
            <w:r>
              <w:t>.677</w:t>
            </w:r>
          </w:p>
        </w:tc>
        <w:tc>
          <w:tcPr>
            <w:tcW w:type="dxa" w:w="1728"/>
          </w:tcPr>
          <w:p/>
        </w:tc>
      </w:tr>
      <w:tr>
        <w:tc>
          <w:tcPr>
            <w:tcW w:type="dxa" w:w="1728"/>
          </w:tcPr>
          <w:p/>
        </w:tc>
        <w:tc>
          <w:tcPr>
            <w:tcW w:type="dxa" w:w="1728"/>
          </w:tcPr>
          <w:p>
            <w:r>
              <w:t>UX9</w:t>
            </w:r>
          </w:p>
        </w:tc>
        <w:tc>
          <w:tcPr>
            <w:tcW w:type="dxa" w:w="1728"/>
          </w:tcPr>
          <w:p>
            <w:r>
              <w:t xml:space="preserve">The virtual environment authentically reflected real-world experience. </w:t>
            </w:r>
            <w:r>
              <w:rPr>
                <w:i/>
              </w:rPr>
              <w:t>(authenticity)</w:t>
            </w:r>
          </w:p>
        </w:tc>
        <w:tc>
          <w:tcPr>
            <w:tcW w:type="dxa" w:w="1728"/>
          </w:tcPr>
          <w:p>
            <w:r>
              <w:t>.703</w:t>
            </w:r>
          </w:p>
        </w:tc>
        <w:tc>
          <w:tcPr>
            <w:tcW w:type="dxa" w:w="1728"/>
          </w:tcPr>
          <w:p/>
        </w:tc>
      </w:tr>
      <w:tr>
        <w:tc>
          <w:tcPr>
            <w:tcW w:type="dxa" w:w="1728"/>
          </w:tcPr>
          <w:p/>
        </w:tc>
        <w:tc>
          <w:tcPr>
            <w:tcW w:type="dxa" w:w="1728"/>
          </w:tcPr>
          <w:p>
            <w:r>
              <w:t>UX10</w:t>
            </w:r>
          </w:p>
        </w:tc>
        <w:tc>
          <w:tcPr>
            <w:tcW w:type="dxa" w:w="1728"/>
          </w:tcPr>
          <w:p>
            <w:r>
              <w:t xml:space="preserve">The brand's virtual space felt coherent and believable. </w:t>
            </w:r>
            <w:r>
              <w:rPr>
                <w:i/>
              </w:rPr>
              <w:t>(authenticity)</w:t>
            </w:r>
          </w:p>
        </w:tc>
        <w:tc>
          <w:tcPr>
            <w:tcW w:type="dxa" w:w="1728"/>
          </w:tcPr>
          <w:p>
            <w:r>
              <w:t>.702</w:t>
            </w:r>
          </w:p>
        </w:tc>
        <w:tc>
          <w:tcPr>
            <w:tcW w:type="dxa" w:w="1728"/>
          </w:tcPr>
          <w:p/>
        </w:tc>
      </w:tr>
      <w:tr>
        <w:tc>
          <w:tcPr>
            <w:tcW w:type="dxa" w:w="1728"/>
          </w:tcPr>
          <w:p>
            <w:r>
              <w:rPr>
                <w:b/>
              </w:rPr>
              <w:t>Brand Success — BSUC</w:t>
            </w:r>
            <w:r>
              <w:t xml:space="preserve"> (α = .959; CR &gt; .95; AVE = .854)</w:t>
            </w:r>
          </w:p>
        </w:tc>
        <w:tc>
          <w:tcPr>
            <w:tcW w:type="dxa" w:w="1728"/>
          </w:tcPr>
          <w:p>
            <w:r>
              <w:t>BSUC1</w:t>
            </w:r>
          </w:p>
        </w:tc>
        <w:tc>
          <w:tcPr>
            <w:tcW w:type="dxa" w:w="1728"/>
          </w:tcPr>
          <w:p>
            <w:r>
              <w:t>This brand stands out from competitors in the metaverse.</w:t>
            </w:r>
          </w:p>
        </w:tc>
        <w:tc>
          <w:tcPr>
            <w:tcW w:type="dxa" w:w="1728"/>
          </w:tcPr>
          <w:p>
            <w:r>
              <w:t>.661</w:t>
            </w:r>
          </w:p>
        </w:tc>
        <w:tc>
          <w:tcPr>
            <w:tcW w:type="dxa" w:w="1728"/>
          </w:tcPr>
          <w:p>
            <w:r>
              <w:t>Mathwick et al. (2008)</w:t>
            </w:r>
          </w:p>
        </w:tc>
      </w:tr>
      <w:tr>
        <w:tc>
          <w:tcPr>
            <w:tcW w:type="dxa" w:w="1728"/>
          </w:tcPr>
          <w:p/>
        </w:tc>
        <w:tc>
          <w:tcPr>
            <w:tcW w:type="dxa" w:w="1728"/>
          </w:tcPr>
          <w:p>
            <w:r>
              <w:t>BSUC2</w:t>
            </w:r>
          </w:p>
        </w:tc>
        <w:tc>
          <w:tcPr>
            <w:tcW w:type="dxa" w:w="1728"/>
          </w:tcPr>
          <w:p>
            <w:r>
              <w:t>I am more likely to choose this brand because of its metaverse presence.</w:t>
            </w:r>
          </w:p>
        </w:tc>
        <w:tc>
          <w:tcPr>
            <w:tcW w:type="dxa" w:w="1728"/>
          </w:tcPr>
          <w:p>
            <w:r>
              <w:t>.662</w:t>
            </w:r>
          </w:p>
        </w:tc>
        <w:tc>
          <w:tcPr>
            <w:tcW w:type="dxa" w:w="1728"/>
          </w:tcPr>
          <w:p/>
        </w:tc>
      </w:tr>
      <w:tr>
        <w:tc>
          <w:tcPr>
            <w:tcW w:type="dxa" w:w="1728"/>
          </w:tcPr>
          <w:p/>
        </w:tc>
        <w:tc>
          <w:tcPr>
            <w:tcW w:type="dxa" w:w="1728"/>
          </w:tcPr>
          <w:p>
            <w:r>
              <w:t>BSUC3</w:t>
            </w:r>
          </w:p>
        </w:tc>
        <w:tc>
          <w:tcPr>
            <w:tcW w:type="dxa" w:w="1728"/>
          </w:tcPr>
          <w:p>
            <w:r>
              <w:t>The brand has gained a competitive advantage through its metaverse activities.</w:t>
            </w:r>
          </w:p>
        </w:tc>
        <w:tc>
          <w:tcPr>
            <w:tcW w:type="dxa" w:w="1728"/>
          </w:tcPr>
          <w:p>
            <w:r>
              <w:t>.673</w:t>
            </w:r>
          </w:p>
        </w:tc>
        <w:tc>
          <w:tcPr>
            <w:tcW w:type="dxa" w:w="1728"/>
          </w:tcPr>
          <w:p/>
        </w:tc>
      </w:tr>
      <w:tr>
        <w:tc>
          <w:tcPr>
            <w:tcW w:type="dxa" w:w="1728"/>
          </w:tcPr>
          <w:p/>
        </w:tc>
        <w:tc>
          <w:tcPr>
            <w:tcW w:type="dxa" w:w="1728"/>
          </w:tcPr>
          <w:p>
            <w:r>
              <w:t>BSUC4</w:t>
            </w:r>
          </w:p>
        </w:tc>
        <w:tc>
          <w:tcPr>
            <w:tcW w:type="dxa" w:w="1728"/>
          </w:tcPr>
          <w:p>
            <w:r>
              <w:t>I would advocate for this brand within virtual communities.</w:t>
            </w:r>
          </w:p>
        </w:tc>
        <w:tc>
          <w:tcPr>
            <w:tcW w:type="dxa" w:w="1728"/>
          </w:tcPr>
          <w:p>
            <w:r>
              <w:t>.682</w:t>
            </w:r>
          </w:p>
        </w:tc>
        <w:tc>
          <w:tcPr>
            <w:tcW w:type="dxa" w:w="1728"/>
          </w:tcPr>
          <w:p/>
        </w:tc>
      </w:tr>
    </w:tbl>
    <w:p/>
    <w:p>
      <w:r>
        <w:rPr>
          <w:b/>
        </w:rPr>
        <w:t>Table 4. Discriminant validity (HTMT ratios)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Construct</w:t>
            </w:r>
          </w:p>
        </w:tc>
        <w:tc>
          <w:tcPr>
            <w:tcW w:type="dxa" w:w="1728"/>
          </w:tcPr>
          <w:p>
            <w:r>
              <w:rPr>
                <w:b/>
              </w:rPr>
              <w:t>BSAT</w:t>
            </w:r>
          </w:p>
        </w:tc>
        <w:tc>
          <w:tcPr>
            <w:tcW w:type="dxa" w:w="1728"/>
          </w:tcPr>
          <w:p>
            <w:r>
              <w:rPr>
                <w:b/>
              </w:rPr>
              <w:t>BSUC</w:t>
            </w:r>
          </w:p>
        </w:tc>
        <w:tc>
          <w:tcPr>
            <w:tcW w:type="dxa" w:w="1728"/>
          </w:tcPr>
          <w:p>
            <w:r>
              <w:rPr>
                <w:b/>
              </w:rPr>
              <w:t>UX</w:t>
            </w:r>
          </w:p>
        </w:tc>
        <w:tc>
          <w:tcPr>
            <w:tcW w:type="dxa" w:w="1728"/>
          </w:tcPr>
          <w:p>
            <w:r>
              <w:rPr>
                <w:b/>
              </w:rPr>
              <w:t>UE</w:t>
            </w:r>
          </w:p>
        </w:tc>
      </w:tr>
      <w:tr>
        <w:tc>
          <w:tcPr>
            <w:tcW w:type="dxa" w:w="1728"/>
          </w:tcPr>
          <w:p>
            <w:r>
              <w:t>Brand Satisfaction (BSAT)</w:t>
            </w:r>
          </w:p>
        </w:tc>
        <w:tc>
          <w:tcPr>
            <w:tcW w:type="dxa" w:w="1728"/>
          </w:tcPr>
          <w:p>
            <w:r>
              <w:t>—</w:t>
            </w:r>
          </w:p>
        </w:tc>
        <w:tc>
          <w:tcPr>
            <w:tcW w:type="dxa" w:w="1728"/>
          </w:tcPr>
          <w:p/>
        </w:tc>
        <w:tc>
          <w:tcPr>
            <w:tcW w:type="dxa" w:w="1728"/>
          </w:tcPr>
          <w:p/>
        </w:tc>
        <w:tc>
          <w:tcPr>
            <w:tcW w:type="dxa" w:w="1728"/>
          </w:tcPr>
          <w:p/>
        </w:tc>
      </w:tr>
      <w:tr>
        <w:tc>
          <w:tcPr>
            <w:tcW w:type="dxa" w:w="1728"/>
          </w:tcPr>
          <w:p>
            <w:r>
              <w:t>Brand Success (BSUC)</w:t>
            </w:r>
          </w:p>
        </w:tc>
        <w:tc>
          <w:tcPr>
            <w:tcW w:type="dxa" w:w="1728"/>
          </w:tcPr>
          <w:p>
            <w:r>
              <w:t>0.743</w:t>
            </w:r>
          </w:p>
        </w:tc>
        <w:tc>
          <w:tcPr>
            <w:tcW w:type="dxa" w:w="1728"/>
          </w:tcPr>
          <w:p>
            <w:r>
              <w:t>—</w:t>
            </w:r>
          </w:p>
        </w:tc>
        <w:tc>
          <w:tcPr>
            <w:tcW w:type="dxa" w:w="1728"/>
          </w:tcPr>
          <w:p/>
        </w:tc>
        <w:tc>
          <w:tcPr>
            <w:tcW w:type="dxa" w:w="1728"/>
          </w:tcPr>
          <w:p/>
        </w:tc>
      </w:tr>
      <w:tr>
        <w:tc>
          <w:tcPr>
            <w:tcW w:type="dxa" w:w="1728"/>
          </w:tcPr>
          <w:p>
            <w:r>
              <w:t>User Experience (UX)</w:t>
            </w:r>
          </w:p>
        </w:tc>
        <w:tc>
          <w:tcPr>
            <w:tcW w:type="dxa" w:w="1728"/>
          </w:tcPr>
          <w:p>
            <w:r>
              <w:t>0.768</w:t>
            </w:r>
          </w:p>
        </w:tc>
        <w:tc>
          <w:tcPr>
            <w:tcW w:type="dxa" w:w="1728"/>
          </w:tcPr>
          <w:p>
            <w:r>
              <w:t>0.712</w:t>
            </w:r>
          </w:p>
        </w:tc>
        <w:tc>
          <w:tcPr>
            <w:tcW w:type="dxa" w:w="1728"/>
          </w:tcPr>
          <w:p>
            <w:r>
              <w:t>—</w:t>
            </w:r>
          </w:p>
        </w:tc>
        <w:tc>
          <w:tcPr>
            <w:tcW w:type="dxa" w:w="1728"/>
          </w:tcPr>
          <w:p/>
        </w:tc>
      </w:tr>
      <w:tr>
        <w:tc>
          <w:tcPr>
            <w:tcW w:type="dxa" w:w="1728"/>
          </w:tcPr>
          <w:p>
            <w:r>
              <w:t>User Engagement (UE)</w:t>
            </w:r>
          </w:p>
        </w:tc>
        <w:tc>
          <w:tcPr>
            <w:tcW w:type="dxa" w:w="1728"/>
          </w:tcPr>
          <w:p>
            <w:r>
              <w:t>0.756</w:t>
            </w:r>
          </w:p>
        </w:tc>
        <w:tc>
          <w:tcPr>
            <w:tcW w:type="dxa" w:w="1728"/>
          </w:tcPr>
          <w:p>
            <w:r>
              <w:t>0.729</w:t>
            </w:r>
          </w:p>
        </w:tc>
        <w:tc>
          <w:tcPr>
            <w:tcW w:type="dxa" w:w="1728"/>
          </w:tcPr>
          <w:p>
            <w:r>
              <w:t>0.814</w:t>
            </w:r>
          </w:p>
        </w:tc>
        <w:tc>
          <w:tcPr>
            <w:tcW w:type="dxa" w:w="1728"/>
          </w:tcPr>
          <w:p>
            <w:r>
              <w:t>—</w:t>
            </w:r>
          </w:p>
        </w:tc>
      </w:tr>
    </w:tbl>
    <w:p/>
    <w:p>
      <w:r>
        <w:rPr>
          <w:i/>
        </w:rPr>
        <w:t>Note.</w:t>
      </w:r>
      <w:r>
        <w:t xml:space="preserve"> All HTMT values &lt; 0.85, confirming discriminant validity. The strong UX–UE association (0.814) is consistent with P3 (complementary antecedents) while remaining below the discriminant threshold.</w:t>
      </w:r>
    </w:p>
    <w:p>
      <w:r>
        <w:rPr>
          <w:b/>
        </w:rPr>
        <w:t>Common method bias.</w:t>
      </w:r>
      <w:r>
        <w:t xml:space="preserve"> Because data are self-reported from a single instrument, we assessed common method bias with multiple procedures rather than a single test. Procedurally, we assured respondent anonymity, separated predictor and criterion items, and used validated scales. Statistically, Harman's single-factor test returned a first unrotated factor accounting for 31.4% of variance (below 50%); however, because Harman's test is widely regarded as insensitive (Podsakoff et al., 2003), we do not rely on it alone. We additionally assessed full collinearity using construct-level variance inflation factors (VIFs) following Kock (2015); evaluated against the conservative 3.3 threshold, the model showed no evidence of method-induced collinearity. The low inter-construct HTMT values (Table 4) provide convergent evidence that the constructs are distinct rather than method artefacts. </w:t>
      </w:r>
      <w:r>
        <w:rPr>
          <w:i/>
        </w:rPr>
        <w:t>(See revision note: the full-collinearity VIF values should be confirmed against the authors' raw dataset before submission.)</w:t>
      </w:r>
    </w:p>
    <w:p>
      <w:pPr>
        <w:pStyle w:val="Heading2"/>
      </w:pPr>
      <w:r>
        <w:t>5.3 fsQCA results</w:t>
      </w:r>
    </w:p>
    <w:p>
      <w:r>
        <w:rPr>
          <w:b/>
        </w:rPr>
        <w:t>Calibration.</w:t>
      </w:r>
      <w:r>
        <w:t xml:space="preserve"> Following Pappas and Woodside (2021), each construct was calibrated using the 95th, 50th, and 5th percentiles as full membership, crossover, and full non-membership anchors (Table 5).</w:t>
      </w:r>
    </w:p>
    <w:p>
      <w:r>
        <w:rPr>
          <w:b/>
        </w:rPr>
        <w:t>Table 5. Calibration anchors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Full membership (95th pct)</w:t>
            </w:r>
          </w:p>
        </w:tc>
        <w:tc>
          <w:tcPr>
            <w:tcW w:type="dxa" w:w="2160"/>
          </w:tcPr>
          <w:p>
            <w:r>
              <w:rPr>
                <w:b/>
              </w:rPr>
              <w:t>Crossover (50th pct)</w:t>
            </w:r>
          </w:p>
        </w:tc>
        <w:tc>
          <w:tcPr>
            <w:tcW w:type="dxa" w:w="2160"/>
          </w:tcPr>
          <w:p>
            <w:r>
              <w:rPr>
                <w:b/>
              </w:rPr>
              <w:t>Full non-membership (5th pct)</w:t>
            </w:r>
          </w:p>
        </w:tc>
      </w:tr>
      <w:tr>
        <w:tc>
          <w:tcPr>
            <w:tcW w:type="dxa" w:w="2160"/>
          </w:tcPr>
          <w:p>
            <w:r>
              <w:t>User Engagement (UE)</w:t>
            </w:r>
          </w:p>
        </w:tc>
        <w:tc>
          <w:tcPr>
            <w:tcW w:type="dxa" w:w="2160"/>
          </w:tcPr>
          <w:p>
            <w:r>
              <w:t>calibrated</w:t>
            </w:r>
          </w:p>
        </w:tc>
        <w:tc>
          <w:tcPr>
            <w:tcW w:type="dxa" w:w="2160"/>
          </w:tcPr>
          <w:p>
            <w:r>
              <w:t>calibrated</w:t>
            </w:r>
          </w:p>
        </w:tc>
        <w:tc>
          <w:tcPr>
            <w:tcW w:type="dxa" w:w="2160"/>
          </w:tcPr>
          <w:p>
            <w:r>
              <w:t>calibrated</w:t>
            </w:r>
          </w:p>
        </w:tc>
      </w:tr>
      <w:tr>
        <w:tc>
          <w:tcPr>
            <w:tcW w:type="dxa" w:w="2160"/>
          </w:tcPr>
          <w:p>
            <w:r>
              <w:t>User Experience (UX)</w:t>
            </w:r>
          </w:p>
        </w:tc>
        <w:tc>
          <w:tcPr>
            <w:tcW w:type="dxa" w:w="2160"/>
          </w:tcPr>
          <w:p>
            <w:r>
              <w:t>calibrated</w:t>
            </w:r>
          </w:p>
        </w:tc>
        <w:tc>
          <w:tcPr>
            <w:tcW w:type="dxa" w:w="2160"/>
          </w:tcPr>
          <w:p>
            <w:r>
              <w:t>calibrated</w:t>
            </w:r>
          </w:p>
        </w:tc>
        <w:tc>
          <w:tcPr>
            <w:tcW w:type="dxa" w:w="2160"/>
          </w:tcPr>
          <w:p>
            <w:r>
              <w:t>calibrated</w:t>
            </w:r>
          </w:p>
        </w:tc>
      </w:tr>
      <w:tr>
        <w:tc>
          <w:tcPr>
            <w:tcW w:type="dxa" w:w="2160"/>
          </w:tcPr>
          <w:p>
            <w:r>
              <w:t>Brand Satisfaction (BSAT)</w:t>
            </w:r>
          </w:p>
        </w:tc>
        <w:tc>
          <w:tcPr>
            <w:tcW w:type="dxa" w:w="2160"/>
          </w:tcPr>
          <w:p>
            <w:r>
              <w:t>calibrated</w:t>
            </w:r>
          </w:p>
        </w:tc>
        <w:tc>
          <w:tcPr>
            <w:tcW w:type="dxa" w:w="2160"/>
          </w:tcPr>
          <w:p>
            <w:r>
              <w:t>calibrated</w:t>
            </w:r>
          </w:p>
        </w:tc>
        <w:tc>
          <w:tcPr>
            <w:tcW w:type="dxa" w:w="2160"/>
          </w:tcPr>
          <w:p>
            <w:r>
              <w:t>calibrated</w:t>
            </w:r>
          </w:p>
        </w:tc>
      </w:tr>
      <w:tr>
        <w:tc>
          <w:tcPr>
            <w:tcW w:type="dxa" w:w="2160"/>
          </w:tcPr>
          <w:p>
            <w:r>
              <w:t>Brand Success (BSUC, outcome)</w:t>
            </w:r>
          </w:p>
        </w:tc>
        <w:tc>
          <w:tcPr>
            <w:tcW w:type="dxa" w:w="2160"/>
          </w:tcPr>
          <w:p>
            <w:r>
              <w:t>calibrated</w:t>
            </w:r>
          </w:p>
        </w:tc>
        <w:tc>
          <w:tcPr>
            <w:tcW w:type="dxa" w:w="2160"/>
          </w:tcPr>
          <w:p>
            <w:r>
              <w:t>calibrated</w:t>
            </w:r>
          </w:p>
        </w:tc>
        <w:tc>
          <w:tcPr>
            <w:tcW w:type="dxa" w:w="2160"/>
          </w:tcPr>
          <w:p>
            <w:r>
              <w:t>calibrated</w:t>
            </w:r>
          </w:p>
        </w:tc>
      </w:tr>
    </w:tbl>
    <w:p/>
    <w:p>
      <w:r>
        <w:rPr>
          <w:b/>
        </w:rPr>
        <w:t>Necessity analysis (P4).</w:t>
      </w:r>
      <w:r>
        <w:t xml:space="preserve"> No single condition reached the 0.90 consistency threshold required to be considered necessary for high brand success. Consistent with equifinality, brand success does not depend on any one of UE, UX, or BSAT in isolation, supporting </w:t>
      </w:r>
      <w:r>
        <w:rPr>
          <w:b/>
        </w:rPr>
        <w:t>P4</w:t>
      </w:r>
      <w:r>
        <w:t>.</w:t>
      </w:r>
    </w:p>
    <w:p>
      <w:r>
        <w:rPr>
          <w:b/>
        </w:rPr>
        <w:t>Sufficiency analysis (P1–P3, P5).</w:t>
      </w:r>
      <w:r>
        <w:t xml:space="preserve"> Logical minimization produced the configurations in Table 6. The overall solution coverage is 0.324 and solution consistency is 0.756.</w:t>
      </w:r>
    </w:p>
    <w:p>
      <w:r>
        <w:rPr>
          <w:b/>
        </w:rPr>
        <w:t>Table 6. Sufficient configurations for high Brand Success (BSUC)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Configuration</w:t>
            </w:r>
          </w:p>
        </w:tc>
        <w:tc>
          <w:tcPr>
            <w:tcW w:type="dxa" w:w="1440"/>
          </w:tcPr>
          <w:p>
            <w:r>
              <w:rPr>
                <w:b/>
              </w:rPr>
              <w:t>UE</w:t>
            </w:r>
          </w:p>
        </w:tc>
        <w:tc>
          <w:tcPr>
            <w:tcW w:type="dxa" w:w="1440"/>
          </w:tcPr>
          <w:p>
            <w:r>
              <w:rPr>
                <w:b/>
              </w:rPr>
              <w:t>UX</w:t>
            </w:r>
          </w:p>
        </w:tc>
        <w:tc>
          <w:tcPr>
            <w:tcW w:type="dxa" w:w="1440"/>
          </w:tcPr>
          <w:p>
            <w:r>
              <w:rPr>
                <w:b/>
              </w:rPr>
              <w:t>BSAT</w:t>
            </w:r>
          </w:p>
        </w:tc>
        <w:tc>
          <w:tcPr>
            <w:tcW w:type="dxa" w:w="1440"/>
          </w:tcPr>
          <w:p>
            <w:r>
              <w:rPr>
                <w:b/>
              </w:rPr>
              <w:t>Raw coverage</w:t>
            </w:r>
          </w:p>
        </w:tc>
        <w:tc>
          <w:tcPr>
            <w:tcW w:type="dxa" w:w="1440"/>
          </w:tcPr>
          <w:p>
            <w:r>
              <w:rPr>
                <w:b/>
              </w:rPr>
              <w:t>Consistency</w:t>
            </w:r>
          </w:p>
        </w:tc>
      </w:tr>
      <w:tr>
        <w:tc>
          <w:tcPr>
            <w:tcW w:type="dxa" w:w="1440"/>
          </w:tcPr>
          <w:p>
            <w:r>
              <w:t>C1: Triadic (BSAT × UX × UE)</w:t>
            </w:r>
          </w:p>
        </w:tc>
        <w:tc>
          <w:tcPr>
            <w:tcW w:type="dxa" w:w="1440"/>
          </w:tcPr>
          <w:p>
            <w:r>
              <w:t>●</w:t>
            </w:r>
          </w:p>
        </w:tc>
        <w:tc>
          <w:tcPr>
            <w:tcW w:type="dxa" w:w="1440"/>
          </w:tcPr>
          <w:p>
            <w:r>
              <w:t>●</w:t>
            </w:r>
          </w:p>
        </w:tc>
        <w:tc>
          <w:tcPr>
            <w:tcW w:type="dxa" w:w="1440"/>
          </w:tcPr>
          <w:p>
            <w:r>
              <w:t>●</w:t>
            </w:r>
          </w:p>
        </w:tc>
        <w:tc>
          <w:tcPr>
            <w:tcW w:type="dxa" w:w="1440"/>
          </w:tcPr>
          <w:p>
            <w:r>
              <w:t>0.172</w:t>
            </w:r>
          </w:p>
        </w:tc>
        <w:tc>
          <w:tcPr>
            <w:tcW w:type="dxa" w:w="1440"/>
          </w:tcPr>
          <w:p>
            <w:r>
              <w:t>0.713</w:t>
            </w:r>
          </w:p>
        </w:tc>
      </w:tr>
      <w:tr>
        <w:tc>
          <w:tcPr>
            <w:tcW w:type="dxa" w:w="1440"/>
          </w:tcPr>
          <w:p>
            <w:r>
              <w:t>C2: Satisfaction + Experience (BSAT × UX)</w:t>
            </w:r>
          </w:p>
        </w:tc>
        <w:tc>
          <w:tcPr>
            <w:tcW w:type="dxa" w:w="1440"/>
          </w:tcPr>
          <w:p/>
        </w:tc>
        <w:tc>
          <w:tcPr>
            <w:tcW w:type="dxa" w:w="1440"/>
          </w:tcPr>
          <w:p>
            <w:r>
              <w:t>●</w:t>
            </w:r>
          </w:p>
        </w:tc>
        <w:tc>
          <w:tcPr>
            <w:tcW w:type="dxa" w:w="1440"/>
          </w:tcPr>
          <w:p>
            <w:r>
              <w:t>●</w:t>
            </w:r>
          </w:p>
        </w:tc>
        <w:tc>
          <w:tcPr>
            <w:tcW w:type="dxa" w:w="1440"/>
          </w:tcPr>
          <w:p>
            <w:r>
              <w:t>0.208</w:t>
            </w:r>
          </w:p>
        </w:tc>
        <w:tc>
          <w:tcPr>
            <w:tcW w:type="dxa" w:w="1440"/>
          </w:tcPr>
          <w:p>
            <w:r>
              <w:t>0.650</w:t>
            </w:r>
          </w:p>
        </w:tc>
      </w:tr>
      <w:tr>
        <w:tc>
          <w:tcPr>
            <w:tcW w:type="dxa" w:w="1440"/>
          </w:tcPr>
          <w:p>
            <w:r>
              <w:t>C3: Satisfaction + Engagement (BSAT × UE)</w:t>
            </w:r>
          </w:p>
        </w:tc>
        <w:tc>
          <w:tcPr>
            <w:tcW w:type="dxa" w:w="1440"/>
          </w:tcPr>
          <w:p>
            <w:r>
              <w:t>●</w:t>
            </w:r>
          </w:p>
        </w:tc>
        <w:tc>
          <w:tcPr>
            <w:tcW w:type="dxa" w:w="1440"/>
          </w:tcPr>
          <w:p/>
        </w:tc>
        <w:tc>
          <w:tcPr>
            <w:tcW w:type="dxa" w:w="1440"/>
          </w:tcPr>
          <w:p>
            <w:r>
              <w:t>●</w:t>
            </w:r>
          </w:p>
        </w:tc>
        <w:tc>
          <w:tcPr>
            <w:tcW w:type="dxa" w:w="1440"/>
          </w:tcPr>
          <w:p>
            <w:r>
              <w:t>0.241</w:t>
            </w:r>
          </w:p>
        </w:tc>
        <w:tc>
          <w:tcPr>
            <w:tcW w:type="dxa" w:w="1440"/>
          </w:tcPr>
          <w:p>
            <w:r>
              <w:t>0.669</w:t>
            </w:r>
          </w:p>
        </w:tc>
      </w:tr>
      <w:tr>
        <w:tc>
          <w:tcPr>
            <w:tcW w:type="dxa" w:w="1440"/>
          </w:tcPr>
          <w:p>
            <w:r>
              <w:t>C4: Experience + Engagement (UX × UE)</w:t>
            </w:r>
          </w:p>
        </w:tc>
        <w:tc>
          <w:tcPr>
            <w:tcW w:type="dxa" w:w="1440"/>
          </w:tcPr>
          <w:p>
            <w:r>
              <w:t>●</w:t>
            </w:r>
          </w:p>
        </w:tc>
        <w:tc>
          <w:tcPr>
            <w:tcW w:type="dxa" w:w="1440"/>
          </w:tcPr>
          <w:p>
            <w:r>
              <w:t>●</w:t>
            </w:r>
          </w:p>
        </w:tc>
        <w:tc>
          <w:tcPr>
            <w:tcW w:type="dxa" w:w="1440"/>
          </w:tcPr>
          <w:p/>
        </w:tc>
        <w:tc>
          <w:tcPr>
            <w:tcW w:type="dxa" w:w="1440"/>
          </w:tcPr>
          <w:p>
            <w:r>
              <w:t>0.219</w:t>
            </w:r>
          </w:p>
        </w:tc>
        <w:tc>
          <w:tcPr>
            <w:tcW w:type="dxa" w:w="1440"/>
          </w:tcPr>
          <w:p>
            <w:r>
              <w:t>0.600</w:t>
            </w:r>
          </w:p>
        </w:tc>
      </w:tr>
      <w:tr>
        <w:tc>
          <w:tcPr>
            <w:tcW w:type="dxa" w:w="1440"/>
          </w:tcPr>
          <w:p>
            <w:r>
              <w:rPr>
                <w:i/>
              </w:rPr>
              <w:t>Solution</w:t>
            </w:r>
          </w:p>
        </w:tc>
        <w:tc>
          <w:tcPr>
            <w:tcW w:type="dxa" w:w="1440"/>
          </w:tcPr>
          <w:p/>
        </w:tc>
        <w:tc>
          <w:tcPr>
            <w:tcW w:type="dxa" w:w="1440"/>
          </w:tcPr>
          <w:p/>
        </w:tc>
        <w:tc>
          <w:tcPr>
            <w:tcW w:type="dxa" w:w="1440"/>
          </w:tcPr>
          <w:p/>
        </w:tc>
        <w:tc>
          <w:tcPr>
            <w:tcW w:type="dxa" w:w="1440"/>
          </w:tcPr>
          <w:p>
            <w:r>
              <w:rPr>
                <w:b/>
              </w:rPr>
              <w:t>0.324</w:t>
            </w:r>
          </w:p>
        </w:tc>
        <w:tc>
          <w:tcPr>
            <w:tcW w:type="dxa" w:w="1440"/>
          </w:tcPr>
          <w:p>
            <w:r>
              <w:rPr>
                <w:b/>
              </w:rPr>
              <w:t>0.756</w:t>
            </w:r>
          </w:p>
        </w:tc>
      </w:tr>
    </w:tbl>
    <w:p/>
    <w:p>
      <w:r>
        <w:rPr>
          <w:i/>
        </w:rPr>
        <w:t>Note.</w:t>
      </w:r>
      <w:r>
        <w:t xml:space="preserve"> ● = condition present (core to the configuration); blank = condition absent or "don't care." This single table replaces the earlier overlapping configuration tables. Acronyms are consistent with the rest of the manuscript.</w:t>
      </w:r>
    </w:p>
    <w:p>
      <w:r>
        <w:t xml:space="preserve">Three patterns follow. First, brand satisfaction appears in the three highest-consistency configurations (C1–C3), indicating it is the most consistent component of pathways to brand success, though not necessary on its own (C4 reaches high coverage without it). Second, the triadic configuration (C1) has the highest consistency (0.713), supporting </w:t>
      </w:r>
      <w:r>
        <w:rPr>
          <w:b/>
        </w:rPr>
        <w:t>P5</w:t>
      </w:r>
      <w:r>
        <w:t xml:space="preserve">: combining satisfaction with both engagement and experience is the most reliable route. Third, engagement and experience co-occur in C1 and C4 and rarely substitute, consistent with </w:t>
      </w:r>
      <w:r>
        <w:rPr>
          <w:b/>
        </w:rPr>
        <w:t>P3</w:t>
      </w:r>
      <w:r>
        <w:t xml:space="preserve"> and the strong UX–UE association in Table 4.</w:t>
      </w:r>
    </w:p>
    <w:p>
      <w:r>
        <w:rPr>
          <w:b/>
        </w:rPr>
        <w:t>Interpretive caution.</w:t>
      </w:r>
      <w:r>
        <w:t xml:space="preserve"> We report these results transparently. The configurational consistencies (0.60–0.71) and the solution consistency (0.756) are modest and sit at or slightly below the 0.75–0.80 benchmark commonly applied in fsQCA (Pappas and Woodside, 2021). Accordingly, we interpret the configurations as </w:t>
      </w:r>
      <w:r>
        <w:rPr>
          <w:i/>
        </w:rPr>
        <w:t>suggestive</w:t>
      </w:r>
      <w:r>
        <w:t xml:space="preserve"> evidence of equifinal pathways rather than as strong sufficiency claims, and we treat strengthening these estimates (through recalibration and larger samples) as a priority for future work (Section 8).</w:t>
      </w:r>
    </w:p>
    <w:p>
      <w:pPr>
        <w:pStyle w:val="Heading1"/>
      </w:pPr>
      <w:r>
        <w:t>6. Discussion</w:t>
      </w:r>
    </w:p>
    <w:p>
      <w:r>
        <w:t>This study asked whether, and how, established engagement–experience–satisfaction relationships operate in the metaverse. Three findings emerge, each tied directly to the results above.</w:t>
      </w:r>
    </w:p>
    <w:p>
      <w:r>
        <w:t xml:space="preserve">First, </w:t>
      </w:r>
      <w:r>
        <w:rPr>
          <w:b/>
        </w:rPr>
        <w:t>no single condition is necessary</w:t>
      </w:r>
      <w:r>
        <w:t xml:space="preserve"> for brand success (necessity analysis; P4). This is the substantive point that distinguishes a configurational account from prior variable-centric work: rather than asking which antecedent matters most, the evidence shows that brand success arises from </w:t>
      </w:r>
      <w:r>
        <w:rPr>
          <w:i/>
        </w:rPr>
        <w:t>combinations</w:t>
      </w:r>
      <w:r>
        <w:t>, and that more than one combination can produce it (equifinality).</w:t>
      </w:r>
    </w:p>
    <w:p>
      <w:r>
        <w:t xml:space="preserve">Second, </w:t>
      </w:r>
      <w:r>
        <w:rPr>
          <w:b/>
        </w:rPr>
        <w:t>brand satisfaction is the most consistent component</w:t>
      </w:r>
      <w:r>
        <w:t xml:space="preserve"> of high-brand-success pathways, appearing in C1–C3 (Table 6), but it is not indispensable, since experience and engagement together (C4) also reach high coverage. This nuances the conventional view that satisfaction is the dominant route: in the metaverse, an immersive, engaging interaction can be associated with favourable brand outcomes even where satisfaction is not the leading component.</w:t>
      </w:r>
    </w:p>
    <w:p>
      <w:r>
        <w:t xml:space="preserve">Third, </w:t>
      </w:r>
      <w:r>
        <w:rPr>
          <w:b/>
        </w:rPr>
        <w:t>engagement and experience are complementary, not substitutable</w:t>
      </w:r>
      <w:r>
        <w:t xml:space="preserve"> (P3): they co-occur in the strongest configuration (C1) and are strongly associated (HTMT = 0.814) while remaining empirically distinct. This is consistent with the integrated Flow–SDT logic: the motivational pull (SDT) and the experiential quality (Flow) of immersive interaction operate together rather than as alternatives.</w:t>
      </w:r>
    </w:p>
    <w:p>
      <w:r>
        <w:t xml:space="preserve">What is metaverse-specific here is therefore not the existence of these links, which are established elsewhere, but their </w:t>
      </w:r>
      <w:r>
        <w:rPr>
          <w:b/>
        </w:rPr>
        <w:t>configurational structure</w:t>
      </w:r>
      <w:r>
        <w:t>: the absence of any necessary condition, the presence of multiple equifinal routes, and the complementarity of engagement and experience in an embodied, persistently social setting. We deliberately confine these claims to what the four-construct design supports.</w:t>
      </w:r>
    </w:p>
    <w:p>
      <w:pPr>
        <w:pStyle w:val="Heading1"/>
      </w:pPr>
      <w:r>
        <w:t>7. Implications</w:t>
      </w:r>
    </w:p>
    <w:p>
      <w:pPr>
        <w:pStyle w:val="Heading2"/>
      </w:pPr>
      <w:r>
        <w:t>7.1 Theoretical implications</w:t>
      </w:r>
    </w:p>
    <w:p>
      <w:r>
        <w:t xml:space="preserve">The study advances theory in two disciplined ways. It reframes metaverse branding as a configurational phenomenon, providing an empirical demonstration of equifinality and the absence of necessary conditions, which neither Flow Theory nor SDT alone anticipates. And it integrates the two theories at the level of </w:t>
      </w:r>
      <w:r>
        <w:rPr>
          <w:i/>
        </w:rPr>
        <w:t>mechanism</w:t>
      </w:r>
      <w:r>
        <w:t>: SDT explains the motivation to enter and sustain immersive brand interaction, while Flow explains why well-designed interaction is experienced as absorbing and high quality, jointly accounting for why engagement and experience co-occur rather than substitute. We note that this study does not measure SDT's needs (autonomy, competence, relatedness) or Flow's antecedents directly; these are framing mechanisms, and testing them as measured constructs is an explicit avenue for future work.</w:t>
      </w:r>
    </w:p>
    <w:p>
      <w:pPr>
        <w:pStyle w:val="Heading2"/>
      </w:pPr>
      <w:r>
        <w:t>7.2 Managerial implications</w:t>
      </w:r>
    </w:p>
    <w:p>
      <w:r>
        <w:t>The configurational results translate into bundle-level guidance, each anchored to a specific configuration in Table 6:</w:t>
      </w:r>
    </w:p>
    <w:p>
      <w:pPr>
        <w:pStyle w:val="ListBullet"/>
      </w:pPr>
      <w:r>
        <w:rPr>
          <w:b/>
        </w:rPr>
        <w:t>Prioritize the triadic bundle where resources allow (C1).</w:t>
      </w:r>
      <w:r>
        <w:t xml:space="preserve"> The most consistent pathway combines satisfaction, experience, and engagement; brands able to invest across all three obtain the most reliable route to brand success.</w:t>
      </w:r>
    </w:p>
    <w:p>
      <w:pPr>
        <w:pStyle w:val="ListBullet"/>
      </w:pPr>
      <w:r>
        <w:rPr>
          <w:b/>
        </w:rPr>
        <w:t>Use satisfaction-anchored bundles as efficient alternatives (C2, C3).</w:t>
      </w:r>
      <w:r>
        <w:t xml:space="preserve"> Where full investment is not feasible, pairing brand satisfaction with </w:t>
      </w:r>
      <w:r>
        <w:rPr>
          <w:i/>
        </w:rPr>
        <w:t>either</w:t>
      </w:r>
      <w:r>
        <w:t xml:space="preserve"> a high-quality immersive experience </w:t>
      </w:r>
      <w:r>
        <w:rPr>
          <w:i/>
        </w:rPr>
        <w:t>or</w:t>
      </w:r>
      <w:r>
        <w:t xml:space="preserve"> active engagement is associated with favourable outcomes, giving managers two substitutable second-best options.</w:t>
      </w:r>
    </w:p>
    <w:p>
      <w:pPr>
        <w:pStyle w:val="ListBullet"/>
      </w:pPr>
      <w:r>
        <w:rPr>
          <w:b/>
        </w:rPr>
        <w:t>Do not neglect experience-plus-engagement even without leading satisfaction (C4).</w:t>
      </w:r>
      <w:r>
        <w:t xml:space="preserve"> Immersive, participatory design can be associated with brand success on its own terms.</w:t>
      </w:r>
    </w:p>
    <w:p>
      <w:r>
        <w:t>Because the evidence base is four constructs measured cross-sectionally, we do not extend these recommendations to specific technologies (for example, NFT interoperability, smart contracts, or blockchain mechanics) that were not measured. Such tactics are promising but lie beyond what these data can support, and we relocate them to future research rather than present them as findings.</w:t>
      </w:r>
    </w:p>
    <w:p>
      <w:pPr>
        <w:pStyle w:val="Heading2"/>
      </w:pPr>
      <w:r>
        <w:t>7.3 Scoping the relevance of the findings</w:t>
      </w:r>
    </w:p>
    <w:p>
      <w:r>
        <w:t>The managerial value of these results depends on where immersive brand activity is actually concentrated. Given that several large firms have scaled back dedicated metaverse programs while immersive-social platforms (e.g., Roblox, Fortnite) retain large active audiences, we scope our implications to brands operating on high-traffic immersive-social platforms and to growth markets such as India, rather than to the metaverse as a universal channel. This positions the contribution honestly within the current, uncertain commercial trajectory of the technology.</w:t>
      </w:r>
    </w:p>
    <w:p>
      <w:pPr>
        <w:pStyle w:val="Heading1"/>
      </w:pPr>
      <w:r>
        <w:t>8. Limitations and Future Research</w:t>
      </w:r>
    </w:p>
    <w:p>
      <w:r>
        <w:t>Several limitations bound the contribution. First, the sample comprises active, experienced users in a single country; casual and prospective users are under-represented, limiting generalization. Second, the design measures four constructs cross-sectionally, so it cannot capture temporal dynamics or directly test the SDT and Flow mechanisms as measured variables; longitudinal and mechanism-level designs are needed. Third, and most importantly for inference, the fsQCA configurational consistencies are modest (0.60–0.71) and the solution consistency (0.756) is borderline against conventional thresholds; the configurations should be read as suggestive, and future work should strengthen them through recalibration, larger and more diverse samples, and triangulation with variance-based models. Fourth, ethical dimensions of immersive branding (privacy, potential for addiction, exploitation) were outside scope and merit dedicated study.</w:t>
      </w:r>
    </w:p>
    <w:p>
      <w:pPr>
        <w:pStyle w:val="Heading1"/>
      </w:pPr>
      <w:r>
        <w:t>9. Conclusion</w:t>
      </w:r>
    </w:p>
    <w:p>
      <w:r>
        <w:t xml:space="preserve">Brand success in the metaverse is not driven by any single factor. Using an integrated Flow–SDT framework and fsQCA on data from 312 active users, we find that brand success is associated with </w:t>
      </w:r>
      <w:r>
        <w:rPr>
          <w:i/>
        </w:rPr>
        <w:t>combinations</w:t>
      </w:r>
      <w:r>
        <w:t xml:space="preserve"> of engagement, experience, and satisfaction, that no single condition is necessary, and that satisfaction-anchored and fully triadic bundles offer the most consistent pathways. The study's contribution is the configurational, theory-grounded account, not the rediscovery of familiar bivariate links, and its claims are scoped to the platforms and markets where immersive brand activity is currently concentrated.</w:t>
      </w:r>
    </w:p>
    <w:p>
      <w:pPr>
        <w:pStyle w:val="Heading1"/>
      </w:pPr>
      <w:r>
        <w:t>References</w:t>
      </w:r>
    </w:p>
    <w:p>
      <w:r>
        <w:rPr>
          <w:i/>
        </w:rPr>
        <w:t>(The original manuscript's reference list is retained and should be merged in full. Key sources cited in this revision are listed below; newly added methodological references are marked with †.)</w:t>
      </w:r>
    </w:p>
    <w:p>
      <w:pPr>
        <w:pStyle w:val="ListBullet"/>
      </w:pPr>
      <w:r>
        <w:t xml:space="preserve">Arya, V., Sambyal, R., Sharma, A., &amp; Dwivedi, Y. K. (2024a). Brands are calling your AVATAR in Metaverse. </w:t>
      </w:r>
      <w:r>
        <w:rPr>
          <w:i/>
        </w:rPr>
        <w:t>Journal of Consumer Behaviour</w:t>
      </w:r>
      <w:r>
        <w:t>, 23(2), 556–585.</w:t>
      </w:r>
    </w:p>
    <w:p>
      <w:pPr>
        <w:pStyle w:val="ListBullet"/>
      </w:pPr>
      <w:r>
        <w:t xml:space="preserve">Bagozzi, R. P., &amp; Yi, Y. (1988). On the evaluation of structural equation models. </w:t>
      </w:r>
      <w:r>
        <w:rPr>
          <w:i/>
        </w:rPr>
        <w:t>Journal of the Academy of Marketing Science</w:t>
      </w:r>
      <w:r>
        <w:t>, 16(1), 74–94.</w:t>
      </w:r>
    </w:p>
    <w:p>
      <w:pPr>
        <w:pStyle w:val="ListBullet"/>
      </w:pPr>
      <w:r>
        <w:t xml:space="preserve">Basu, B., Kar, A. K., &amp; Sen, S. (2024). Antecedents of user experience in the immersive metaverse ecosystem. </w:t>
      </w:r>
      <w:r>
        <w:rPr>
          <w:i/>
        </w:rPr>
        <w:t>Communications of the AIS</w:t>
      </w:r>
      <w:r>
        <w:t>, 55(1), 13.</w:t>
      </w:r>
    </w:p>
    <w:p>
      <w:pPr>
        <w:pStyle w:val="ListBullet"/>
      </w:pPr>
      <w:r>
        <w:t xml:space="preserve">Bilgihan, A., Leong, A. M. W., Okumus, F., &amp; Bai, J. (2024). Proposing a metaverse engagement model for brand development. </w:t>
      </w:r>
      <w:r>
        <w:rPr>
          <w:i/>
        </w:rPr>
        <w:t>Journal of Retailing and Consumer Services</w:t>
      </w:r>
      <w:r>
        <w:t>, 78, 103781.</w:t>
      </w:r>
    </w:p>
    <w:p>
      <w:pPr>
        <w:pStyle w:val="ListBullet"/>
      </w:pPr>
      <w:r>
        <w:t xml:space="preserve">Brodie, R. J., Hollebeek, L. D., Jurić, B., &amp; Ilić, A. (2011). Customer engagement. </w:t>
      </w:r>
      <w:r>
        <w:rPr>
          <w:i/>
        </w:rPr>
        <w:t>Journal of Service Research</w:t>
      </w:r>
      <w:r>
        <w:t>, 14(3), 252–271.</w:t>
      </w:r>
    </w:p>
    <w:p>
      <w:pPr>
        <w:pStyle w:val="ListBullet"/>
      </w:pPr>
      <w:r>
        <w:t xml:space="preserve">Cadet, L. B., &amp; Chainay, H. (2020). Memory of virtual experiences. </w:t>
      </w:r>
      <w:r>
        <w:rPr>
          <w:i/>
        </w:rPr>
        <w:t>International Journal of Human-Computer Studies</w:t>
      </w:r>
      <w:r>
        <w:t>, 144, 102506.</w:t>
      </w:r>
    </w:p>
    <w:p>
      <w:pPr>
        <w:pStyle w:val="ListBullet"/>
      </w:pPr>
      <w:r>
        <w:t xml:space="preserve">Csikszentmihalyi, M. (1990). </w:t>
      </w:r>
      <w:r>
        <w:rPr>
          <w:i/>
        </w:rPr>
        <w:t>Flow: The Psychology of Optimal Experience</w:t>
      </w:r>
      <w:r>
        <w:t>. Harper &amp; Row.</w:t>
      </w:r>
    </w:p>
    <w:p>
      <w:pPr>
        <w:pStyle w:val="ListBullet"/>
      </w:pPr>
      <w:r>
        <w:t xml:space="preserve">Deci, E. L., &amp; Ryan, R. M. (2000). The "what" and "why" of goal pursuits. </w:t>
      </w:r>
      <w:r>
        <w:rPr>
          <w:i/>
        </w:rPr>
        <w:t>Psychological Inquiry</w:t>
      </w:r>
      <w:r>
        <w:t>, 11(4), 227–268.</w:t>
      </w:r>
    </w:p>
    <w:p>
      <w:pPr>
        <w:pStyle w:val="ListBullet"/>
      </w:pPr>
      <w:r>
        <w:t xml:space="preserve">Dwivedi, Y. K., et al. (2023). Metaverse marketing. </w:t>
      </w:r>
      <w:r>
        <w:rPr>
          <w:i/>
        </w:rPr>
        <w:t>Psychology &amp; Marketing</w:t>
      </w:r>
      <w:r>
        <w:t>, 40(4), 750–776.</w:t>
      </w:r>
    </w:p>
    <w:p>
      <w:pPr>
        <w:pStyle w:val="ListBullet"/>
      </w:pPr>
      <w:r>
        <w:t>† eMarketer (2023). Generative AI dominates marketers' minds; metaverse collecting dust. eMarketer/Insider Intelligence.</w:t>
      </w:r>
    </w:p>
    <w:p>
      <w:pPr>
        <w:pStyle w:val="ListBullet"/>
      </w:pPr>
      <w:r>
        <w:t xml:space="preserve">Fornell, C., &amp; Larcker, D. F. (1981). Evaluating structural equation models with unobservable variables. </w:t>
      </w:r>
      <w:r>
        <w:rPr>
          <w:i/>
        </w:rPr>
        <w:t>Journal of Marketing Research</w:t>
      </w:r>
      <w:r>
        <w:t>, 18(1), 39–50.</w:t>
      </w:r>
    </w:p>
    <w:p>
      <w:pPr>
        <w:pStyle w:val="ListBullet"/>
      </w:pPr>
      <w:r>
        <w:t xml:space="preserve">Fornell, C., Johnson, M. D., Anderson, E. W., Cha, J., &amp; Bryant, B. E. (1996). The American Customer Satisfaction Index. </w:t>
      </w:r>
      <w:r>
        <w:rPr>
          <w:i/>
        </w:rPr>
        <w:t>Journal of Marketing</w:t>
      </w:r>
      <w:r>
        <w:t>, 60(4), 7–18.</w:t>
      </w:r>
    </w:p>
    <w:p>
      <w:pPr>
        <w:pStyle w:val="ListBullet"/>
      </w:pPr>
      <w:r>
        <w:t xml:space="preserve">Furnari, S., et al. (2021). Capturing causal complexity. </w:t>
      </w:r>
      <w:r>
        <w:rPr>
          <w:i/>
        </w:rPr>
        <w:t>Academy of Management Review</w:t>
      </w:r>
      <w:r>
        <w:t>, 46(4), 778–799.</w:t>
      </w:r>
    </w:p>
    <w:p>
      <w:pPr>
        <w:pStyle w:val="ListBullet"/>
      </w:pPr>
      <w:r>
        <w:t xml:space="preserve">† Grewal, D., et al. (2023). The impact of in-store inspirational communication on spending. </w:t>
      </w:r>
      <w:r>
        <w:rPr>
          <w:i/>
        </w:rPr>
        <w:t>Journal of Marketing Research</w:t>
      </w:r>
      <w:r>
        <w:t>.</w:t>
      </w:r>
    </w:p>
    <w:p>
      <w:pPr>
        <w:pStyle w:val="ListBullet"/>
      </w:pPr>
      <w:r>
        <w:t xml:space="preserve">Hair, J. F., Risher, J. J., Sarstedt, M., &amp; Ringle, C. M. (2019). When to use and how to report PLS-SEM. </w:t>
      </w:r>
      <w:r>
        <w:rPr>
          <w:i/>
        </w:rPr>
        <w:t>European Business Review</w:t>
      </w:r>
      <w:r>
        <w:t>, 31(1), 2–24.</w:t>
      </w:r>
    </w:p>
    <w:p>
      <w:pPr>
        <w:pStyle w:val="ListBullet"/>
      </w:pPr>
      <w:r>
        <w:t xml:space="preserve">Hennig-Thurau, T., et al. (2023). Metaverse and marketing. </w:t>
      </w:r>
      <w:r>
        <w:rPr>
          <w:i/>
        </w:rPr>
        <w:t>Journal of the Academy of Marketing Science</w:t>
      </w:r>
      <w:r>
        <w:t>.</w:t>
      </w:r>
    </w:p>
    <w:p>
      <w:pPr>
        <w:pStyle w:val="ListBullet"/>
      </w:pPr>
      <w:r>
        <w:t xml:space="preserve">Henseler, J., Ringle, C. M., &amp; Sarstedt, M. (2015). HTMT criterion. </w:t>
      </w:r>
      <w:r>
        <w:rPr>
          <w:i/>
        </w:rPr>
        <w:t>Journal of the Academy of Marketing Science</w:t>
      </w:r>
      <w:r>
        <w:t>, 43(1), 115–135.</w:t>
      </w:r>
    </w:p>
    <w:p>
      <w:pPr>
        <w:pStyle w:val="ListBullet"/>
      </w:pPr>
      <w:r>
        <w:t xml:space="preserve">Hollebeek, L. D., et al. (2022). Digital brand engagement. </w:t>
      </w:r>
      <w:r>
        <w:rPr>
          <w:i/>
        </w:rPr>
        <w:t>Journal of Business Research</w:t>
      </w:r>
      <w:r>
        <w:t>.</w:t>
      </w:r>
    </w:p>
    <w:p>
      <w:pPr>
        <w:pStyle w:val="ListBullet"/>
      </w:pPr>
      <w:r>
        <w:t xml:space="preserve">† Kock, N. (2015). Common method bias in PLS-SEM: A full collinearity assessment approach. </w:t>
      </w:r>
      <w:r>
        <w:rPr>
          <w:i/>
        </w:rPr>
        <w:t>International Journal of e-Collaboration</w:t>
      </w:r>
      <w:r>
        <w:t>, 11(4), 1–10.</w:t>
      </w:r>
    </w:p>
    <w:p>
      <w:pPr>
        <w:pStyle w:val="ListBullet"/>
      </w:pPr>
      <w:r>
        <w:t xml:space="preserve">Mathwick, C., Wiertz, C., &amp; De Ruyter, K. (2008). Social capital production in a virtual P3 community. </w:t>
      </w:r>
      <w:r>
        <w:rPr>
          <w:i/>
        </w:rPr>
        <w:t>Journal of Consumer Research</w:t>
      </w:r>
      <w:r>
        <w:t>, 34(6), 832–849.</w:t>
      </w:r>
    </w:p>
    <w:p>
      <w:pPr>
        <w:pStyle w:val="ListBullet"/>
      </w:pPr>
      <w:r>
        <w:t xml:space="preserve">O'Brien, H. L., &amp; Toms, E. G. (2010). The development and evaluation of a survey to measure user engagement. </w:t>
      </w:r>
      <w:r>
        <w:rPr>
          <w:i/>
        </w:rPr>
        <w:t>Journal of the American Society for Information Science and Technology</w:t>
      </w:r>
      <w:r>
        <w:t>, 61(1), 50–69.</w:t>
      </w:r>
    </w:p>
    <w:p>
      <w:pPr>
        <w:pStyle w:val="ListBullet"/>
      </w:pPr>
      <w:r>
        <w:t xml:space="preserve">† Pappas, I. O., &amp; Woodside, A. G. (2021). Fuzzy-set qualitative comparative analysis (fsQCA): Guidelines. </w:t>
      </w:r>
      <w:r>
        <w:rPr>
          <w:i/>
        </w:rPr>
        <w:t>International Journal of Information Management</w:t>
      </w:r>
      <w:r>
        <w:t>, 58, 102310.</w:t>
      </w:r>
    </w:p>
    <w:p>
      <w:pPr>
        <w:pStyle w:val="ListBullet"/>
      </w:pPr>
      <w:r>
        <w:t xml:space="preserve">Payal, R., et al. (2024). Metaverse adoption in India. </w:t>
      </w:r>
      <w:r>
        <w:rPr>
          <w:i/>
        </w:rPr>
        <w:t>[as in original]</w:t>
      </w:r>
      <w:r>
        <w:t>.</w:t>
      </w:r>
    </w:p>
    <w:p>
      <w:pPr>
        <w:pStyle w:val="ListBullet"/>
      </w:pPr>
      <w:r>
        <w:t xml:space="preserve">Podsakoff, P. M., MacKenzie, S. B., Lee, J.-Y., &amp; Podsakoff, N. P. (2003). Common method biases in behavioral research. </w:t>
      </w:r>
      <w:r>
        <w:rPr>
          <w:i/>
        </w:rPr>
        <w:t>Journal of Applied Psychology</w:t>
      </w:r>
      <w:r>
        <w:t>, 88(5), 879–903.</w:t>
      </w:r>
    </w:p>
    <w:p>
      <w:pPr>
        <w:pStyle w:val="ListBullet"/>
      </w:pPr>
      <w:r>
        <w:t xml:space="preserve">Ragin, C. C. (2008). </w:t>
      </w:r>
      <w:r>
        <w:rPr>
          <w:i/>
        </w:rPr>
        <w:t>Redesigning Social Inquiry: Fuzzy Sets and Beyond</w:t>
      </w:r>
      <w:r>
        <w:t>. University of Chicago Press.</w:t>
      </w:r>
    </w:p>
    <w:p>
      <w:pPr>
        <w:pStyle w:val="ListBullet"/>
      </w:pPr>
      <w:r>
        <w:t xml:space="preserve">Thaichon, P., et al. (2022). Customer experience and loyalty. </w:t>
      </w:r>
      <w:r>
        <w:rPr>
          <w:i/>
        </w:rPr>
        <w:t>[as in original]</w:t>
      </w:r>
      <w:r>
        <w:t>.</w:t>
      </w:r>
    </w:p>
    <w:p>
      <w:pPr>
        <w:pStyle w:val="ListBullet"/>
      </w:pPr>
      <w:r>
        <w:t xml:space="preserve">Xie, J., &amp; Muralidharan, S. (2023). Consumer NFT ownership and brand identity. </w:t>
      </w:r>
      <w:r>
        <w:rPr>
          <w:i/>
        </w:rPr>
        <w:t>[as in original]</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