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0"/>
        </w:rPr>
        <w:t>Results</w:t>
      </w:r>
    </w:p>
    <w:p>
      <w:pPr>
        <w:jc w:val="both"/>
      </w:pPr>
      <w:r>
        <w:rPr>
          <w:rFonts w:ascii="Times New Roman" w:hAnsi="Times New Roman"/>
          <w:sz w:val="22"/>
        </w:rPr>
        <w:t>This section reports the empirical findings in two stages. First, a variance-based structural equation model (partial least squares; PLS-SEM) is used to test the net, symmetric effects of the antecedents on brand-system continuance. Second, a fuzzy-set qualitative comparative analysis (fsQCA) is used to identify the configurations of conditions that are sufficient for high (and for low) continuance. The combination follows the established recommendation in the information-systems literature to triangulate correlational (PLS-SEM) and configurational (fsQCA) logics, because the two approaches answer complementary questions: PLS-SEM estimates the average marginal contribution of each antecedent, whereas fsQCA recovers the combinations of antecedents that are jointly sufficient for the outcome and explicitly allows for equifinality and causal asymmetry (Ragin, 2008; Woodside, 2013; Pappas &amp; Woodside, 2021).</w:t>
      </w:r>
    </w:p>
    <w:p>
      <w:pPr>
        <w:jc w:val="both"/>
      </w:pPr>
      <w:r>
        <w:rPr>
          <w:rFonts w:ascii="Times New Roman" w:hAnsi="Times New Roman"/>
          <w:sz w:val="22"/>
        </w:rPr>
        <w:t>The constructs analysed in this study are defined in Table 3.</w:t>
      </w:r>
    </w:p>
    <w:p>
      <w:pPr>
        <w:spacing w:before="120" w:after="60"/>
      </w:pPr>
      <w:r>
        <w:rPr>
          <w:rFonts w:ascii="Times New Roman" w:hAnsi="Times New Roman"/>
          <w:b/>
          <w:sz w:val="20"/>
        </w:rPr>
        <w:t>Table 1.</w:t>
      </w:r>
      <w:r>
        <w:rPr>
          <w:rFonts w:ascii="Times New Roman" w:hAnsi="Times New Roman"/>
          <w:sz w:val="20"/>
        </w:rPr>
        <w:t xml:space="preserve"> Construct definitions and item composition.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5496"/>
          </w:tcPr>
          <w:p>
            <w:pPr>
              <w:jc w:val="center"/>
            </w:pPr>
            <w:r/>
            <w:r>
              <w:rPr>
                <w:rFonts w:ascii="Times New Roman" w:hAnsi="Times New Roman"/>
                <w:b/>
                <w:color w:val="FFFFFF"/>
                <w:sz w:val="18"/>
              </w:rPr>
              <w:t>Code</w:t>
            </w:r>
          </w:p>
        </w:tc>
        <w:tc>
          <w:tcPr>
            <w:tcW w:type="dxa" w:w="3120"/>
            <w:shd w:val="clear" w:color="auto" w:fill="2E5496"/>
          </w:tcPr>
          <w:p>
            <w:pPr>
              <w:jc w:val="center"/>
            </w:pPr>
            <w:r/>
            <w:r>
              <w:rPr>
                <w:rFonts w:ascii="Times New Roman" w:hAnsi="Times New Roman"/>
                <w:b/>
                <w:color w:val="FFFFFF"/>
                <w:sz w:val="18"/>
              </w:rPr>
              <w:t>Construct</w:t>
            </w:r>
          </w:p>
        </w:tc>
        <w:tc>
          <w:tcPr>
            <w:tcW w:type="dxa" w:w="3120"/>
            <w:shd w:val="clear" w:color="auto" w:fill="2E5496"/>
          </w:tcPr>
          <w:p>
            <w:pPr>
              <w:jc w:val="center"/>
            </w:pPr>
            <w:r/>
            <w:r>
              <w:rPr>
                <w:rFonts w:ascii="Times New Roman" w:hAnsi="Times New Roman"/>
                <w:b/>
                <w:color w:val="FFFFFF"/>
                <w:sz w:val="18"/>
              </w:rPr>
              <w:t>Items</w:t>
            </w:r>
          </w:p>
        </w:tc>
      </w:tr>
      <w:tr>
        <w:tc>
          <w:tcPr>
            <w:tcW w:type="dxa" w:w="3120"/>
          </w:tcPr>
          <w:p>
            <w:r/>
            <w:r>
              <w:rPr>
                <w:rFonts w:ascii="Times New Roman" w:hAnsi="Times New Roman"/>
                <w:sz w:val="18"/>
              </w:rPr>
              <w:t>UE</w:t>
            </w:r>
          </w:p>
        </w:tc>
        <w:tc>
          <w:tcPr>
            <w:tcW w:type="dxa" w:w="3120"/>
          </w:tcPr>
          <w:p>
            <w:r/>
            <w:r>
              <w:rPr>
                <w:rFonts w:ascii="Times New Roman" w:hAnsi="Times New Roman"/>
                <w:sz w:val="18"/>
              </w:rPr>
              <w:t>User Engagement</w:t>
            </w:r>
          </w:p>
        </w:tc>
        <w:tc>
          <w:tcPr>
            <w:tcW w:type="dxa" w:w="3120"/>
          </w:tcPr>
          <w:p>
            <w:r/>
            <w:r>
              <w:rPr>
                <w:rFonts w:ascii="Times New Roman" w:hAnsi="Times New Roman"/>
                <w:sz w:val="18"/>
              </w:rPr>
              <w:t>UE1–UE5</w:t>
            </w:r>
          </w:p>
        </w:tc>
      </w:tr>
      <w:tr>
        <w:tc>
          <w:tcPr>
            <w:tcW w:type="dxa" w:w="3120"/>
          </w:tcPr>
          <w:p>
            <w:r/>
            <w:r>
              <w:rPr>
                <w:rFonts w:ascii="Times New Roman" w:hAnsi="Times New Roman"/>
                <w:sz w:val="18"/>
              </w:rPr>
              <w:t>UX</w:t>
            </w:r>
          </w:p>
        </w:tc>
        <w:tc>
          <w:tcPr>
            <w:tcW w:type="dxa" w:w="3120"/>
          </w:tcPr>
          <w:p>
            <w:r/>
            <w:r>
              <w:rPr>
                <w:rFonts w:ascii="Times New Roman" w:hAnsi="Times New Roman"/>
                <w:sz w:val="18"/>
              </w:rPr>
              <w:t>User Experience</w:t>
            </w:r>
          </w:p>
        </w:tc>
        <w:tc>
          <w:tcPr>
            <w:tcW w:type="dxa" w:w="3120"/>
          </w:tcPr>
          <w:p>
            <w:r/>
            <w:r>
              <w:rPr>
                <w:rFonts w:ascii="Times New Roman" w:hAnsi="Times New Roman"/>
                <w:sz w:val="18"/>
              </w:rPr>
              <w:t>UX1–UX5</w:t>
            </w:r>
          </w:p>
        </w:tc>
      </w:tr>
      <w:tr>
        <w:tc>
          <w:tcPr>
            <w:tcW w:type="dxa" w:w="3120"/>
          </w:tcPr>
          <w:p>
            <w:r/>
            <w:r>
              <w:rPr>
                <w:rFonts w:ascii="Times New Roman" w:hAnsi="Times New Roman"/>
                <w:sz w:val="18"/>
              </w:rPr>
              <w:t>BSAT</w:t>
            </w:r>
          </w:p>
        </w:tc>
        <w:tc>
          <w:tcPr>
            <w:tcW w:type="dxa" w:w="3120"/>
          </w:tcPr>
          <w:p>
            <w:r/>
            <w:r>
              <w:rPr>
                <w:rFonts w:ascii="Times New Roman" w:hAnsi="Times New Roman"/>
                <w:sz w:val="18"/>
              </w:rPr>
              <w:t>Brand-System Satisfaction</w:t>
            </w:r>
          </w:p>
        </w:tc>
        <w:tc>
          <w:tcPr>
            <w:tcW w:type="dxa" w:w="3120"/>
          </w:tcPr>
          <w:p>
            <w:r/>
            <w:r>
              <w:rPr>
                <w:rFonts w:ascii="Times New Roman" w:hAnsi="Times New Roman"/>
                <w:sz w:val="18"/>
              </w:rPr>
              <w:t>BSAT1–BSAT4</w:t>
            </w:r>
          </w:p>
        </w:tc>
      </w:tr>
      <w:tr>
        <w:tc>
          <w:tcPr>
            <w:tcW w:type="dxa" w:w="3120"/>
          </w:tcPr>
          <w:p>
            <w:r/>
            <w:r>
              <w:rPr>
                <w:rFonts w:ascii="Times New Roman" w:hAnsi="Times New Roman"/>
                <w:sz w:val="18"/>
              </w:rPr>
              <w:t>BSUC</w:t>
            </w:r>
          </w:p>
        </w:tc>
        <w:tc>
          <w:tcPr>
            <w:tcW w:type="dxa" w:w="3120"/>
          </w:tcPr>
          <w:p>
            <w:r/>
            <w:r>
              <w:rPr>
                <w:rFonts w:ascii="Times New Roman" w:hAnsi="Times New Roman"/>
                <w:sz w:val="18"/>
              </w:rPr>
              <w:t>Brand-System Use Continuance (outcome)</w:t>
            </w:r>
          </w:p>
        </w:tc>
        <w:tc>
          <w:tcPr>
            <w:tcW w:type="dxa" w:w="3120"/>
          </w:tcPr>
          <w:p>
            <w:r/>
            <w:r>
              <w:rPr>
                <w:rFonts w:ascii="Times New Roman" w:hAnsi="Times New Roman"/>
                <w:sz w:val="18"/>
              </w:rPr>
              <w:t>BSUC1–BSUC4</w:t>
            </w:r>
          </w:p>
        </w:tc>
      </w:tr>
    </w:tbl>
    <w:p>
      <w:pPr>
        <w:spacing w:after="40"/>
      </w:pPr>
    </w:p>
    <w:p>
      <w:pPr>
        <w:spacing w:before="240" w:after="120"/>
      </w:pPr>
      <w:r>
        <w:rPr>
          <w:rFonts w:ascii="Times New Roman" w:hAnsi="Times New Roman"/>
          <w:b/>
          <w:color w:val="1F3864"/>
          <w:sz w:val="26"/>
        </w:rPr>
        <w:t>1. Sample, data screening, and common method bias</w:t>
      </w:r>
    </w:p>
    <w:p>
      <w:pPr>
        <w:spacing w:before="160" w:after="60"/>
      </w:pPr>
      <w:r>
        <w:rPr>
          <w:rFonts w:ascii="Times New Roman" w:hAnsi="Times New Roman"/>
          <w:b/>
          <w:i/>
          <w:color w:val="2E5496"/>
          <w:sz w:val="23"/>
        </w:rPr>
        <w:t>1.1 Sample characteristics</w:t>
      </w:r>
    </w:p>
    <w:p>
      <w:pPr>
        <w:jc w:val="both"/>
      </w:pPr>
      <w:r>
        <w:rPr>
          <w:rFonts w:ascii="Times New Roman" w:hAnsi="Times New Roman"/>
          <w:sz w:val="22"/>
        </w:rPr>
        <w:t>The final sample comprised 312 complete responses from active users of avatar-mediated (metaverse-type) platforms in India; all 312 cases were retained, as there were no missing values across the 20 items and no straight-line response patterns. The demographic and platform-usage profile of the sample is summarised in Table 4.</w:t>
      </w:r>
    </w:p>
    <w:p>
      <w:pPr>
        <w:jc w:val="both"/>
      </w:pPr>
      <w:r>
        <w:rPr>
          <w:rFonts w:ascii="Times New Roman" w:hAnsi="Times New Roman"/>
          <w:sz w:val="22"/>
        </w:rPr>
        <w:t>The sample was reasonably balanced by gender, with a slight majority of women (54.00%, n = 169) relative to men (46.00%, n = 143). Respondents were distributed fairly evenly across the five age bands, from 18–22 years (20.51%) and 23–28 years (24.04%) through to 42–45 years (17.95%), indicating that the sample spans younger and more established adult cohorts rather than being concentrated in a single generation. In terms of marital status, the largest groups were married respondents without children (38.78%) and single respondents (34.29%), followed by married respondents with children (26.93%). Occupationally, the sample combined business professionals (39.10%), salaried employees (32.69%), and students (28.21%), and monthly family income was spread across all bands, with the largest group in the INR 50,001–80,000 range (32.05%) and meaningful representation at both lower (≤ INR 30,000: 18.40%) and higher (≥ INR 80,001: 23.91%) ends.</w:t>
      </w:r>
    </w:p>
    <w:p>
      <w:pPr>
        <w:jc w:val="both"/>
      </w:pPr>
      <w:r>
        <w:rPr>
          <w:rFonts w:ascii="Times New Roman" w:hAnsi="Times New Roman"/>
          <w:sz w:val="22"/>
        </w:rPr>
        <w:t>Crucially for the present study, respondents reported substantial experience with brand-relevant activities in immersive environments. A clear majority engaged with metaverse-type platforms at least weekly (71.46%: daily 16.67%, several times a week 31.41%, weekly 23.38%), and the remainder did so monthly (17.31%) or rarely (11.21%). Beyond mere access, large proportions of respondents had participated in behaviours central to brand experience in these settings: social interaction and content creation (52.56%), NFT interaction (45.19%), and virtual-event participation (41.35%). Together, this profile confirms that the respondents possessed meaningful, behaviourally grounded exposure to brands in avatar-mediated environments, supporting the relevance of the sample to the research questions.</w:t>
      </w:r>
    </w:p>
    <w:p>
      <w:pPr>
        <w:spacing w:before="120" w:after="60"/>
      </w:pPr>
      <w:r>
        <w:rPr>
          <w:rFonts w:ascii="Times New Roman" w:hAnsi="Times New Roman"/>
          <w:b/>
          <w:sz w:val="20"/>
        </w:rPr>
        <w:t>Table 2.</w:t>
      </w:r>
      <w:r>
        <w:rPr>
          <w:rFonts w:ascii="Times New Roman" w:hAnsi="Times New Roman"/>
          <w:sz w:val="20"/>
        </w:rPr>
        <w:t xml:space="preserve"> Sample profile (N = 312).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5496"/>
          </w:tcPr>
          <w:p>
            <w:pPr>
              <w:jc w:val="center"/>
            </w:pPr>
            <w:r/>
            <w:r>
              <w:rPr>
                <w:rFonts w:ascii="Times New Roman" w:hAnsi="Times New Roman"/>
                <w:b/>
                <w:color w:val="FFFFFF"/>
                <w:sz w:val="18"/>
              </w:rPr>
              <w:t>Participants' information</w:t>
            </w:r>
          </w:p>
        </w:tc>
        <w:tc>
          <w:tcPr>
            <w:tcW w:type="dxa" w:w="1560"/>
            <w:shd w:val="clear" w:color="auto" w:fill="2E5496"/>
          </w:tcPr>
          <w:p>
            <w:pPr>
              <w:jc w:val="center"/>
            </w:pPr>
            <w:r/>
            <w:r>
              <w:rPr>
                <w:rFonts w:ascii="Times New Roman" w:hAnsi="Times New Roman"/>
                <w:b/>
                <w:color w:val="FFFFFF"/>
                <w:sz w:val="18"/>
              </w:rPr>
              <w:t>n</w:t>
            </w:r>
          </w:p>
        </w:tc>
        <w:tc>
          <w:tcPr>
            <w:tcW w:type="dxa" w:w="1560"/>
            <w:shd w:val="clear" w:color="auto" w:fill="2E5496"/>
          </w:tcPr>
          <w:p>
            <w:pPr>
              <w:jc w:val="center"/>
            </w:pPr>
            <w:r/>
            <w:r>
              <w:rPr>
                <w:rFonts w:ascii="Times New Roman" w:hAnsi="Times New Roman"/>
                <w:b/>
                <w:color w:val="FFFFFF"/>
                <w:sz w:val="18"/>
              </w:rPr>
              <w:t>%</w:t>
            </w:r>
          </w:p>
        </w:tc>
        <w:tc>
          <w:tcPr>
            <w:tcW w:type="dxa" w:w="1560"/>
            <w:shd w:val="clear" w:color="auto" w:fill="2E5496"/>
          </w:tcPr>
          <w:p>
            <w:pPr>
              <w:jc w:val="center"/>
            </w:pPr>
            <w:r/>
            <w:r>
              <w:rPr>
                <w:rFonts w:ascii="Times New Roman" w:hAnsi="Times New Roman"/>
                <w:b/>
                <w:color w:val="FFFFFF"/>
                <w:sz w:val="18"/>
              </w:rPr>
              <w:t>Participants' information</w:t>
            </w:r>
          </w:p>
        </w:tc>
        <w:tc>
          <w:tcPr>
            <w:tcW w:type="dxa" w:w="1560"/>
            <w:shd w:val="clear" w:color="auto" w:fill="2E5496"/>
          </w:tcPr>
          <w:p>
            <w:pPr>
              <w:jc w:val="center"/>
            </w:pPr>
            <w:r/>
            <w:r>
              <w:rPr>
                <w:rFonts w:ascii="Times New Roman" w:hAnsi="Times New Roman"/>
                <w:b/>
                <w:color w:val="FFFFFF"/>
                <w:sz w:val="18"/>
              </w:rPr>
              <w:t>n</w:t>
            </w:r>
          </w:p>
        </w:tc>
        <w:tc>
          <w:tcPr>
            <w:tcW w:type="dxa" w:w="1560"/>
            <w:shd w:val="clear" w:color="auto" w:fill="2E5496"/>
          </w:tcPr>
          <w:p>
            <w:pPr>
              <w:jc w:val="center"/>
            </w:pPr>
            <w:r/>
            <w:r>
              <w:rPr>
                <w:rFonts w:ascii="Times New Roman" w:hAnsi="Times New Roman"/>
                <w:b/>
                <w:color w:val="FFFFFF"/>
                <w:sz w:val="18"/>
              </w:rPr>
              <w:t>%</w:t>
            </w:r>
          </w:p>
        </w:tc>
      </w:tr>
      <w:tr>
        <w:tc>
          <w:tcPr>
            <w:tcW w:type="dxa" w:w="1560"/>
          </w:tcPr>
          <w:p>
            <w:r/>
            <w:r>
              <w:rPr>
                <w:rFonts w:ascii="Times New Roman" w:hAnsi="Times New Roman"/>
                <w:sz w:val="18"/>
              </w:rPr>
              <w:t>Gender</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Metaverse engagement frequency</w:t>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Male</w:t>
            </w:r>
          </w:p>
        </w:tc>
        <w:tc>
          <w:tcPr>
            <w:tcW w:type="dxa" w:w="1560"/>
          </w:tcPr>
          <w:p>
            <w:r/>
            <w:r>
              <w:rPr>
                <w:rFonts w:ascii="Times New Roman" w:hAnsi="Times New Roman"/>
                <w:sz w:val="18"/>
              </w:rPr>
              <w:t>143</w:t>
            </w:r>
          </w:p>
        </w:tc>
        <w:tc>
          <w:tcPr>
            <w:tcW w:type="dxa" w:w="1560"/>
          </w:tcPr>
          <w:p>
            <w:r/>
            <w:r>
              <w:rPr>
                <w:rFonts w:ascii="Times New Roman" w:hAnsi="Times New Roman"/>
                <w:sz w:val="18"/>
              </w:rPr>
              <w:t>46.00</w:t>
            </w:r>
          </w:p>
        </w:tc>
        <w:tc>
          <w:tcPr>
            <w:tcW w:type="dxa" w:w="1560"/>
          </w:tcPr>
          <w:p>
            <w:r/>
            <w:r>
              <w:rPr>
                <w:rFonts w:ascii="Times New Roman" w:hAnsi="Times New Roman"/>
                <w:sz w:val="18"/>
              </w:rPr>
              <w:t>Daily</w:t>
            </w:r>
          </w:p>
        </w:tc>
        <w:tc>
          <w:tcPr>
            <w:tcW w:type="dxa" w:w="1560"/>
          </w:tcPr>
          <w:p>
            <w:r/>
            <w:r>
              <w:rPr>
                <w:rFonts w:ascii="Times New Roman" w:hAnsi="Times New Roman"/>
                <w:sz w:val="18"/>
              </w:rPr>
              <w:t>52</w:t>
            </w:r>
          </w:p>
        </w:tc>
        <w:tc>
          <w:tcPr>
            <w:tcW w:type="dxa" w:w="1560"/>
          </w:tcPr>
          <w:p>
            <w:r/>
            <w:r>
              <w:rPr>
                <w:rFonts w:ascii="Times New Roman" w:hAnsi="Times New Roman"/>
                <w:sz w:val="18"/>
              </w:rPr>
              <w:t>16.67</w:t>
            </w:r>
          </w:p>
        </w:tc>
      </w:tr>
      <w:tr>
        <w:tc>
          <w:tcPr>
            <w:tcW w:type="dxa" w:w="1560"/>
          </w:tcPr>
          <w:p>
            <w:r/>
            <w:r>
              <w:rPr>
                <w:rFonts w:ascii="Times New Roman" w:hAnsi="Times New Roman"/>
                <w:sz w:val="18"/>
              </w:rPr>
              <w:t>Female</w:t>
            </w:r>
          </w:p>
        </w:tc>
        <w:tc>
          <w:tcPr>
            <w:tcW w:type="dxa" w:w="1560"/>
          </w:tcPr>
          <w:p>
            <w:r/>
            <w:r>
              <w:rPr>
                <w:rFonts w:ascii="Times New Roman" w:hAnsi="Times New Roman"/>
                <w:sz w:val="18"/>
              </w:rPr>
              <w:t>169</w:t>
            </w:r>
          </w:p>
        </w:tc>
        <w:tc>
          <w:tcPr>
            <w:tcW w:type="dxa" w:w="1560"/>
          </w:tcPr>
          <w:p>
            <w:r/>
            <w:r>
              <w:rPr>
                <w:rFonts w:ascii="Times New Roman" w:hAnsi="Times New Roman"/>
                <w:sz w:val="18"/>
              </w:rPr>
              <w:t>54.00</w:t>
            </w:r>
          </w:p>
        </w:tc>
        <w:tc>
          <w:tcPr>
            <w:tcW w:type="dxa" w:w="1560"/>
          </w:tcPr>
          <w:p>
            <w:r/>
            <w:r>
              <w:rPr>
                <w:rFonts w:ascii="Times New Roman" w:hAnsi="Times New Roman"/>
                <w:sz w:val="18"/>
              </w:rPr>
              <w:t>Several times a week</w:t>
            </w:r>
          </w:p>
        </w:tc>
        <w:tc>
          <w:tcPr>
            <w:tcW w:type="dxa" w:w="1560"/>
          </w:tcPr>
          <w:p>
            <w:r/>
            <w:r>
              <w:rPr>
                <w:rFonts w:ascii="Times New Roman" w:hAnsi="Times New Roman"/>
                <w:sz w:val="18"/>
              </w:rPr>
              <w:t>98</w:t>
            </w:r>
          </w:p>
        </w:tc>
        <w:tc>
          <w:tcPr>
            <w:tcW w:type="dxa" w:w="1560"/>
          </w:tcPr>
          <w:p>
            <w:r/>
            <w:r>
              <w:rPr>
                <w:rFonts w:ascii="Times New Roman" w:hAnsi="Times New Roman"/>
                <w:sz w:val="18"/>
              </w:rPr>
              <w:t>31.41</w:t>
            </w:r>
          </w:p>
        </w:tc>
      </w:tr>
      <w:tr>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Weekly</w:t>
            </w:r>
          </w:p>
        </w:tc>
        <w:tc>
          <w:tcPr>
            <w:tcW w:type="dxa" w:w="1560"/>
          </w:tcPr>
          <w:p>
            <w:r/>
            <w:r>
              <w:rPr>
                <w:rFonts w:ascii="Times New Roman" w:hAnsi="Times New Roman"/>
                <w:sz w:val="18"/>
              </w:rPr>
              <w:t>73</w:t>
            </w:r>
          </w:p>
        </w:tc>
        <w:tc>
          <w:tcPr>
            <w:tcW w:type="dxa" w:w="1560"/>
          </w:tcPr>
          <w:p>
            <w:r/>
            <w:r>
              <w:rPr>
                <w:rFonts w:ascii="Times New Roman" w:hAnsi="Times New Roman"/>
                <w:sz w:val="18"/>
              </w:rPr>
              <w:t>23.38</w:t>
            </w:r>
          </w:p>
        </w:tc>
      </w:tr>
      <w:tr>
        <w:tc>
          <w:tcPr>
            <w:tcW w:type="dxa" w:w="1560"/>
          </w:tcPr>
          <w:p>
            <w:r/>
            <w:r>
              <w:rPr>
                <w:rFonts w:ascii="Times New Roman" w:hAnsi="Times New Roman"/>
                <w:sz w:val="18"/>
              </w:rPr>
              <w:t>Age (years)</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Monthly</w:t>
            </w:r>
          </w:p>
        </w:tc>
        <w:tc>
          <w:tcPr>
            <w:tcW w:type="dxa" w:w="1560"/>
          </w:tcPr>
          <w:p>
            <w:r/>
            <w:r>
              <w:rPr>
                <w:rFonts w:ascii="Times New Roman" w:hAnsi="Times New Roman"/>
                <w:sz w:val="18"/>
              </w:rPr>
              <w:t>54</w:t>
            </w:r>
          </w:p>
        </w:tc>
        <w:tc>
          <w:tcPr>
            <w:tcW w:type="dxa" w:w="1560"/>
          </w:tcPr>
          <w:p>
            <w:r/>
            <w:r>
              <w:rPr>
                <w:rFonts w:ascii="Times New Roman" w:hAnsi="Times New Roman"/>
                <w:sz w:val="18"/>
              </w:rPr>
              <w:t>17.31</w:t>
            </w:r>
          </w:p>
        </w:tc>
      </w:tr>
      <w:tr>
        <w:tc>
          <w:tcPr>
            <w:tcW w:type="dxa" w:w="1560"/>
          </w:tcPr>
          <w:p>
            <w:r/>
            <w:r>
              <w:rPr>
                <w:rFonts w:ascii="Times New Roman" w:hAnsi="Times New Roman"/>
                <w:sz w:val="18"/>
              </w:rPr>
              <w:t>18–22</w:t>
            </w:r>
          </w:p>
        </w:tc>
        <w:tc>
          <w:tcPr>
            <w:tcW w:type="dxa" w:w="1560"/>
          </w:tcPr>
          <w:p>
            <w:r/>
            <w:r>
              <w:rPr>
                <w:rFonts w:ascii="Times New Roman" w:hAnsi="Times New Roman"/>
                <w:sz w:val="18"/>
              </w:rPr>
              <w:t>64</w:t>
            </w:r>
          </w:p>
        </w:tc>
        <w:tc>
          <w:tcPr>
            <w:tcW w:type="dxa" w:w="1560"/>
          </w:tcPr>
          <w:p>
            <w:r/>
            <w:r>
              <w:rPr>
                <w:rFonts w:ascii="Times New Roman" w:hAnsi="Times New Roman"/>
                <w:sz w:val="18"/>
              </w:rPr>
              <w:t>20.51</w:t>
            </w:r>
          </w:p>
        </w:tc>
        <w:tc>
          <w:tcPr>
            <w:tcW w:type="dxa" w:w="1560"/>
          </w:tcPr>
          <w:p>
            <w:r/>
            <w:r>
              <w:rPr>
                <w:rFonts w:ascii="Times New Roman" w:hAnsi="Times New Roman"/>
                <w:sz w:val="18"/>
              </w:rPr>
              <w:t>Rarely</w:t>
            </w:r>
          </w:p>
        </w:tc>
        <w:tc>
          <w:tcPr>
            <w:tcW w:type="dxa" w:w="1560"/>
          </w:tcPr>
          <w:p>
            <w:r/>
            <w:r>
              <w:rPr>
                <w:rFonts w:ascii="Times New Roman" w:hAnsi="Times New Roman"/>
                <w:sz w:val="18"/>
              </w:rPr>
              <w:t>35</w:t>
            </w:r>
          </w:p>
        </w:tc>
        <w:tc>
          <w:tcPr>
            <w:tcW w:type="dxa" w:w="1560"/>
          </w:tcPr>
          <w:p>
            <w:r/>
            <w:r>
              <w:rPr>
                <w:rFonts w:ascii="Times New Roman" w:hAnsi="Times New Roman"/>
                <w:sz w:val="18"/>
              </w:rPr>
              <w:t>11.21</w:t>
            </w:r>
          </w:p>
        </w:tc>
      </w:tr>
      <w:tr>
        <w:tc>
          <w:tcPr>
            <w:tcW w:type="dxa" w:w="1560"/>
          </w:tcPr>
          <w:p>
            <w:r/>
            <w:r>
              <w:rPr>
                <w:rFonts w:ascii="Times New Roman" w:hAnsi="Times New Roman"/>
                <w:sz w:val="18"/>
              </w:rPr>
              <w:t>23–28</w:t>
            </w:r>
          </w:p>
        </w:tc>
        <w:tc>
          <w:tcPr>
            <w:tcW w:type="dxa" w:w="1560"/>
          </w:tcPr>
          <w:p>
            <w:r/>
            <w:r>
              <w:rPr>
                <w:rFonts w:ascii="Times New Roman" w:hAnsi="Times New Roman"/>
                <w:sz w:val="18"/>
              </w:rPr>
              <w:t>75</w:t>
            </w:r>
          </w:p>
        </w:tc>
        <w:tc>
          <w:tcPr>
            <w:tcW w:type="dxa" w:w="1560"/>
          </w:tcPr>
          <w:p>
            <w:r/>
            <w:r>
              <w:rPr>
                <w:rFonts w:ascii="Times New Roman" w:hAnsi="Times New Roman"/>
                <w:sz w:val="18"/>
              </w:rPr>
              <w:t>24.04</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29–34</w:t>
            </w:r>
          </w:p>
        </w:tc>
        <w:tc>
          <w:tcPr>
            <w:tcW w:type="dxa" w:w="1560"/>
          </w:tcPr>
          <w:p>
            <w:r/>
            <w:r>
              <w:rPr>
                <w:rFonts w:ascii="Times New Roman" w:hAnsi="Times New Roman"/>
                <w:sz w:val="18"/>
              </w:rPr>
              <w:t>60</w:t>
            </w:r>
          </w:p>
        </w:tc>
        <w:tc>
          <w:tcPr>
            <w:tcW w:type="dxa" w:w="1560"/>
          </w:tcPr>
          <w:p>
            <w:r/>
            <w:r>
              <w:rPr>
                <w:rFonts w:ascii="Times New Roman" w:hAnsi="Times New Roman"/>
                <w:sz w:val="18"/>
              </w:rPr>
              <w:t>19.23</w:t>
            </w:r>
          </w:p>
        </w:tc>
        <w:tc>
          <w:tcPr>
            <w:tcW w:type="dxa" w:w="1560"/>
          </w:tcPr>
          <w:p>
            <w:r/>
            <w:r>
              <w:rPr>
                <w:rFonts w:ascii="Times New Roman" w:hAnsi="Times New Roman"/>
                <w:sz w:val="18"/>
              </w:rPr>
              <w:t>NFT interaction</w:t>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35–41</w:t>
            </w:r>
          </w:p>
        </w:tc>
        <w:tc>
          <w:tcPr>
            <w:tcW w:type="dxa" w:w="1560"/>
          </w:tcPr>
          <w:p>
            <w:r/>
            <w:r>
              <w:rPr>
                <w:rFonts w:ascii="Times New Roman" w:hAnsi="Times New Roman"/>
                <w:sz w:val="18"/>
              </w:rPr>
              <w:t>57</w:t>
            </w:r>
          </w:p>
        </w:tc>
        <w:tc>
          <w:tcPr>
            <w:tcW w:type="dxa" w:w="1560"/>
          </w:tcPr>
          <w:p>
            <w:r/>
            <w:r>
              <w:rPr>
                <w:rFonts w:ascii="Times New Roman" w:hAnsi="Times New Roman"/>
                <w:sz w:val="18"/>
              </w:rPr>
              <w:t>18.27</w:t>
            </w:r>
          </w:p>
        </w:tc>
        <w:tc>
          <w:tcPr>
            <w:tcW w:type="dxa" w:w="1560"/>
          </w:tcPr>
          <w:p>
            <w:r/>
            <w:r>
              <w:rPr>
                <w:rFonts w:ascii="Times New Roman" w:hAnsi="Times New Roman"/>
                <w:sz w:val="18"/>
              </w:rPr>
              <w:t>Yes</w:t>
            </w:r>
          </w:p>
        </w:tc>
        <w:tc>
          <w:tcPr>
            <w:tcW w:type="dxa" w:w="1560"/>
          </w:tcPr>
          <w:p>
            <w:r/>
            <w:r>
              <w:rPr>
                <w:rFonts w:ascii="Times New Roman" w:hAnsi="Times New Roman"/>
                <w:sz w:val="18"/>
              </w:rPr>
              <w:t>141</w:t>
            </w:r>
          </w:p>
        </w:tc>
        <w:tc>
          <w:tcPr>
            <w:tcW w:type="dxa" w:w="1560"/>
          </w:tcPr>
          <w:p>
            <w:r/>
            <w:r>
              <w:rPr>
                <w:rFonts w:ascii="Times New Roman" w:hAnsi="Times New Roman"/>
                <w:sz w:val="18"/>
              </w:rPr>
              <w:t>45.19</w:t>
            </w:r>
          </w:p>
        </w:tc>
      </w:tr>
      <w:tr>
        <w:tc>
          <w:tcPr>
            <w:tcW w:type="dxa" w:w="1560"/>
          </w:tcPr>
          <w:p>
            <w:r/>
            <w:r>
              <w:rPr>
                <w:rFonts w:ascii="Times New Roman" w:hAnsi="Times New Roman"/>
                <w:sz w:val="18"/>
              </w:rPr>
              <w:t>42–45</w:t>
            </w:r>
          </w:p>
        </w:tc>
        <w:tc>
          <w:tcPr>
            <w:tcW w:type="dxa" w:w="1560"/>
          </w:tcPr>
          <w:p>
            <w:r/>
            <w:r>
              <w:rPr>
                <w:rFonts w:ascii="Times New Roman" w:hAnsi="Times New Roman"/>
                <w:sz w:val="18"/>
              </w:rPr>
              <w:t>56</w:t>
            </w:r>
          </w:p>
        </w:tc>
        <w:tc>
          <w:tcPr>
            <w:tcW w:type="dxa" w:w="1560"/>
          </w:tcPr>
          <w:p>
            <w:r/>
            <w:r>
              <w:rPr>
                <w:rFonts w:ascii="Times New Roman" w:hAnsi="Times New Roman"/>
                <w:sz w:val="18"/>
              </w:rPr>
              <w:t>17.95</w:t>
            </w:r>
          </w:p>
        </w:tc>
        <w:tc>
          <w:tcPr>
            <w:tcW w:type="dxa" w:w="1560"/>
          </w:tcPr>
          <w:p>
            <w:r/>
            <w:r>
              <w:rPr>
                <w:rFonts w:ascii="Times New Roman" w:hAnsi="Times New Roman"/>
                <w:sz w:val="18"/>
              </w:rPr>
              <w:t>No</w:t>
            </w:r>
          </w:p>
        </w:tc>
        <w:tc>
          <w:tcPr>
            <w:tcW w:type="dxa" w:w="1560"/>
          </w:tcPr>
          <w:p>
            <w:r/>
            <w:r>
              <w:rPr>
                <w:rFonts w:ascii="Times New Roman" w:hAnsi="Times New Roman"/>
                <w:sz w:val="18"/>
              </w:rPr>
              <w:t>171</w:t>
            </w:r>
          </w:p>
        </w:tc>
        <w:tc>
          <w:tcPr>
            <w:tcW w:type="dxa" w:w="1560"/>
          </w:tcPr>
          <w:p>
            <w:r/>
            <w:r>
              <w:rPr>
                <w:rFonts w:ascii="Times New Roman" w:hAnsi="Times New Roman"/>
                <w:sz w:val="18"/>
              </w:rPr>
              <w:t>54.81</w:t>
            </w:r>
          </w:p>
        </w:tc>
      </w:tr>
      <w:tr>
        <w:tc>
          <w:tcPr>
            <w:tcW w:type="dxa" w:w="1560"/>
          </w:tcPr>
          <w:p>
            <w:r/>
            <w:r>
              <w:rPr>
                <w:rFonts w:ascii="Times New Roman" w:hAnsi="Times New Roman"/>
                <w:sz w:val="18"/>
              </w:rPr>
              <w:t>Marital status</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Virtual event participation</w:t>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Single</w:t>
            </w:r>
          </w:p>
        </w:tc>
        <w:tc>
          <w:tcPr>
            <w:tcW w:type="dxa" w:w="1560"/>
          </w:tcPr>
          <w:p>
            <w:r/>
            <w:r>
              <w:rPr>
                <w:rFonts w:ascii="Times New Roman" w:hAnsi="Times New Roman"/>
                <w:sz w:val="18"/>
              </w:rPr>
              <w:t>107</w:t>
            </w:r>
          </w:p>
        </w:tc>
        <w:tc>
          <w:tcPr>
            <w:tcW w:type="dxa" w:w="1560"/>
          </w:tcPr>
          <w:p>
            <w:r/>
            <w:r>
              <w:rPr>
                <w:rFonts w:ascii="Times New Roman" w:hAnsi="Times New Roman"/>
                <w:sz w:val="18"/>
              </w:rPr>
              <w:t>34.29</w:t>
            </w:r>
          </w:p>
        </w:tc>
        <w:tc>
          <w:tcPr>
            <w:tcW w:type="dxa" w:w="1560"/>
          </w:tcPr>
          <w:p>
            <w:r/>
            <w:r>
              <w:rPr>
                <w:rFonts w:ascii="Times New Roman" w:hAnsi="Times New Roman"/>
                <w:sz w:val="18"/>
              </w:rPr>
              <w:t>Yes</w:t>
            </w:r>
          </w:p>
        </w:tc>
        <w:tc>
          <w:tcPr>
            <w:tcW w:type="dxa" w:w="1560"/>
          </w:tcPr>
          <w:p>
            <w:r/>
            <w:r>
              <w:rPr>
                <w:rFonts w:ascii="Times New Roman" w:hAnsi="Times New Roman"/>
                <w:sz w:val="18"/>
              </w:rPr>
              <w:t>129</w:t>
            </w:r>
          </w:p>
        </w:tc>
        <w:tc>
          <w:tcPr>
            <w:tcW w:type="dxa" w:w="1560"/>
          </w:tcPr>
          <w:p>
            <w:r/>
            <w:r>
              <w:rPr>
                <w:rFonts w:ascii="Times New Roman" w:hAnsi="Times New Roman"/>
                <w:sz w:val="18"/>
              </w:rPr>
              <w:t>41.35</w:t>
            </w:r>
          </w:p>
        </w:tc>
      </w:tr>
      <w:tr>
        <w:tc>
          <w:tcPr>
            <w:tcW w:type="dxa" w:w="1560"/>
          </w:tcPr>
          <w:p>
            <w:r/>
            <w:r>
              <w:rPr>
                <w:rFonts w:ascii="Times New Roman" w:hAnsi="Times New Roman"/>
                <w:sz w:val="18"/>
              </w:rPr>
              <w:t>Married with children</w:t>
            </w:r>
          </w:p>
        </w:tc>
        <w:tc>
          <w:tcPr>
            <w:tcW w:type="dxa" w:w="1560"/>
          </w:tcPr>
          <w:p>
            <w:r/>
            <w:r>
              <w:rPr>
                <w:rFonts w:ascii="Times New Roman" w:hAnsi="Times New Roman"/>
                <w:sz w:val="18"/>
              </w:rPr>
              <w:t>84</w:t>
            </w:r>
          </w:p>
        </w:tc>
        <w:tc>
          <w:tcPr>
            <w:tcW w:type="dxa" w:w="1560"/>
          </w:tcPr>
          <w:p>
            <w:r/>
            <w:r>
              <w:rPr>
                <w:rFonts w:ascii="Times New Roman" w:hAnsi="Times New Roman"/>
                <w:sz w:val="18"/>
              </w:rPr>
              <w:t>26.93</w:t>
            </w:r>
          </w:p>
        </w:tc>
        <w:tc>
          <w:tcPr>
            <w:tcW w:type="dxa" w:w="1560"/>
          </w:tcPr>
          <w:p>
            <w:r/>
            <w:r>
              <w:rPr>
                <w:rFonts w:ascii="Times New Roman" w:hAnsi="Times New Roman"/>
                <w:sz w:val="18"/>
              </w:rPr>
              <w:t>No</w:t>
            </w:r>
          </w:p>
        </w:tc>
        <w:tc>
          <w:tcPr>
            <w:tcW w:type="dxa" w:w="1560"/>
          </w:tcPr>
          <w:p>
            <w:r/>
            <w:r>
              <w:rPr>
                <w:rFonts w:ascii="Times New Roman" w:hAnsi="Times New Roman"/>
                <w:sz w:val="18"/>
              </w:rPr>
              <w:t>183</w:t>
            </w:r>
          </w:p>
        </w:tc>
        <w:tc>
          <w:tcPr>
            <w:tcW w:type="dxa" w:w="1560"/>
          </w:tcPr>
          <w:p>
            <w:r/>
            <w:r>
              <w:rPr>
                <w:rFonts w:ascii="Times New Roman" w:hAnsi="Times New Roman"/>
                <w:sz w:val="18"/>
              </w:rPr>
              <w:t>58.65</w:t>
            </w:r>
          </w:p>
        </w:tc>
      </w:tr>
      <w:tr>
        <w:tc>
          <w:tcPr>
            <w:tcW w:type="dxa" w:w="1560"/>
          </w:tcPr>
          <w:p>
            <w:r/>
            <w:r>
              <w:rPr>
                <w:rFonts w:ascii="Times New Roman" w:hAnsi="Times New Roman"/>
                <w:sz w:val="18"/>
              </w:rPr>
              <w:t>Married without children</w:t>
            </w:r>
          </w:p>
        </w:tc>
        <w:tc>
          <w:tcPr>
            <w:tcW w:type="dxa" w:w="1560"/>
          </w:tcPr>
          <w:p>
            <w:r/>
            <w:r>
              <w:rPr>
                <w:rFonts w:ascii="Times New Roman" w:hAnsi="Times New Roman"/>
                <w:sz w:val="18"/>
              </w:rPr>
              <w:t>121</w:t>
            </w:r>
          </w:p>
        </w:tc>
        <w:tc>
          <w:tcPr>
            <w:tcW w:type="dxa" w:w="1560"/>
          </w:tcPr>
          <w:p>
            <w:r/>
            <w:r>
              <w:rPr>
                <w:rFonts w:ascii="Times New Roman" w:hAnsi="Times New Roman"/>
                <w:sz w:val="18"/>
              </w:rPr>
              <w:t>38.78</w:t>
            </w:r>
          </w:p>
        </w:tc>
        <w:tc>
          <w:tcPr>
            <w:tcW w:type="dxa" w:w="1560"/>
          </w:tcPr>
          <w:p>
            <w:r/>
            <w:r>
              <w:rPr>
                <w:rFonts w:ascii="Times New Roman" w:hAnsi="Times New Roman"/>
                <w:sz w:val="18"/>
              </w:rPr>
              <w:t>Social interaction / content creation</w:t>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Yes</w:t>
            </w:r>
          </w:p>
        </w:tc>
        <w:tc>
          <w:tcPr>
            <w:tcW w:type="dxa" w:w="1560"/>
          </w:tcPr>
          <w:p>
            <w:r/>
            <w:r>
              <w:rPr>
                <w:rFonts w:ascii="Times New Roman" w:hAnsi="Times New Roman"/>
                <w:sz w:val="18"/>
              </w:rPr>
              <w:t>164</w:t>
            </w:r>
          </w:p>
        </w:tc>
        <w:tc>
          <w:tcPr>
            <w:tcW w:type="dxa" w:w="1560"/>
          </w:tcPr>
          <w:p>
            <w:r/>
            <w:r>
              <w:rPr>
                <w:rFonts w:ascii="Times New Roman" w:hAnsi="Times New Roman"/>
                <w:sz w:val="18"/>
              </w:rPr>
              <w:t>52.56</w:t>
            </w:r>
          </w:p>
        </w:tc>
      </w:tr>
      <w:tr>
        <w:tc>
          <w:tcPr>
            <w:tcW w:type="dxa" w:w="1560"/>
          </w:tcPr>
          <w:p>
            <w:r/>
            <w:r>
              <w:rPr>
                <w:rFonts w:ascii="Times New Roman" w:hAnsi="Times New Roman"/>
                <w:sz w:val="18"/>
              </w:rPr>
              <w:t>Occupation</w:t>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No</w:t>
            </w:r>
          </w:p>
        </w:tc>
        <w:tc>
          <w:tcPr>
            <w:tcW w:type="dxa" w:w="1560"/>
          </w:tcPr>
          <w:p>
            <w:r/>
            <w:r>
              <w:rPr>
                <w:rFonts w:ascii="Times New Roman" w:hAnsi="Times New Roman"/>
                <w:sz w:val="18"/>
              </w:rPr>
              <w:t>148</w:t>
            </w:r>
          </w:p>
        </w:tc>
        <w:tc>
          <w:tcPr>
            <w:tcW w:type="dxa" w:w="1560"/>
          </w:tcPr>
          <w:p>
            <w:r/>
            <w:r>
              <w:rPr>
                <w:rFonts w:ascii="Times New Roman" w:hAnsi="Times New Roman"/>
                <w:sz w:val="18"/>
              </w:rPr>
              <w:t>47.44</w:t>
            </w:r>
          </w:p>
        </w:tc>
      </w:tr>
      <w:tr>
        <w:tc>
          <w:tcPr>
            <w:tcW w:type="dxa" w:w="1560"/>
          </w:tcPr>
          <w:p>
            <w:r/>
            <w:r>
              <w:rPr>
                <w:rFonts w:ascii="Times New Roman" w:hAnsi="Times New Roman"/>
                <w:sz w:val="18"/>
              </w:rPr>
              <w:t>Students</w:t>
            </w:r>
          </w:p>
        </w:tc>
        <w:tc>
          <w:tcPr>
            <w:tcW w:type="dxa" w:w="1560"/>
          </w:tcPr>
          <w:p>
            <w:r/>
            <w:r>
              <w:rPr>
                <w:rFonts w:ascii="Times New Roman" w:hAnsi="Times New Roman"/>
                <w:sz w:val="18"/>
              </w:rPr>
              <w:t>88</w:t>
            </w:r>
          </w:p>
        </w:tc>
        <w:tc>
          <w:tcPr>
            <w:tcW w:type="dxa" w:w="1560"/>
          </w:tcPr>
          <w:p>
            <w:r/>
            <w:r>
              <w:rPr>
                <w:rFonts w:ascii="Times New Roman" w:hAnsi="Times New Roman"/>
                <w:sz w:val="18"/>
              </w:rPr>
              <w:t>28.21</w:t>
            </w:r>
          </w:p>
        </w:tc>
        <w:tc>
          <w:tcPr>
            <w:tcW w:type="dxa" w:w="1560"/>
          </w:tcPr>
          <w:p>
            <w:r/>
            <w:r>
              <w:rPr>
                <w:rFonts w:ascii="Times New Roman" w:hAnsi="Times New Roman"/>
                <w:sz w:val="18"/>
              </w:rPr>
              <w:t>Monthly family income</w:t>
            </w:r>
          </w:p>
        </w:tc>
        <w:tc>
          <w:tcPr>
            <w:tcW w:type="dxa" w:w="1560"/>
          </w:tcPr>
          <w:p>
            <w:r/>
            <w:r>
              <w:rPr>
                <w:rFonts w:ascii="Times New Roman" w:hAnsi="Times New Roman"/>
                <w:sz w:val="18"/>
              </w:rPr>
            </w:r>
          </w:p>
        </w:tc>
        <w:tc>
          <w:tcPr>
            <w:tcW w:type="dxa" w:w="1560"/>
          </w:tcPr>
          <w:p>
            <w:r/>
            <w:r>
              <w:rPr>
                <w:rFonts w:ascii="Times New Roman" w:hAnsi="Times New Roman"/>
                <w:sz w:val="18"/>
              </w:rPr>
            </w:r>
          </w:p>
        </w:tc>
      </w:tr>
      <w:tr>
        <w:tc>
          <w:tcPr>
            <w:tcW w:type="dxa" w:w="1560"/>
          </w:tcPr>
          <w:p>
            <w:r/>
            <w:r>
              <w:rPr>
                <w:rFonts w:ascii="Times New Roman" w:hAnsi="Times New Roman"/>
                <w:sz w:val="18"/>
              </w:rPr>
              <w:t>Job</w:t>
            </w:r>
          </w:p>
        </w:tc>
        <w:tc>
          <w:tcPr>
            <w:tcW w:type="dxa" w:w="1560"/>
          </w:tcPr>
          <w:p>
            <w:r/>
            <w:r>
              <w:rPr>
                <w:rFonts w:ascii="Times New Roman" w:hAnsi="Times New Roman"/>
                <w:sz w:val="18"/>
              </w:rPr>
              <w:t>102</w:t>
            </w:r>
          </w:p>
        </w:tc>
        <w:tc>
          <w:tcPr>
            <w:tcW w:type="dxa" w:w="1560"/>
          </w:tcPr>
          <w:p>
            <w:r/>
            <w:r>
              <w:rPr>
                <w:rFonts w:ascii="Times New Roman" w:hAnsi="Times New Roman"/>
                <w:sz w:val="18"/>
              </w:rPr>
              <w:t>32.69</w:t>
            </w:r>
          </w:p>
        </w:tc>
        <w:tc>
          <w:tcPr>
            <w:tcW w:type="dxa" w:w="1560"/>
          </w:tcPr>
          <w:p>
            <w:r/>
            <w:r>
              <w:rPr>
                <w:rFonts w:ascii="Times New Roman" w:hAnsi="Times New Roman"/>
                <w:sz w:val="18"/>
              </w:rPr>
              <w:t>INR 30,000 or less</w:t>
            </w:r>
          </w:p>
        </w:tc>
        <w:tc>
          <w:tcPr>
            <w:tcW w:type="dxa" w:w="1560"/>
          </w:tcPr>
          <w:p>
            <w:r/>
            <w:r>
              <w:rPr>
                <w:rFonts w:ascii="Times New Roman" w:hAnsi="Times New Roman"/>
                <w:sz w:val="18"/>
              </w:rPr>
              <w:t>57</w:t>
            </w:r>
          </w:p>
        </w:tc>
        <w:tc>
          <w:tcPr>
            <w:tcW w:type="dxa" w:w="1560"/>
          </w:tcPr>
          <w:p>
            <w:r/>
            <w:r>
              <w:rPr>
                <w:rFonts w:ascii="Times New Roman" w:hAnsi="Times New Roman"/>
                <w:sz w:val="18"/>
              </w:rPr>
              <w:t>18.40</w:t>
            </w:r>
          </w:p>
        </w:tc>
      </w:tr>
      <w:tr>
        <w:tc>
          <w:tcPr>
            <w:tcW w:type="dxa" w:w="1560"/>
          </w:tcPr>
          <w:p>
            <w:r/>
            <w:r>
              <w:rPr>
                <w:rFonts w:ascii="Times New Roman" w:hAnsi="Times New Roman"/>
                <w:sz w:val="18"/>
              </w:rPr>
              <w:t>Business</w:t>
            </w:r>
          </w:p>
        </w:tc>
        <w:tc>
          <w:tcPr>
            <w:tcW w:type="dxa" w:w="1560"/>
          </w:tcPr>
          <w:p>
            <w:r/>
            <w:r>
              <w:rPr>
                <w:rFonts w:ascii="Times New Roman" w:hAnsi="Times New Roman"/>
                <w:sz w:val="18"/>
              </w:rPr>
              <w:t>122</w:t>
            </w:r>
          </w:p>
        </w:tc>
        <w:tc>
          <w:tcPr>
            <w:tcW w:type="dxa" w:w="1560"/>
          </w:tcPr>
          <w:p>
            <w:r/>
            <w:r>
              <w:rPr>
                <w:rFonts w:ascii="Times New Roman" w:hAnsi="Times New Roman"/>
                <w:sz w:val="18"/>
              </w:rPr>
              <w:t>39.10</w:t>
            </w:r>
          </w:p>
        </w:tc>
        <w:tc>
          <w:tcPr>
            <w:tcW w:type="dxa" w:w="1560"/>
          </w:tcPr>
          <w:p>
            <w:r/>
            <w:r>
              <w:rPr>
                <w:rFonts w:ascii="Times New Roman" w:hAnsi="Times New Roman"/>
                <w:sz w:val="18"/>
              </w:rPr>
              <w:t>INR 30,001–50,000</w:t>
            </w:r>
          </w:p>
        </w:tc>
        <w:tc>
          <w:tcPr>
            <w:tcW w:type="dxa" w:w="1560"/>
          </w:tcPr>
          <w:p>
            <w:r/>
            <w:r>
              <w:rPr>
                <w:rFonts w:ascii="Times New Roman" w:hAnsi="Times New Roman"/>
                <w:sz w:val="18"/>
              </w:rPr>
              <w:t>80</w:t>
            </w:r>
          </w:p>
        </w:tc>
        <w:tc>
          <w:tcPr>
            <w:tcW w:type="dxa" w:w="1560"/>
          </w:tcPr>
          <w:p>
            <w:r/>
            <w:r>
              <w:rPr>
                <w:rFonts w:ascii="Times New Roman" w:hAnsi="Times New Roman"/>
                <w:sz w:val="18"/>
              </w:rPr>
              <w:t>25.64</w:t>
            </w:r>
          </w:p>
        </w:tc>
      </w:tr>
      <w:tr>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INR 50,001–80,000</w:t>
            </w:r>
          </w:p>
        </w:tc>
        <w:tc>
          <w:tcPr>
            <w:tcW w:type="dxa" w:w="1560"/>
          </w:tcPr>
          <w:p>
            <w:r/>
            <w:r>
              <w:rPr>
                <w:rFonts w:ascii="Times New Roman" w:hAnsi="Times New Roman"/>
                <w:sz w:val="18"/>
              </w:rPr>
              <w:t>100</w:t>
            </w:r>
          </w:p>
        </w:tc>
        <w:tc>
          <w:tcPr>
            <w:tcW w:type="dxa" w:w="1560"/>
          </w:tcPr>
          <w:p>
            <w:r/>
            <w:r>
              <w:rPr>
                <w:rFonts w:ascii="Times New Roman" w:hAnsi="Times New Roman"/>
                <w:sz w:val="18"/>
              </w:rPr>
              <w:t>32.05</w:t>
            </w:r>
          </w:p>
        </w:tc>
      </w:tr>
      <w:tr>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r>
          </w:p>
        </w:tc>
        <w:tc>
          <w:tcPr>
            <w:tcW w:type="dxa" w:w="1560"/>
          </w:tcPr>
          <w:p>
            <w:r/>
            <w:r>
              <w:rPr>
                <w:rFonts w:ascii="Times New Roman" w:hAnsi="Times New Roman"/>
                <w:sz w:val="18"/>
              </w:rPr>
              <w:t>INR 80,001 and above</w:t>
            </w:r>
          </w:p>
        </w:tc>
        <w:tc>
          <w:tcPr>
            <w:tcW w:type="dxa" w:w="1560"/>
          </w:tcPr>
          <w:p>
            <w:r/>
            <w:r>
              <w:rPr>
                <w:rFonts w:ascii="Times New Roman" w:hAnsi="Times New Roman"/>
                <w:sz w:val="18"/>
              </w:rPr>
              <w:t>75</w:t>
            </w:r>
          </w:p>
        </w:tc>
        <w:tc>
          <w:tcPr>
            <w:tcW w:type="dxa" w:w="1560"/>
          </w:tcPr>
          <w:p>
            <w:r/>
            <w:r>
              <w:rPr>
                <w:rFonts w:ascii="Times New Roman" w:hAnsi="Times New Roman"/>
                <w:sz w:val="18"/>
              </w:rPr>
              <w:t>23.91</w:t>
            </w:r>
          </w:p>
        </w:tc>
      </w:tr>
    </w:tbl>
    <w:p>
      <w:pPr>
        <w:spacing w:after="40"/>
      </w:pPr>
    </w:p>
    <w:p>
      <w:pPr>
        <w:spacing w:before="160" w:after="60"/>
      </w:pPr>
      <w:r>
        <w:rPr>
          <w:rFonts w:ascii="Times New Roman" w:hAnsi="Times New Roman"/>
          <w:b/>
          <w:i/>
          <w:color w:val="2E5496"/>
          <w:sz w:val="23"/>
        </w:rPr>
        <w:t>1.2 Data screening and descriptive statistics</w:t>
      </w:r>
    </w:p>
    <w:p>
      <w:pPr>
        <w:jc w:val="both"/>
      </w:pPr>
      <w:r>
        <w:rPr>
          <w:rFonts w:ascii="Times New Roman" w:hAnsi="Times New Roman"/>
          <w:sz w:val="22"/>
        </w:rPr>
        <w:t>The analysis is based on N = 312 complete responses measured on seven-point Likert scales. There were no missing values across the 20 items and no straight-line response patterns, so the full sample was retained. Because PLS-SEM is a non-parametric method, multivariate normality is not required; nonetheless, Shapiro–Wilk tests rejected univariate normality for all items (p &lt; .001), confirming that a variance-based estimator is appropriate over covariance-based SEM (Hair et al., 2019). Item-level descriptive statistics are reported in Table 3.</w:t>
      </w:r>
    </w:p>
    <w:p>
      <w:pPr>
        <w:jc w:val="both"/>
      </w:pPr>
      <w:r>
        <w:rPr>
          <w:rFonts w:ascii="Times New Roman" w:hAnsi="Times New Roman"/>
          <w:b/>
          <w:sz w:val="22"/>
        </w:rPr>
        <w:t>Note on the two ATT items.</w:t>
      </w:r>
      <w:r>
        <w:rPr>
          <w:rFonts w:ascii="Times New Roman" w:hAnsi="Times New Roman"/>
          <w:sz w:val="22"/>
        </w:rPr>
        <w:t xml:space="preserve"> The instrument also contained two items labelled ATT_1 and ATT_2. Inspection of their distributions and inter-item behaviour shows that they do not behave as a reflective construct: ATT_1 is almost invariant (M = 5.90, SD = 0.53), ATT_2 is low and right-skewed (M = 2.10), and the two correlate at r = −.005 with each other and ≈ 0 with every substantive item (Figure A1). This is the signature of attention / quality-control items rather than a latent variable. They were therefore used only for data screening and were excluded from the measurement and structural models and from the fsQCA. A robustness model that forced them into a latent variable produced a construct with no convergent validity and changed none of the substantive conclusions.</w:t>
      </w:r>
    </w:p>
    <w:p>
      <w:pPr>
        <w:spacing w:before="120" w:after="60"/>
      </w:pPr>
      <w:r>
        <w:rPr>
          <w:rFonts w:ascii="Times New Roman" w:hAnsi="Times New Roman"/>
          <w:b/>
          <w:sz w:val="20"/>
        </w:rPr>
        <w:t>Table 3.</w:t>
      </w:r>
      <w:r>
        <w:rPr>
          <w:rFonts w:ascii="Times New Roman" w:hAnsi="Times New Roman"/>
          <w:sz w:val="20"/>
        </w:rPr>
        <w:t xml:space="preserve"> Item descriptive statistics (N = 312).</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5496"/>
          </w:tcPr>
          <w:p>
            <w:pPr>
              <w:jc w:val="center"/>
            </w:pPr>
            <w:r/>
            <w:r>
              <w:rPr>
                <w:rFonts w:ascii="Times New Roman" w:hAnsi="Times New Roman"/>
                <w:b/>
                <w:color w:val="FFFFFF"/>
                <w:sz w:val="18"/>
              </w:rPr>
              <w:t>Item</w:t>
            </w:r>
          </w:p>
        </w:tc>
        <w:tc>
          <w:tcPr>
            <w:tcW w:type="dxa" w:w="1170"/>
            <w:shd w:val="clear" w:color="auto" w:fill="2E5496"/>
          </w:tcPr>
          <w:p>
            <w:pPr>
              <w:jc w:val="center"/>
            </w:pPr>
            <w:r/>
            <w:r>
              <w:rPr>
                <w:rFonts w:ascii="Times New Roman" w:hAnsi="Times New Roman"/>
                <w:b/>
                <w:color w:val="FFFFFF"/>
                <w:sz w:val="18"/>
              </w:rPr>
              <w:t>Mean</w:t>
            </w:r>
          </w:p>
        </w:tc>
        <w:tc>
          <w:tcPr>
            <w:tcW w:type="dxa" w:w="1170"/>
            <w:shd w:val="clear" w:color="auto" w:fill="2E5496"/>
          </w:tcPr>
          <w:p>
            <w:pPr>
              <w:jc w:val="center"/>
            </w:pPr>
            <w:r/>
            <w:r>
              <w:rPr>
                <w:rFonts w:ascii="Times New Roman" w:hAnsi="Times New Roman"/>
                <w:b/>
                <w:color w:val="FFFFFF"/>
                <w:sz w:val="18"/>
              </w:rPr>
              <w:t>SD</w:t>
            </w:r>
          </w:p>
        </w:tc>
        <w:tc>
          <w:tcPr>
            <w:tcW w:type="dxa" w:w="1170"/>
            <w:shd w:val="clear" w:color="auto" w:fill="2E5496"/>
          </w:tcPr>
          <w:p>
            <w:pPr>
              <w:jc w:val="center"/>
            </w:pPr>
            <w:r/>
            <w:r>
              <w:rPr>
                <w:rFonts w:ascii="Times New Roman" w:hAnsi="Times New Roman"/>
                <w:b/>
                <w:color w:val="FFFFFF"/>
                <w:sz w:val="18"/>
              </w:rPr>
              <w:t>Median</w:t>
            </w:r>
          </w:p>
        </w:tc>
        <w:tc>
          <w:tcPr>
            <w:tcW w:type="dxa" w:w="1170"/>
            <w:shd w:val="clear" w:color="auto" w:fill="2E5496"/>
          </w:tcPr>
          <w:p>
            <w:pPr>
              <w:jc w:val="center"/>
            </w:pPr>
            <w:r/>
            <w:r>
              <w:rPr>
                <w:rFonts w:ascii="Times New Roman" w:hAnsi="Times New Roman"/>
                <w:b/>
                <w:color w:val="FFFFFF"/>
                <w:sz w:val="18"/>
              </w:rPr>
              <w:t>Min</w:t>
            </w:r>
          </w:p>
        </w:tc>
        <w:tc>
          <w:tcPr>
            <w:tcW w:type="dxa" w:w="1170"/>
            <w:shd w:val="clear" w:color="auto" w:fill="2E5496"/>
          </w:tcPr>
          <w:p>
            <w:pPr>
              <w:jc w:val="center"/>
            </w:pPr>
            <w:r/>
            <w:r>
              <w:rPr>
                <w:rFonts w:ascii="Times New Roman" w:hAnsi="Times New Roman"/>
                <w:b/>
                <w:color w:val="FFFFFF"/>
                <w:sz w:val="18"/>
              </w:rPr>
              <w:t>Max</w:t>
            </w:r>
          </w:p>
        </w:tc>
        <w:tc>
          <w:tcPr>
            <w:tcW w:type="dxa" w:w="1170"/>
            <w:shd w:val="clear" w:color="auto" w:fill="2E5496"/>
          </w:tcPr>
          <w:p>
            <w:pPr>
              <w:jc w:val="center"/>
            </w:pPr>
            <w:r/>
            <w:r>
              <w:rPr>
                <w:rFonts w:ascii="Times New Roman" w:hAnsi="Times New Roman"/>
                <w:b/>
                <w:color w:val="FFFFFF"/>
                <w:sz w:val="18"/>
              </w:rPr>
              <w:t>Skewness</w:t>
            </w:r>
          </w:p>
        </w:tc>
        <w:tc>
          <w:tcPr>
            <w:tcW w:type="dxa" w:w="1170"/>
            <w:shd w:val="clear" w:color="auto" w:fill="2E5496"/>
          </w:tcPr>
          <w:p>
            <w:pPr>
              <w:jc w:val="center"/>
            </w:pPr>
            <w:r/>
            <w:r>
              <w:rPr>
                <w:rFonts w:ascii="Times New Roman" w:hAnsi="Times New Roman"/>
                <w:b/>
                <w:color w:val="FFFFFF"/>
                <w:sz w:val="18"/>
              </w:rPr>
              <w:t>Kurtosis</w:t>
            </w:r>
          </w:p>
        </w:tc>
      </w:tr>
      <w:tr>
        <w:tc>
          <w:tcPr>
            <w:tcW w:type="dxa" w:w="1170"/>
          </w:tcPr>
          <w:p>
            <w:r/>
            <w:r>
              <w:rPr>
                <w:rFonts w:ascii="Times New Roman" w:hAnsi="Times New Roman"/>
                <w:sz w:val="18"/>
              </w:rPr>
              <w:t>UE1</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UE2</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UE3</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UE4</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UE5</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UX1</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UX2</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UX3</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UX4</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UX5</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BSAT1</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BSAT2</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BSAT3</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BSAT4</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BSUC1</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BSUC2</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BSUC3</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r>
        <w:tc>
          <w:tcPr>
            <w:tcW w:type="dxa" w:w="1170"/>
          </w:tcPr>
          <w:p>
            <w:r/>
            <w:r>
              <w:rPr>
                <w:rFonts w:ascii="Times New Roman" w:hAnsi="Times New Roman"/>
                <w:sz w:val="18"/>
              </w:rPr>
              <w:t>BSUC4</w:t>
            </w:r>
          </w:p>
        </w:tc>
        <w:tc>
          <w:tcPr>
            <w:tcW w:type="dxa" w:w="1170"/>
          </w:tcPr>
          <w:p>
            <w:r/>
            <w:r>
              <w:rPr>
                <w:rFonts w:ascii="Times New Roman" w:hAnsi="Times New Roman"/>
                <w:sz w:val="18"/>
              </w:rPr>
              <w:t>4.00</w:t>
            </w:r>
          </w:p>
        </w:tc>
        <w:tc>
          <w:tcPr>
            <w:tcW w:type="dxa" w:w="1170"/>
          </w:tcPr>
          <w:p>
            <w:r/>
            <w:r>
              <w:rPr>
                <w:rFonts w:ascii="Times New Roman" w:hAnsi="Times New Roman"/>
                <w:sz w:val="18"/>
              </w:rPr>
              <w:t>2.01</w:t>
            </w:r>
          </w:p>
        </w:tc>
        <w:tc>
          <w:tcPr>
            <w:tcW w:type="dxa" w:w="1170"/>
          </w:tcPr>
          <w:p>
            <w:r/>
            <w:r>
              <w:rPr>
                <w:rFonts w:ascii="Times New Roman" w:hAnsi="Times New Roman"/>
                <w:sz w:val="18"/>
              </w:rPr>
              <w:t>4</w:t>
            </w:r>
          </w:p>
        </w:tc>
        <w:tc>
          <w:tcPr>
            <w:tcW w:type="dxa" w:w="1170"/>
          </w:tcPr>
          <w:p>
            <w:r/>
            <w:r>
              <w:rPr>
                <w:rFonts w:ascii="Times New Roman" w:hAnsi="Times New Roman"/>
                <w:sz w:val="18"/>
              </w:rPr>
              <w:t>1</w:t>
            </w:r>
          </w:p>
        </w:tc>
        <w:tc>
          <w:tcPr>
            <w:tcW w:type="dxa" w:w="1170"/>
          </w:tcPr>
          <w:p>
            <w:r/>
            <w:r>
              <w:rPr>
                <w:rFonts w:ascii="Times New Roman" w:hAnsi="Times New Roman"/>
                <w:sz w:val="18"/>
              </w:rPr>
              <w:t>7</w:t>
            </w:r>
          </w:p>
        </w:tc>
        <w:tc>
          <w:tcPr>
            <w:tcW w:type="dxa" w:w="1170"/>
          </w:tcPr>
          <w:p>
            <w:r/>
            <w:r>
              <w:rPr>
                <w:rFonts w:ascii="Times New Roman" w:hAnsi="Times New Roman"/>
                <w:sz w:val="18"/>
              </w:rPr>
              <w:t>0.00</w:t>
            </w:r>
          </w:p>
        </w:tc>
        <w:tc>
          <w:tcPr>
            <w:tcW w:type="dxa" w:w="1170"/>
          </w:tcPr>
          <w:p>
            <w:r/>
            <w:r>
              <w:rPr>
                <w:rFonts w:ascii="Times New Roman" w:hAnsi="Times New Roman"/>
                <w:sz w:val="18"/>
              </w:rPr>
              <w:t>−1.25</w:t>
            </w:r>
          </w:p>
        </w:tc>
      </w:tr>
    </w:tbl>
    <w:p>
      <w:pPr>
        <w:spacing w:after="40"/>
      </w:pPr>
    </w:p>
    <w:p>
      <w:pPr>
        <w:jc w:val="both"/>
      </w:pPr>
      <w:r>
        <w:rPr>
          <w:rFonts w:ascii="Times New Roman" w:hAnsi="Times New Roman"/>
          <w:sz w:val="22"/>
        </w:rPr>
        <w:t>Full numeric precision is provided in analysis/outputs/T1_item_descriptives.csv.</w:t>
      </w:r>
    </w:p>
    <w:p>
      <w:pPr>
        <w:jc w:val="both"/>
      </w:pPr>
      <w:r>
        <w:rPr>
          <w:rFonts w:ascii="Times New Roman" w:hAnsi="Times New Roman"/>
          <w:sz w:val="22"/>
        </w:rPr>
        <w:t>The sampling adequacy of the item set was excellent (Kaiser–Meyer–Olkin = 0.903) and Bartlett's test of sphericity was significant (χ²(153) = 3300.5, p &lt; .001). An exploratory factor analysis (principal-axis extraction, promax rotation) recovered a clean four-factor structure mapping exactly onto UE, UX, BSAT and BSUC, with every substantive item loading &gt; 0.77 on its intended factor and &lt; 0.13 on all others.</w:t>
      </w:r>
    </w:p>
    <w:p>
      <w:pPr>
        <w:spacing w:before="160" w:after="60"/>
      </w:pPr>
      <w:r>
        <w:rPr>
          <w:rFonts w:ascii="Times New Roman" w:hAnsi="Times New Roman"/>
          <w:b/>
          <w:i/>
          <w:color w:val="2E5496"/>
          <w:sz w:val="23"/>
        </w:rPr>
        <w:t>1.3 Common method bias</w:t>
      </w:r>
    </w:p>
    <w:p>
      <w:pPr>
        <w:jc w:val="both"/>
      </w:pPr>
      <w:r>
        <w:rPr>
          <w:rFonts w:ascii="Times New Roman" w:hAnsi="Times New Roman"/>
          <w:b/>
          <w:sz w:val="22"/>
        </w:rPr>
        <w:t>Common method bias.</w:t>
      </w:r>
      <w:r>
        <w:rPr>
          <w:rFonts w:ascii="Times New Roman" w:hAnsi="Times New Roman"/>
          <w:sz w:val="22"/>
        </w:rPr>
        <w:t xml:space="preserve"> Harman's single-factor test indicated that the first unrotated factor accounted for 34.4% of the variance—below the 50% threshold—so common method variance is unlikely to be a serious threat (Podsakoff et al., 2003). This is corroborated by the full collinearity assessment in the structural model (all inner VIF ≤ 1.35; Kock, 2015) and by the discriminant-validity evidence below.</w:t>
      </w:r>
    </w:p>
    <w:p>
      <w:pPr>
        <w:spacing w:before="160" w:after="60"/>
      </w:pPr>
      <w:r>
        <w:rPr>
          <w:rFonts w:ascii="Times New Roman" w:hAnsi="Times New Roman"/>
          <w:b/>
          <w:i/>
          <w:color w:val="2E5496"/>
          <w:sz w:val="23"/>
        </w:rPr>
        <w:t>1.4 Transparency note on data provenance</w:t>
      </w:r>
    </w:p>
    <w:p>
      <w:pPr>
        <w:jc w:val="both"/>
      </w:pPr>
      <w:r>
        <w:rPr>
          <w:rFonts w:ascii="Times New Roman" w:hAnsi="Times New Roman"/>
          <w:b/>
          <w:sz w:val="22"/>
        </w:rPr>
        <w:t>Transparency note on data provenance.</w:t>
      </w:r>
      <w:r>
        <w:rPr>
          <w:rFonts w:ascii="Times New Roman" w:hAnsi="Times New Roman"/>
          <w:sz w:val="22"/>
        </w:rPr>
        <w:t xml:space="preserve"> The 18 substantive items each exhibit identical marginal moments (mean = 4.000, SD = 2.006, skew = 0, excess kurtosis = −1.25), which are exactly the moments of a discrete uniform distribution on {1,…,7}. Combined with a realistic, block-structured correlation matrix (Figure A1), this is consistent with data generated by a Gaussian-copula-type simulation rather than raw field data. The analyses are reported exactly as the data dictate; if these are synthetic or pilot data, the substantive interpretation should be treated as illustrative of the analytical pipeline rather than as confirmed empirical fact.</w:t>
      </w:r>
    </w:p>
    <w:p>
      <w:pPr>
        <w:spacing w:before="240" w:after="120"/>
      </w:pPr>
      <w:r>
        <w:rPr>
          <w:rFonts w:ascii="Times New Roman" w:hAnsi="Times New Roman"/>
          <w:b/>
          <w:color w:val="1F3864"/>
          <w:sz w:val="26"/>
        </w:rPr>
        <w:t>2. Measurement model assessment</w:t>
      </w:r>
    </w:p>
    <w:p>
      <w:pPr>
        <w:jc w:val="both"/>
      </w:pPr>
      <w:r>
        <w:rPr>
          <w:rFonts w:ascii="Times New Roman" w:hAnsi="Times New Roman"/>
          <w:sz w:val="22"/>
        </w:rPr>
        <w:t>Reflective measurement quality was assessed following the standard sequence for PLS-SEM (Hair et al., 2019, 2022): indicator reliability, internal consistency reliability, convergent validity, and discriminant validity. Estimation used Mode A (reflective) measurement with the path weighting scheme. As an external check, the measurement model was re-estimated with the open-source plspm package; the two implementations agreed to within 0.003 on every loading and produced identical reliability and AVE values.</w:t>
      </w:r>
    </w:p>
    <w:p>
      <w:pPr>
        <w:spacing w:before="160" w:after="60"/>
      </w:pPr>
      <w:r>
        <w:rPr>
          <w:rFonts w:ascii="Times New Roman" w:hAnsi="Times New Roman"/>
          <w:b/>
          <w:i/>
          <w:color w:val="2E5496"/>
          <w:sz w:val="23"/>
        </w:rPr>
        <w:t>2.1 Indicator reliability and convergent validity</w:t>
      </w:r>
    </w:p>
    <w:p>
      <w:pPr>
        <w:jc w:val="both"/>
      </w:pPr>
      <w:r>
        <w:rPr>
          <w:rFonts w:ascii="Times New Roman" w:hAnsi="Times New Roman"/>
          <w:sz w:val="22"/>
        </w:rPr>
        <w:t>All standardized outer loadings lie between 0.812 and 0.879 (Figure 1), above the 0.708 benchmark. Average variance extracted (AVE) ranges from 0.692 to 0.747, exceeding 0.50 and establishing convergent validity (Table 4). Internal consistency is strong but not excessive: Cronbach's α (0.885–0.892), the Dijkstra–Henseler ρ_A (0.887–0.895), and composite reliability ρ_c (0.918–0.922) all fall in the recommended 0.70–0.95 band. Indicator-level collinearity is unproblematic (maximum outer VIF = 2.46).</w:t>
      </w:r>
    </w:p>
    <w:p>
      <w:pPr>
        <w:spacing w:before="120" w:after="60"/>
      </w:pPr>
      <w:r>
        <w:rPr>
          <w:rFonts w:ascii="Times New Roman" w:hAnsi="Times New Roman"/>
          <w:b/>
          <w:sz w:val="20"/>
        </w:rPr>
        <w:t>Table 4.</w:t>
      </w:r>
      <w:r>
        <w:rPr>
          <w:rFonts w:ascii="Times New Roman" w:hAnsi="Times New Roman"/>
          <w:sz w:val="20"/>
        </w:rPr>
        <w:t xml:space="preserve"> Reliability and convergent validity.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5496"/>
          </w:tcPr>
          <w:p>
            <w:pPr>
              <w:jc w:val="center"/>
            </w:pPr>
            <w:r/>
            <w:r>
              <w:rPr>
                <w:rFonts w:ascii="Times New Roman" w:hAnsi="Times New Roman"/>
                <w:b/>
                <w:color w:val="FFFFFF"/>
                <w:sz w:val="18"/>
              </w:rPr>
              <w:t>Construct</w:t>
            </w:r>
          </w:p>
        </w:tc>
        <w:tc>
          <w:tcPr>
            <w:tcW w:type="dxa" w:w="1560"/>
            <w:shd w:val="clear" w:color="auto" w:fill="2E5496"/>
          </w:tcPr>
          <w:p>
            <w:pPr>
              <w:jc w:val="center"/>
            </w:pPr>
            <w:r/>
            <w:r>
              <w:rPr>
                <w:rFonts w:ascii="Times New Roman" w:hAnsi="Times New Roman"/>
                <w:b/>
                <w:color w:val="FFFFFF"/>
                <w:sz w:val="18"/>
              </w:rPr>
              <w:t># items</w:t>
            </w:r>
          </w:p>
        </w:tc>
        <w:tc>
          <w:tcPr>
            <w:tcW w:type="dxa" w:w="1560"/>
            <w:shd w:val="clear" w:color="auto" w:fill="2E5496"/>
          </w:tcPr>
          <w:p>
            <w:pPr>
              <w:jc w:val="center"/>
            </w:pPr>
            <w:r/>
            <w:r>
              <w:rPr>
                <w:rFonts w:ascii="Times New Roman" w:hAnsi="Times New Roman"/>
                <w:b/>
                <w:color w:val="FFFFFF"/>
                <w:sz w:val="18"/>
              </w:rPr>
              <w:t>Cronbach's α</w:t>
            </w:r>
          </w:p>
        </w:tc>
        <w:tc>
          <w:tcPr>
            <w:tcW w:type="dxa" w:w="1560"/>
            <w:shd w:val="clear" w:color="auto" w:fill="2E5496"/>
          </w:tcPr>
          <w:p>
            <w:pPr>
              <w:jc w:val="center"/>
            </w:pPr>
            <w:r/>
            <w:r>
              <w:rPr>
                <w:rFonts w:ascii="Times New Roman" w:hAnsi="Times New Roman"/>
                <w:b/>
                <w:color w:val="FFFFFF"/>
                <w:sz w:val="18"/>
              </w:rPr>
              <w:t>ρ_A</w:t>
            </w:r>
          </w:p>
        </w:tc>
        <w:tc>
          <w:tcPr>
            <w:tcW w:type="dxa" w:w="1560"/>
            <w:shd w:val="clear" w:color="auto" w:fill="2E5496"/>
          </w:tcPr>
          <w:p>
            <w:pPr>
              <w:jc w:val="center"/>
            </w:pPr>
            <w:r/>
            <w:r>
              <w:rPr>
                <w:rFonts w:ascii="Times New Roman" w:hAnsi="Times New Roman"/>
                <w:b/>
                <w:color w:val="FFFFFF"/>
                <w:sz w:val="18"/>
              </w:rPr>
              <w:t>CR (ρ_c)</w:t>
            </w:r>
          </w:p>
        </w:tc>
        <w:tc>
          <w:tcPr>
            <w:tcW w:type="dxa" w:w="1560"/>
            <w:shd w:val="clear" w:color="auto" w:fill="2E5496"/>
          </w:tcPr>
          <w:p>
            <w:pPr>
              <w:jc w:val="center"/>
            </w:pPr>
            <w:r/>
            <w:r>
              <w:rPr>
                <w:rFonts w:ascii="Times New Roman" w:hAnsi="Times New Roman"/>
                <w:b/>
                <w:color w:val="FFFFFF"/>
                <w:sz w:val="18"/>
              </w:rPr>
              <w:t>AVE</w:t>
            </w:r>
          </w:p>
        </w:tc>
      </w:tr>
      <w:tr>
        <w:tc>
          <w:tcPr>
            <w:tcW w:type="dxa" w:w="1560"/>
          </w:tcPr>
          <w:p>
            <w:r/>
            <w:r>
              <w:rPr>
                <w:rFonts w:ascii="Times New Roman" w:hAnsi="Times New Roman"/>
                <w:sz w:val="18"/>
              </w:rPr>
              <w:t>UE</w:t>
            </w:r>
          </w:p>
        </w:tc>
        <w:tc>
          <w:tcPr>
            <w:tcW w:type="dxa" w:w="1560"/>
          </w:tcPr>
          <w:p>
            <w:r/>
            <w:r>
              <w:rPr>
                <w:rFonts w:ascii="Times New Roman" w:hAnsi="Times New Roman"/>
                <w:sz w:val="18"/>
              </w:rPr>
              <w:t>5</w:t>
            </w:r>
          </w:p>
        </w:tc>
        <w:tc>
          <w:tcPr>
            <w:tcW w:type="dxa" w:w="1560"/>
          </w:tcPr>
          <w:p>
            <w:r/>
            <w:r>
              <w:rPr>
                <w:rFonts w:ascii="Times New Roman" w:hAnsi="Times New Roman"/>
                <w:sz w:val="18"/>
              </w:rPr>
              <w:t>0.889</w:t>
            </w:r>
          </w:p>
        </w:tc>
        <w:tc>
          <w:tcPr>
            <w:tcW w:type="dxa" w:w="1560"/>
          </w:tcPr>
          <w:p>
            <w:r/>
            <w:r>
              <w:rPr>
                <w:rFonts w:ascii="Times New Roman" w:hAnsi="Times New Roman"/>
                <w:sz w:val="18"/>
              </w:rPr>
              <w:t>0.892</w:t>
            </w:r>
          </w:p>
        </w:tc>
        <w:tc>
          <w:tcPr>
            <w:tcW w:type="dxa" w:w="1560"/>
          </w:tcPr>
          <w:p>
            <w:r/>
            <w:r>
              <w:rPr>
                <w:rFonts w:ascii="Times New Roman" w:hAnsi="Times New Roman"/>
                <w:sz w:val="18"/>
              </w:rPr>
              <w:t>0.918</w:t>
            </w:r>
          </w:p>
        </w:tc>
        <w:tc>
          <w:tcPr>
            <w:tcW w:type="dxa" w:w="1560"/>
          </w:tcPr>
          <w:p>
            <w:r/>
            <w:r>
              <w:rPr>
                <w:rFonts w:ascii="Times New Roman" w:hAnsi="Times New Roman"/>
                <w:sz w:val="18"/>
              </w:rPr>
              <w:t>0.692</w:t>
            </w:r>
          </w:p>
        </w:tc>
      </w:tr>
      <w:tr>
        <w:tc>
          <w:tcPr>
            <w:tcW w:type="dxa" w:w="1560"/>
          </w:tcPr>
          <w:p>
            <w:r/>
            <w:r>
              <w:rPr>
                <w:rFonts w:ascii="Times New Roman" w:hAnsi="Times New Roman"/>
                <w:sz w:val="18"/>
              </w:rPr>
              <w:t>UX</w:t>
            </w:r>
          </w:p>
        </w:tc>
        <w:tc>
          <w:tcPr>
            <w:tcW w:type="dxa" w:w="1560"/>
          </w:tcPr>
          <w:p>
            <w:r/>
            <w:r>
              <w:rPr>
                <w:rFonts w:ascii="Times New Roman" w:hAnsi="Times New Roman"/>
                <w:sz w:val="18"/>
              </w:rPr>
              <w:t>5</w:t>
            </w:r>
          </w:p>
        </w:tc>
        <w:tc>
          <w:tcPr>
            <w:tcW w:type="dxa" w:w="1560"/>
          </w:tcPr>
          <w:p>
            <w:r/>
            <w:r>
              <w:rPr>
                <w:rFonts w:ascii="Times New Roman" w:hAnsi="Times New Roman"/>
                <w:sz w:val="18"/>
              </w:rPr>
              <w:t>0.892</w:t>
            </w:r>
          </w:p>
        </w:tc>
        <w:tc>
          <w:tcPr>
            <w:tcW w:type="dxa" w:w="1560"/>
          </w:tcPr>
          <w:p>
            <w:r/>
            <w:r>
              <w:rPr>
                <w:rFonts w:ascii="Times New Roman" w:hAnsi="Times New Roman"/>
                <w:sz w:val="18"/>
              </w:rPr>
              <w:t>0.895</w:t>
            </w:r>
          </w:p>
        </w:tc>
        <w:tc>
          <w:tcPr>
            <w:tcW w:type="dxa" w:w="1560"/>
          </w:tcPr>
          <w:p>
            <w:r/>
            <w:r>
              <w:rPr>
                <w:rFonts w:ascii="Times New Roman" w:hAnsi="Times New Roman"/>
                <w:sz w:val="18"/>
              </w:rPr>
              <w:t>0.921</w:t>
            </w:r>
          </w:p>
        </w:tc>
        <w:tc>
          <w:tcPr>
            <w:tcW w:type="dxa" w:w="1560"/>
          </w:tcPr>
          <w:p>
            <w:r/>
            <w:r>
              <w:rPr>
                <w:rFonts w:ascii="Times New Roman" w:hAnsi="Times New Roman"/>
                <w:sz w:val="18"/>
              </w:rPr>
              <w:t>0.699</w:t>
            </w:r>
          </w:p>
        </w:tc>
      </w:tr>
      <w:tr>
        <w:tc>
          <w:tcPr>
            <w:tcW w:type="dxa" w:w="1560"/>
          </w:tcPr>
          <w:p>
            <w:r/>
            <w:r>
              <w:rPr>
                <w:rFonts w:ascii="Times New Roman" w:hAnsi="Times New Roman"/>
                <w:sz w:val="18"/>
              </w:rPr>
              <w:t>BSAT</w:t>
            </w:r>
          </w:p>
        </w:tc>
        <w:tc>
          <w:tcPr>
            <w:tcW w:type="dxa" w:w="1560"/>
          </w:tcPr>
          <w:p>
            <w:r/>
            <w:r>
              <w:rPr>
                <w:rFonts w:ascii="Times New Roman" w:hAnsi="Times New Roman"/>
                <w:sz w:val="18"/>
              </w:rPr>
              <w:t>4</w:t>
            </w:r>
          </w:p>
        </w:tc>
        <w:tc>
          <w:tcPr>
            <w:tcW w:type="dxa" w:w="1560"/>
          </w:tcPr>
          <w:p>
            <w:r/>
            <w:r>
              <w:rPr>
                <w:rFonts w:ascii="Times New Roman" w:hAnsi="Times New Roman"/>
                <w:sz w:val="18"/>
              </w:rPr>
              <w:t>0.885</w:t>
            </w:r>
          </w:p>
        </w:tc>
        <w:tc>
          <w:tcPr>
            <w:tcW w:type="dxa" w:w="1560"/>
          </w:tcPr>
          <w:p>
            <w:r/>
            <w:r>
              <w:rPr>
                <w:rFonts w:ascii="Times New Roman" w:hAnsi="Times New Roman"/>
                <w:sz w:val="18"/>
              </w:rPr>
              <w:t>0.887</w:t>
            </w:r>
          </w:p>
        </w:tc>
        <w:tc>
          <w:tcPr>
            <w:tcW w:type="dxa" w:w="1560"/>
          </w:tcPr>
          <w:p>
            <w:r/>
            <w:r>
              <w:rPr>
                <w:rFonts w:ascii="Times New Roman" w:hAnsi="Times New Roman"/>
                <w:sz w:val="18"/>
              </w:rPr>
              <w:t>0.921</w:t>
            </w:r>
          </w:p>
        </w:tc>
        <w:tc>
          <w:tcPr>
            <w:tcW w:type="dxa" w:w="1560"/>
          </w:tcPr>
          <w:p>
            <w:r/>
            <w:r>
              <w:rPr>
                <w:rFonts w:ascii="Times New Roman" w:hAnsi="Times New Roman"/>
                <w:sz w:val="18"/>
              </w:rPr>
              <w:t>0.743</w:t>
            </w:r>
          </w:p>
        </w:tc>
      </w:tr>
      <w:tr>
        <w:tc>
          <w:tcPr>
            <w:tcW w:type="dxa" w:w="1560"/>
          </w:tcPr>
          <w:p>
            <w:r/>
            <w:r>
              <w:rPr>
                <w:rFonts w:ascii="Times New Roman" w:hAnsi="Times New Roman"/>
                <w:sz w:val="18"/>
              </w:rPr>
              <w:t>BSUC</w:t>
            </w:r>
          </w:p>
        </w:tc>
        <w:tc>
          <w:tcPr>
            <w:tcW w:type="dxa" w:w="1560"/>
          </w:tcPr>
          <w:p>
            <w:r/>
            <w:r>
              <w:rPr>
                <w:rFonts w:ascii="Times New Roman" w:hAnsi="Times New Roman"/>
                <w:sz w:val="18"/>
              </w:rPr>
              <w:t>4</w:t>
            </w:r>
          </w:p>
        </w:tc>
        <w:tc>
          <w:tcPr>
            <w:tcW w:type="dxa" w:w="1560"/>
          </w:tcPr>
          <w:p>
            <w:r/>
            <w:r>
              <w:rPr>
                <w:rFonts w:ascii="Times New Roman" w:hAnsi="Times New Roman"/>
                <w:sz w:val="18"/>
              </w:rPr>
              <w:t>0.887</w:t>
            </w:r>
          </w:p>
        </w:tc>
        <w:tc>
          <w:tcPr>
            <w:tcW w:type="dxa" w:w="1560"/>
          </w:tcPr>
          <w:p>
            <w:r/>
            <w:r>
              <w:rPr>
                <w:rFonts w:ascii="Times New Roman" w:hAnsi="Times New Roman"/>
                <w:sz w:val="18"/>
              </w:rPr>
              <w:t>0.888</w:t>
            </w:r>
          </w:p>
        </w:tc>
        <w:tc>
          <w:tcPr>
            <w:tcW w:type="dxa" w:w="1560"/>
          </w:tcPr>
          <w:p>
            <w:r/>
            <w:r>
              <w:rPr>
                <w:rFonts w:ascii="Times New Roman" w:hAnsi="Times New Roman"/>
                <w:sz w:val="18"/>
              </w:rPr>
              <w:t>0.922</w:t>
            </w:r>
          </w:p>
        </w:tc>
        <w:tc>
          <w:tcPr>
            <w:tcW w:type="dxa" w:w="1560"/>
          </w:tcPr>
          <w:p>
            <w:r/>
            <w:r>
              <w:rPr>
                <w:rFonts w:ascii="Times New Roman" w:hAnsi="Times New Roman"/>
                <w:sz w:val="18"/>
              </w:rPr>
              <w:t>0.747</w:t>
            </w:r>
          </w:p>
        </w:tc>
      </w:tr>
    </w:tbl>
    <w:p>
      <w:pPr>
        <w:spacing w:after="40"/>
      </w:pPr>
    </w:p>
    <w:p>
      <w:pPr>
        <w:spacing w:before="120"/>
        <w:jc w:val="center"/>
      </w:pPr>
      <w:r>
        <w:drawing>
          <wp:inline xmlns:a="http://schemas.openxmlformats.org/drawingml/2006/main" xmlns:pic="http://schemas.openxmlformats.org/drawingml/2006/picture">
            <wp:extent cx="5303520" cy="2668701"/>
            <wp:docPr id="1" name="Picture 1"/>
            <wp:cNvGraphicFramePr>
              <a:graphicFrameLocks noChangeAspect="1"/>
            </wp:cNvGraphicFramePr>
            <a:graphic>
              <a:graphicData uri="http://schemas.openxmlformats.org/drawingml/2006/picture">
                <pic:pic>
                  <pic:nvPicPr>
                    <pic:cNvPr id="0" name="img_019.png"/>
                    <pic:cNvPicPr/>
                  </pic:nvPicPr>
                  <pic:blipFill>
                    <a:blip r:embed="rId9"/>
                    <a:stretch>
                      <a:fillRect/>
                    </a:stretch>
                  </pic:blipFill>
                  <pic:spPr>
                    <a:xfrm>
                      <a:off x="0" y="0"/>
                      <a:ext cx="5303520" cy="2668701"/>
                    </a:xfrm>
                    <a:prstGeom prst="rect"/>
                  </pic:spPr>
                </pic:pic>
              </a:graphicData>
            </a:graphic>
          </wp:inline>
        </w:drawing>
      </w:r>
    </w:p>
    <w:p>
      <w:pPr>
        <w:spacing w:after="200"/>
        <w:jc w:val="center"/>
      </w:pPr>
      <w:r>
        <w:rPr>
          <w:rFonts w:ascii="Times New Roman" w:hAnsi="Times New Roman"/>
          <w:b/>
          <w:sz w:val="19"/>
        </w:rPr>
        <w:t>Figure 1.</w:t>
      </w:r>
      <w:r>
        <w:rPr>
          <w:rFonts w:ascii="Times New Roman" w:hAnsi="Times New Roman"/>
          <w:sz w:val="19"/>
        </w:rPr>
        <w:t xml:space="preserve"> Indicator outer loadings by construct (dashed line = 0.708 threshold).</w:t>
      </w:r>
    </w:p>
    <w:p>
      <w:pPr>
        <w:spacing w:before="160" w:after="60"/>
      </w:pPr>
      <w:r>
        <w:rPr>
          <w:rFonts w:ascii="Times New Roman" w:hAnsi="Times New Roman"/>
          <w:b/>
          <w:i/>
          <w:color w:val="2E5496"/>
          <w:sz w:val="23"/>
        </w:rPr>
        <w:t>2.2 Discriminant validity</w:t>
      </w:r>
    </w:p>
    <w:p>
      <w:pPr>
        <w:jc w:val="both"/>
      </w:pPr>
      <w:r>
        <w:rPr>
          <w:rFonts w:ascii="Times New Roman" w:hAnsi="Times New Roman"/>
          <w:sz w:val="22"/>
        </w:rPr>
        <w:t>Discriminant validity was established with three complementary criteria. Fornell–Larcker (Table 5, Figure 3): for every construct the square root of the AVE (diagonal) exceeds its correlations with all other constructs. Heterotrait–monotrait ratio (HTMT; Table 6, Figure 2): all values fall between 0.30 and 0.615, far below the conservative 0.85 threshold (Henseler et al., 2015), with bootstrap confidence intervals excluding 1. Cross-loadings: every indicator loads highest on its own construct by a margin of at least 0.40.</w:t>
      </w:r>
    </w:p>
    <w:p>
      <w:pPr>
        <w:spacing w:before="120" w:after="60"/>
      </w:pPr>
      <w:r>
        <w:rPr>
          <w:rFonts w:ascii="Times New Roman" w:hAnsi="Times New Roman"/>
          <w:b/>
          <w:sz w:val="20"/>
        </w:rPr>
        <w:t>Table 5.</w:t>
      </w:r>
      <w:r>
        <w:rPr>
          <w:rFonts w:ascii="Times New Roman" w:hAnsi="Times New Roman"/>
          <w:sz w:val="20"/>
        </w:rPr>
        <w:t xml:space="preserve"> Fornell–Larcker matrix (diagonal = √AVE).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r>
          </w:p>
        </w:tc>
        <w:tc>
          <w:tcPr>
            <w:tcW w:type="dxa" w:w="1872"/>
            <w:shd w:val="clear" w:color="auto" w:fill="2E5496"/>
          </w:tcPr>
          <w:p>
            <w:pPr>
              <w:jc w:val="center"/>
            </w:pPr>
            <w:r/>
            <w:r>
              <w:rPr>
                <w:rFonts w:ascii="Times New Roman" w:hAnsi="Times New Roman"/>
                <w:b/>
                <w:color w:val="FFFFFF"/>
                <w:sz w:val="18"/>
              </w:rPr>
              <w:t>UE</w:t>
            </w:r>
          </w:p>
        </w:tc>
        <w:tc>
          <w:tcPr>
            <w:tcW w:type="dxa" w:w="1872"/>
            <w:shd w:val="clear" w:color="auto" w:fill="2E5496"/>
          </w:tcPr>
          <w:p>
            <w:pPr>
              <w:jc w:val="center"/>
            </w:pPr>
            <w:r/>
            <w:r>
              <w:rPr>
                <w:rFonts w:ascii="Times New Roman" w:hAnsi="Times New Roman"/>
                <w:b/>
                <w:color w:val="FFFFFF"/>
                <w:sz w:val="18"/>
              </w:rPr>
              <w:t>UX</w:t>
            </w:r>
          </w:p>
        </w:tc>
        <w:tc>
          <w:tcPr>
            <w:tcW w:type="dxa" w:w="1872"/>
            <w:shd w:val="clear" w:color="auto" w:fill="2E5496"/>
          </w:tcPr>
          <w:p>
            <w:pPr>
              <w:jc w:val="center"/>
            </w:pPr>
            <w:r/>
            <w:r>
              <w:rPr>
                <w:rFonts w:ascii="Times New Roman" w:hAnsi="Times New Roman"/>
                <w:b/>
                <w:color w:val="FFFFFF"/>
                <w:sz w:val="18"/>
              </w:rPr>
              <w:t>BSAT</w:t>
            </w:r>
          </w:p>
        </w:tc>
        <w:tc>
          <w:tcPr>
            <w:tcW w:type="dxa" w:w="1872"/>
            <w:shd w:val="clear" w:color="auto" w:fill="2E5496"/>
          </w:tcPr>
          <w:p>
            <w:pPr>
              <w:jc w:val="center"/>
            </w:pPr>
            <w:r/>
            <w:r>
              <w:rPr>
                <w:rFonts w:ascii="Times New Roman" w:hAnsi="Times New Roman"/>
                <w:b/>
                <w:color w:val="FFFFFF"/>
                <w:sz w:val="18"/>
              </w:rPr>
              <w:t>BSUC</w:t>
            </w:r>
          </w:p>
        </w:tc>
      </w:tr>
      <w:tr>
        <w:tc>
          <w:tcPr>
            <w:tcW w:type="dxa" w:w="1872"/>
          </w:tcPr>
          <w:p>
            <w:r/>
            <w:r>
              <w:rPr>
                <w:rFonts w:ascii="Times New Roman" w:hAnsi="Times New Roman"/>
                <w:sz w:val="18"/>
              </w:rPr>
              <w:t>UE</w:t>
            </w:r>
          </w:p>
        </w:tc>
        <w:tc>
          <w:tcPr>
            <w:tcW w:type="dxa" w:w="1872"/>
          </w:tcPr>
          <w:p>
            <w:r/>
            <w:r>
              <w:rPr>
                <w:rFonts w:ascii="Times New Roman" w:hAnsi="Times New Roman"/>
                <w:sz w:val="18"/>
              </w:rPr>
              <w:t>0.832</w:t>
            </w:r>
          </w:p>
        </w:tc>
        <w:tc>
          <w:tcPr>
            <w:tcW w:type="dxa" w:w="1872"/>
          </w:tcPr>
          <w:p>
            <w:r/>
            <w:r>
              <w:rPr>
                <w:rFonts w:ascii="Times New Roman" w:hAnsi="Times New Roman"/>
                <w:sz w:val="18"/>
              </w:rPr>
            </w:r>
          </w:p>
        </w:tc>
        <w:tc>
          <w:tcPr>
            <w:tcW w:type="dxa" w:w="1872"/>
          </w:tcPr>
          <w:p>
            <w:r/>
            <w:r>
              <w:rPr>
                <w:rFonts w:ascii="Times New Roman" w:hAnsi="Times New Roman"/>
                <w:sz w:val="18"/>
              </w:rPr>
            </w:r>
          </w:p>
        </w:tc>
        <w:tc>
          <w:tcPr>
            <w:tcW w:type="dxa" w:w="1872"/>
          </w:tcPr>
          <w:p>
            <w:r/>
            <w:r>
              <w:rPr>
                <w:rFonts w:ascii="Times New Roman" w:hAnsi="Times New Roman"/>
                <w:sz w:val="18"/>
              </w:rPr>
            </w:r>
          </w:p>
        </w:tc>
      </w:tr>
      <w:tr>
        <w:tc>
          <w:tcPr>
            <w:tcW w:type="dxa" w:w="1872"/>
          </w:tcPr>
          <w:p>
            <w:r/>
            <w:r>
              <w:rPr>
                <w:rFonts w:ascii="Times New Roman" w:hAnsi="Times New Roman"/>
                <w:sz w:val="18"/>
              </w:rPr>
              <w:t>UX</w:t>
            </w:r>
          </w:p>
        </w:tc>
        <w:tc>
          <w:tcPr>
            <w:tcW w:type="dxa" w:w="1872"/>
          </w:tcPr>
          <w:p>
            <w:r/>
            <w:r>
              <w:rPr>
                <w:rFonts w:ascii="Times New Roman" w:hAnsi="Times New Roman"/>
                <w:sz w:val="18"/>
              </w:rPr>
              <w:t>0.365</w:t>
            </w:r>
          </w:p>
        </w:tc>
        <w:tc>
          <w:tcPr>
            <w:tcW w:type="dxa" w:w="1872"/>
          </w:tcPr>
          <w:p>
            <w:r/>
            <w:r>
              <w:rPr>
                <w:rFonts w:ascii="Times New Roman" w:hAnsi="Times New Roman"/>
                <w:sz w:val="18"/>
              </w:rPr>
              <w:t>0.836</w:t>
            </w:r>
          </w:p>
        </w:tc>
        <w:tc>
          <w:tcPr>
            <w:tcW w:type="dxa" w:w="1872"/>
          </w:tcPr>
          <w:p>
            <w:r/>
            <w:r>
              <w:rPr>
                <w:rFonts w:ascii="Times New Roman" w:hAnsi="Times New Roman"/>
                <w:sz w:val="18"/>
              </w:rPr>
            </w:r>
          </w:p>
        </w:tc>
        <w:tc>
          <w:tcPr>
            <w:tcW w:type="dxa" w:w="1872"/>
          </w:tcPr>
          <w:p>
            <w:r/>
            <w:r>
              <w:rPr>
                <w:rFonts w:ascii="Times New Roman" w:hAnsi="Times New Roman"/>
                <w:sz w:val="18"/>
              </w:rPr>
            </w:r>
          </w:p>
        </w:tc>
      </w:tr>
      <w:tr>
        <w:tc>
          <w:tcPr>
            <w:tcW w:type="dxa" w:w="1872"/>
          </w:tcPr>
          <w:p>
            <w:r/>
            <w:r>
              <w:rPr>
                <w:rFonts w:ascii="Times New Roman" w:hAnsi="Times New Roman"/>
                <w:sz w:val="18"/>
              </w:rPr>
              <w:t>BSAT</w:t>
            </w:r>
          </w:p>
        </w:tc>
        <w:tc>
          <w:tcPr>
            <w:tcW w:type="dxa" w:w="1872"/>
          </w:tcPr>
          <w:p>
            <w:r/>
            <w:r>
              <w:rPr>
                <w:rFonts w:ascii="Times New Roman" w:hAnsi="Times New Roman"/>
                <w:sz w:val="18"/>
              </w:rPr>
              <w:t>0.300</w:t>
            </w:r>
          </w:p>
        </w:tc>
        <w:tc>
          <w:tcPr>
            <w:tcW w:type="dxa" w:w="1872"/>
          </w:tcPr>
          <w:p>
            <w:r/>
            <w:r>
              <w:rPr>
                <w:rFonts w:ascii="Times New Roman" w:hAnsi="Times New Roman"/>
                <w:sz w:val="18"/>
              </w:rPr>
              <w:t>0.450</w:t>
            </w:r>
          </w:p>
        </w:tc>
        <w:tc>
          <w:tcPr>
            <w:tcW w:type="dxa" w:w="1872"/>
          </w:tcPr>
          <w:p>
            <w:r/>
            <w:r>
              <w:rPr>
                <w:rFonts w:ascii="Times New Roman" w:hAnsi="Times New Roman"/>
                <w:sz w:val="18"/>
              </w:rPr>
              <w:t>0.862</w:t>
            </w:r>
          </w:p>
        </w:tc>
        <w:tc>
          <w:tcPr>
            <w:tcW w:type="dxa" w:w="1872"/>
          </w:tcPr>
          <w:p>
            <w:r/>
            <w:r>
              <w:rPr>
                <w:rFonts w:ascii="Times New Roman" w:hAnsi="Times New Roman"/>
                <w:sz w:val="18"/>
              </w:rPr>
            </w:r>
          </w:p>
        </w:tc>
      </w:tr>
      <w:tr>
        <w:tc>
          <w:tcPr>
            <w:tcW w:type="dxa" w:w="1872"/>
          </w:tcPr>
          <w:p>
            <w:r/>
            <w:r>
              <w:rPr>
                <w:rFonts w:ascii="Times New Roman" w:hAnsi="Times New Roman"/>
                <w:sz w:val="18"/>
              </w:rPr>
              <w:t>BSUC</w:t>
            </w:r>
          </w:p>
        </w:tc>
        <w:tc>
          <w:tcPr>
            <w:tcW w:type="dxa" w:w="1872"/>
          </w:tcPr>
          <w:p>
            <w:r/>
            <w:r>
              <w:rPr>
                <w:rFonts w:ascii="Times New Roman" w:hAnsi="Times New Roman"/>
                <w:sz w:val="18"/>
              </w:rPr>
              <w:t>0.265</w:t>
            </w:r>
          </w:p>
        </w:tc>
        <w:tc>
          <w:tcPr>
            <w:tcW w:type="dxa" w:w="1872"/>
          </w:tcPr>
          <w:p>
            <w:r/>
            <w:r>
              <w:rPr>
                <w:rFonts w:ascii="Times New Roman" w:hAnsi="Times New Roman"/>
                <w:sz w:val="18"/>
              </w:rPr>
              <w:t>0.341</w:t>
            </w:r>
          </w:p>
        </w:tc>
        <w:tc>
          <w:tcPr>
            <w:tcW w:type="dxa" w:w="1872"/>
          </w:tcPr>
          <w:p>
            <w:r/>
            <w:r>
              <w:rPr>
                <w:rFonts w:ascii="Times New Roman" w:hAnsi="Times New Roman"/>
                <w:sz w:val="18"/>
              </w:rPr>
              <w:t>0.545</w:t>
            </w:r>
          </w:p>
        </w:tc>
        <w:tc>
          <w:tcPr>
            <w:tcW w:type="dxa" w:w="1872"/>
          </w:tcPr>
          <w:p>
            <w:r/>
            <w:r>
              <w:rPr>
                <w:rFonts w:ascii="Times New Roman" w:hAnsi="Times New Roman"/>
                <w:sz w:val="18"/>
              </w:rPr>
              <w:t>0.865</w:t>
            </w:r>
          </w:p>
        </w:tc>
      </w:tr>
    </w:tbl>
    <w:p>
      <w:pPr>
        <w:spacing w:after="40"/>
      </w:pPr>
    </w:p>
    <w:p>
      <w:pPr>
        <w:spacing w:before="120" w:after="60"/>
      </w:pPr>
      <w:r>
        <w:rPr>
          <w:rFonts w:ascii="Times New Roman" w:hAnsi="Times New Roman"/>
          <w:b/>
          <w:sz w:val="20"/>
        </w:rPr>
        <w:t>Table 6.</w:t>
      </w:r>
      <w:r>
        <w:rPr>
          <w:rFonts w:ascii="Times New Roman" w:hAnsi="Times New Roman"/>
          <w:sz w:val="20"/>
        </w:rPr>
        <w:t xml:space="preserve"> Heterotrait–monotrait (HTMT) ratios.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r>
          </w:p>
        </w:tc>
        <w:tc>
          <w:tcPr>
            <w:tcW w:type="dxa" w:w="1872"/>
            <w:shd w:val="clear" w:color="auto" w:fill="2E5496"/>
          </w:tcPr>
          <w:p>
            <w:pPr>
              <w:jc w:val="center"/>
            </w:pPr>
            <w:r/>
            <w:r>
              <w:rPr>
                <w:rFonts w:ascii="Times New Roman" w:hAnsi="Times New Roman"/>
                <w:b/>
                <w:color w:val="FFFFFF"/>
                <w:sz w:val="18"/>
              </w:rPr>
              <w:t>UE</w:t>
            </w:r>
          </w:p>
        </w:tc>
        <w:tc>
          <w:tcPr>
            <w:tcW w:type="dxa" w:w="1872"/>
            <w:shd w:val="clear" w:color="auto" w:fill="2E5496"/>
          </w:tcPr>
          <w:p>
            <w:pPr>
              <w:jc w:val="center"/>
            </w:pPr>
            <w:r/>
            <w:r>
              <w:rPr>
                <w:rFonts w:ascii="Times New Roman" w:hAnsi="Times New Roman"/>
                <w:b/>
                <w:color w:val="FFFFFF"/>
                <w:sz w:val="18"/>
              </w:rPr>
              <w:t>UX</w:t>
            </w:r>
          </w:p>
        </w:tc>
        <w:tc>
          <w:tcPr>
            <w:tcW w:type="dxa" w:w="1872"/>
            <w:shd w:val="clear" w:color="auto" w:fill="2E5496"/>
          </w:tcPr>
          <w:p>
            <w:pPr>
              <w:jc w:val="center"/>
            </w:pPr>
            <w:r/>
            <w:r>
              <w:rPr>
                <w:rFonts w:ascii="Times New Roman" w:hAnsi="Times New Roman"/>
                <w:b/>
                <w:color w:val="FFFFFF"/>
                <w:sz w:val="18"/>
              </w:rPr>
              <w:t>BSAT</w:t>
            </w:r>
          </w:p>
        </w:tc>
        <w:tc>
          <w:tcPr>
            <w:tcW w:type="dxa" w:w="1872"/>
            <w:shd w:val="clear" w:color="auto" w:fill="2E5496"/>
          </w:tcPr>
          <w:p>
            <w:pPr>
              <w:jc w:val="center"/>
            </w:pPr>
            <w:r/>
            <w:r>
              <w:rPr>
                <w:rFonts w:ascii="Times New Roman" w:hAnsi="Times New Roman"/>
                <w:b/>
                <w:color w:val="FFFFFF"/>
                <w:sz w:val="18"/>
              </w:rPr>
              <w:t>BSUC</w:t>
            </w:r>
          </w:p>
        </w:tc>
      </w:tr>
      <w:tr>
        <w:tc>
          <w:tcPr>
            <w:tcW w:type="dxa" w:w="1872"/>
          </w:tcPr>
          <w:p>
            <w:r/>
            <w:r>
              <w:rPr>
                <w:rFonts w:ascii="Times New Roman" w:hAnsi="Times New Roman"/>
                <w:sz w:val="18"/>
              </w:rPr>
              <w:t>UE</w:t>
            </w:r>
          </w:p>
        </w:tc>
        <w:tc>
          <w:tcPr>
            <w:tcW w:type="dxa" w:w="1872"/>
          </w:tcPr>
          <w:p>
            <w:r/>
            <w:r>
              <w:rPr>
                <w:rFonts w:ascii="Times New Roman" w:hAnsi="Times New Roman"/>
                <w:sz w:val="18"/>
              </w:rPr>
              <w:t>—</w:t>
            </w:r>
          </w:p>
        </w:tc>
        <w:tc>
          <w:tcPr>
            <w:tcW w:type="dxa" w:w="1872"/>
          </w:tcPr>
          <w:p>
            <w:r/>
            <w:r>
              <w:rPr>
                <w:rFonts w:ascii="Times New Roman" w:hAnsi="Times New Roman"/>
                <w:sz w:val="18"/>
              </w:rPr>
            </w:r>
          </w:p>
        </w:tc>
        <w:tc>
          <w:tcPr>
            <w:tcW w:type="dxa" w:w="1872"/>
          </w:tcPr>
          <w:p>
            <w:r/>
            <w:r>
              <w:rPr>
                <w:rFonts w:ascii="Times New Roman" w:hAnsi="Times New Roman"/>
                <w:sz w:val="18"/>
              </w:rPr>
            </w:r>
          </w:p>
        </w:tc>
        <w:tc>
          <w:tcPr>
            <w:tcW w:type="dxa" w:w="1872"/>
          </w:tcPr>
          <w:p>
            <w:r/>
            <w:r>
              <w:rPr>
                <w:rFonts w:ascii="Times New Roman" w:hAnsi="Times New Roman"/>
                <w:sz w:val="18"/>
              </w:rPr>
            </w:r>
          </w:p>
        </w:tc>
      </w:tr>
      <w:tr>
        <w:tc>
          <w:tcPr>
            <w:tcW w:type="dxa" w:w="1872"/>
          </w:tcPr>
          <w:p>
            <w:r/>
            <w:r>
              <w:rPr>
                <w:rFonts w:ascii="Times New Roman" w:hAnsi="Times New Roman"/>
                <w:sz w:val="18"/>
              </w:rPr>
              <w:t>UX</w:t>
            </w:r>
          </w:p>
        </w:tc>
        <w:tc>
          <w:tcPr>
            <w:tcW w:type="dxa" w:w="1872"/>
          </w:tcPr>
          <w:p>
            <w:r/>
            <w:r>
              <w:rPr>
                <w:rFonts w:ascii="Times New Roman" w:hAnsi="Times New Roman"/>
                <w:sz w:val="18"/>
              </w:rPr>
              <w:t>0.407</w:t>
            </w:r>
          </w:p>
        </w:tc>
        <w:tc>
          <w:tcPr>
            <w:tcW w:type="dxa" w:w="1872"/>
          </w:tcPr>
          <w:p>
            <w:r/>
            <w:r>
              <w:rPr>
                <w:rFonts w:ascii="Times New Roman" w:hAnsi="Times New Roman"/>
                <w:sz w:val="18"/>
              </w:rPr>
              <w:t>—</w:t>
            </w:r>
          </w:p>
        </w:tc>
        <w:tc>
          <w:tcPr>
            <w:tcW w:type="dxa" w:w="1872"/>
          </w:tcPr>
          <w:p>
            <w:r/>
            <w:r>
              <w:rPr>
                <w:rFonts w:ascii="Times New Roman" w:hAnsi="Times New Roman"/>
                <w:sz w:val="18"/>
              </w:rPr>
            </w:r>
          </w:p>
        </w:tc>
        <w:tc>
          <w:tcPr>
            <w:tcW w:type="dxa" w:w="1872"/>
          </w:tcPr>
          <w:p>
            <w:r/>
            <w:r>
              <w:rPr>
                <w:rFonts w:ascii="Times New Roman" w:hAnsi="Times New Roman"/>
                <w:sz w:val="18"/>
              </w:rPr>
            </w:r>
          </w:p>
        </w:tc>
      </w:tr>
      <w:tr>
        <w:tc>
          <w:tcPr>
            <w:tcW w:type="dxa" w:w="1872"/>
          </w:tcPr>
          <w:p>
            <w:r/>
            <w:r>
              <w:rPr>
                <w:rFonts w:ascii="Times New Roman" w:hAnsi="Times New Roman"/>
                <w:sz w:val="18"/>
              </w:rPr>
              <w:t>BSAT</w:t>
            </w:r>
          </w:p>
        </w:tc>
        <w:tc>
          <w:tcPr>
            <w:tcW w:type="dxa" w:w="1872"/>
          </w:tcPr>
          <w:p>
            <w:r/>
            <w:r>
              <w:rPr>
                <w:rFonts w:ascii="Times New Roman" w:hAnsi="Times New Roman"/>
                <w:sz w:val="18"/>
              </w:rPr>
              <w:t>0.334</w:t>
            </w:r>
          </w:p>
        </w:tc>
        <w:tc>
          <w:tcPr>
            <w:tcW w:type="dxa" w:w="1872"/>
          </w:tcPr>
          <w:p>
            <w:r/>
            <w:r>
              <w:rPr>
                <w:rFonts w:ascii="Times New Roman" w:hAnsi="Times New Roman"/>
                <w:sz w:val="18"/>
              </w:rPr>
              <w:t>0.503</w:t>
            </w:r>
          </w:p>
        </w:tc>
        <w:tc>
          <w:tcPr>
            <w:tcW w:type="dxa" w:w="1872"/>
          </w:tcPr>
          <w:p>
            <w:r/>
            <w:r>
              <w:rPr>
                <w:rFonts w:ascii="Times New Roman" w:hAnsi="Times New Roman"/>
                <w:sz w:val="18"/>
              </w:rPr>
              <w:t>—</w:t>
            </w:r>
          </w:p>
        </w:tc>
        <w:tc>
          <w:tcPr>
            <w:tcW w:type="dxa" w:w="1872"/>
          </w:tcPr>
          <w:p>
            <w:r/>
            <w:r>
              <w:rPr>
                <w:rFonts w:ascii="Times New Roman" w:hAnsi="Times New Roman"/>
                <w:sz w:val="18"/>
              </w:rPr>
            </w:r>
          </w:p>
        </w:tc>
      </w:tr>
      <w:tr>
        <w:tc>
          <w:tcPr>
            <w:tcW w:type="dxa" w:w="1872"/>
          </w:tcPr>
          <w:p>
            <w:r/>
            <w:r>
              <w:rPr>
                <w:rFonts w:ascii="Times New Roman" w:hAnsi="Times New Roman"/>
                <w:sz w:val="18"/>
              </w:rPr>
              <w:t>BSUC</w:t>
            </w:r>
          </w:p>
        </w:tc>
        <w:tc>
          <w:tcPr>
            <w:tcW w:type="dxa" w:w="1872"/>
          </w:tcPr>
          <w:p>
            <w:r/>
            <w:r>
              <w:rPr>
                <w:rFonts w:ascii="Times New Roman" w:hAnsi="Times New Roman"/>
                <w:sz w:val="18"/>
              </w:rPr>
              <w:t>0.298</w:t>
            </w:r>
          </w:p>
        </w:tc>
        <w:tc>
          <w:tcPr>
            <w:tcW w:type="dxa" w:w="1872"/>
          </w:tcPr>
          <w:p>
            <w:r/>
            <w:r>
              <w:rPr>
                <w:rFonts w:ascii="Times New Roman" w:hAnsi="Times New Roman"/>
                <w:sz w:val="18"/>
              </w:rPr>
              <w:t>0.381</w:t>
            </w:r>
          </w:p>
        </w:tc>
        <w:tc>
          <w:tcPr>
            <w:tcW w:type="dxa" w:w="1872"/>
          </w:tcPr>
          <w:p>
            <w:r/>
            <w:r>
              <w:rPr>
                <w:rFonts w:ascii="Times New Roman" w:hAnsi="Times New Roman"/>
                <w:sz w:val="18"/>
              </w:rPr>
              <w:t>0.615</w:t>
            </w:r>
          </w:p>
        </w:tc>
        <w:tc>
          <w:tcPr>
            <w:tcW w:type="dxa" w:w="1872"/>
          </w:tcPr>
          <w:p>
            <w:r/>
            <w:r>
              <w:rPr>
                <w:rFonts w:ascii="Times New Roman" w:hAnsi="Times New Roman"/>
                <w:sz w:val="18"/>
              </w:rPr>
              <w:t>—</w:t>
            </w:r>
          </w:p>
        </w:tc>
      </w:tr>
    </w:tbl>
    <w:p>
      <w:pPr>
        <w:spacing w:after="40"/>
      </w:pPr>
    </w:p>
    <w:p>
      <w:pPr>
        <w:spacing w:before="120"/>
        <w:jc w:val="center"/>
      </w:pPr>
      <w:r>
        <w:drawing>
          <wp:inline xmlns:a="http://schemas.openxmlformats.org/drawingml/2006/main" xmlns:pic="http://schemas.openxmlformats.org/drawingml/2006/picture">
            <wp:extent cx="5303520" cy="4412343"/>
            <wp:docPr id="2" name="Picture 2"/>
            <wp:cNvGraphicFramePr>
              <a:graphicFrameLocks noChangeAspect="1"/>
            </wp:cNvGraphicFramePr>
            <a:graphic>
              <a:graphicData uri="http://schemas.openxmlformats.org/drawingml/2006/picture">
                <pic:pic>
                  <pic:nvPicPr>
                    <pic:cNvPr id="0" name="img_027.png"/>
                    <pic:cNvPicPr/>
                  </pic:nvPicPr>
                  <pic:blipFill>
                    <a:blip r:embed="rId10"/>
                    <a:stretch>
                      <a:fillRect/>
                    </a:stretch>
                  </pic:blipFill>
                  <pic:spPr>
                    <a:xfrm>
                      <a:off x="0" y="0"/>
                      <a:ext cx="5303520" cy="4412343"/>
                    </a:xfrm>
                    <a:prstGeom prst="rect"/>
                  </pic:spPr>
                </pic:pic>
              </a:graphicData>
            </a:graphic>
          </wp:inline>
        </w:drawing>
      </w:r>
    </w:p>
    <w:p>
      <w:pPr>
        <w:spacing w:after="200"/>
        <w:jc w:val="center"/>
      </w:pPr>
      <w:r>
        <w:rPr>
          <w:rFonts w:ascii="Times New Roman" w:hAnsi="Times New Roman"/>
          <w:b/>
          <w:sz w:val="19"/>
        </w:rPr>
        <w:t>Figure 2.</w:t>
      </w:r>
      <w:r>
        <w:rPr>
          <w:rFonts w:ascii="Times New Roman" w:hAnsi="Times New Roman"/>
          <w:sz w:val="19"/>
        </w:rPr>
        <w:t xml:space="preserve"> Heterotrait–monotrait (HTMT) ratios.</w:t>
      </w:r>
    </w:p>
    <w:p>
      <w:pPr>
        <w:spacing w:before="120"/>
        <w:jc w:val="center"/>
      </w:pPr>
      <w:r>
        <w:drawing>
          <wp:inline xmlns:a="http://schemas.openxmlformats.org/drawingml/2006/main" xmlns:pic="http://schemas.openxmlformats.org/drawingml/2006/picture">
            <wp:extent cx="5303520" cy="4160213"/>
            <wp:docPr id="3" name="Picture 3"/>
            <wp:cNvGraphicFramePr>
              <a:graphicFrameLocks noChangeAspect="1"/>
            </wp:cNvGraphicFramePr>
            <a:graphic>
              <a:graphicData uri="http://schemas.openxmlformats.org/drawingml/2006/picture">
                <pic:pic>
                  <pic:nvPicPr>
                    <pic:cNvPr id="0" name="img_029.png"/>
                    <pic:cNvPicPr/>
                  </pic:nvPicPr>
                  <pic:blipFill>
                    <a:blip r:embed="rId11"/>
                    <a:stretch>
                      <a:fillRect/>
                    </a:stretch>
                  </pic:blipFill>
                  <pic:spPr>
                    <a:xfrm>
                      <a:off x="0" y="0"/>
                      <a:ext cx="5303520" cy="4160213"/>
                    </a:xfrm>
                    <a:prstGeom prst="rect"/>
                  </pic:spPr>
                </pic:pic>
              </a:graphicData>
            </a:graphic>
          </wp:inline>
        </w:drawing>
      </w:r>
    </w:p>
    <w:p>
      <w:pPr>
        <w:spacing w:after="200"/>
        <w:jc w:val="center"/>
      </w:pPr>
      <w:r>
        <w:rPr>
          <w:rFonts w:ascii="Times New Roman" w:hAnsi="Times New Roman"/>
          <w:b/>
          <w:sz w:val="19"/>
        </w:rPr>
        <w:t>Figure 3.</w:t>
      </w:r>
      <w:r>
        <w:rPr>
          <w:rFonts w:ascii="Times New Roman" w:hAnsi="Times New Roman"/>
          <w:sz w:val="19"/>
        </w:rPr>
        <w:t xml:space="preserve"> Fornell–Larcker matrix (diagonal = √AVE; off-diagonal = construct correlations).</w:t>
      </w:r>
    </w:p>
    <w:p>
      <w:pPr>
        <w:spacing w:before="240" w:after="120"/>
      </w:pPr>
      <w:r>
        <w:rPr>
          <w:rFonts w:ascii="Times New Roman" w:hAnsi="Times New Roman"/>
          <w:b/>
          <w:color w:val="1F3864"/>
          <w:sz w:val="26"/>
        </w:rPr>
        <w:t>3. Structural model assessment</w:t>
      </w:r>
    </w:p>
    <w:p>
      <w:pPr>
        <w:spacing w:before="160" w:after="60"/>
      </w:pPr>
      <w:r>
        <w:rPr>
          <w:rFonts w:ascii="Times New Roman" w:hAnsi="Times New Roman"/>
          <w:b/>
          <w:i/>
          <w:color w:val="2E5496"/>
          <w:sz w:val="23"/>
        </w:rPr>
        <w:t>3.1 Collinearity and model fit</w:t>
      </w:r>
    </w:p>
    <w:p>
      <w:pPr>
        <w:jc w:val="both"/>
      </w:pPr>
      <w:r>
        <w:rPr>
          <w:rFonts w:ascii="Times New Roman" w:hAnsi="Times New Roman"/>
          <w:sz w:val="22"/>
        </w:rPr>
        <w:t>Inner-model collinearity is negligible: all predictor-side VIFs lie between 1.15 and 1.35 (Table 7), ruling out lateral collinearity and supporting the conclusion that common method bias does not distort the path estimates (Kock, 2015). The standardized root mean square residual (SRMR = 0.047) is below the 0.08 cutoff, indicating good approximate fit.</w:t>
      </w:r>
    </w:p>
    <w:p>
      <w:pPr>
        <w:spacing w:before="120" w:after="60"/>
      </w:pPr>
      <w:r>
        <w:rPr>
          <w:rFonts w:ascii="Times New Roman" w:hAnsi="Times New Roman"/>
          <w:b/>
          <w:sz w:val="20"/>
        </w:rPr>
        <w:t>Table 7.</w:t>
      </w:r>
      <w:r>
        <w:rPr>
          <w:rFonts w:ascii="Times New Roman" w:hAnsi="Times New Roman"/>
          <w:sz w:val="20"/>
        </w:rPr>
        <w:t xml:space="preserve"> Inner-model collinearity (VIF).</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5496"/>
          </w:tcPr>
          <w:p>
            <w:pPr>
              <w:jc w:val="center"/>
            </w:pPr>
            <w:r/>
            <w:r>
              <w:rPr>
                <w:rFonts w:ascii="Times New Roman" w:hAnsi="Times New Roman"/>
                <w:b/>
                <w:color w:val="FFFFFF"/>
                <w:sz w:val="18"/>
              </w:rPr>
              <w:t>Predictor → Outcome</w:t>
            </w:r>
          </w:p>
        </w:tc>
        <w:tc>
          <w:tcPr>
            <w:tcW w:type="dxa" w:w="4680"/>
            <w:shd w:val="clear" w:color="auto" w:fill="2E5496"/>
          </w:tcPr>
          <w:p>
            <w:pPr>
              <w:jc w:val="center"/>
            </w:pPr>
            <w:r/>
            <w:r>
              <w:rPr>
                <w:rFonts w:ascii="Times New Roman" w:hAnsi="Times New Roman"/>
                <w:b/>
                <w:color w:val="FFFFFF"/>
                <w:sz w:val="18"/>
              </w:rPr>
              <w:t>VIF</w:t>
            </w:r>
          </w:p>
        </w:tc>
      </w:tr>
      <w:tr>
        <w:tc>
          <w:tcPr>
            <w:tcW w:type="dxa" w:w="4680"/>
          </w:tcPr>
          <w:p>
            <w:r/>
            <w:r>
              <w:rPr>
                <w:rFonts w:ascii="Times New Roman" w:hAnsi="Times New Roman"/>
                <w:sz w:val="18"/>
              </w:rPr>
              <w:t>UE → BSAT</w:t>
            </w:r>
          </w:p>
        </w:tc>
        <w:tc>
          <w:tcPr>
            <w:tcW w:type="dxa" w:w="4680"/>
          </w:tcPr>
          <w:p>
            <w:r/>
            <w:r>
              <w:rPr>
                <w:rFonts w:ascii="Times New Roman" w:hAnsi="Times New Roman"/>
                <w:sz w:val="18"/>
              </w:rPr>
              <w:t>1.15</w:t>
            </w:r>
          </w:p>
        </w:tc>
      </w:tr>
      <w:tr>
        <w:tc>
          <w:tcPr>
            <w:tcW w:type="dxa" w:w="4680"/>
          </w:tcPr>
          <w:p>
            <w:r/>
            <w:r>
              <w:rPr>
                <w:rFonts w:ascii="Times New Roman" w:hAnsi="Times New Roman"/>
                <w:sz w:val="18"/>
              </w:rPr>
              <w:t>UX → BSAT</w:t>
            </w:r>
          </w:p>
        </w:tc>
        <w:tc>
          <w:tcPr>
            <w:tcW w:type="dxa" w:w="4680"/>
          </w:tcPr>
          <w:p>
            <w:r/>
            <w:r>
              <w:rPr>
                <w:rFonts w:ascii="Times New Roman" w:hAnsi="Times New Roman"/>
                <w:sz w:val="18"/>
              </w:rPr>
              <w:t>1.15</w:t>
            </w:r>
          </w:p>
        </w:tc>
      </w:tr>
      <w:tr>
        <w:tc>
          <w:tcPr>
            <w:tcW w:type="dxa" w:w="4680"/>
          </w:tcPr>
          <w:p>
            <w:r/>
            <w:r>
              <w:rPr>
                <w:rFonts w:ascii="Times New Roman" w:hAnsi="Times New Roman"/>
                <w:sz w:val="18"/>
              </w:rPr>
              <w:t>UE → BSUC</w:t>
            </w:r>
          </w:p>
        </w:tc>
        <w:tc>
          <w:tcPr>
            <w:tcW w:type="dxa" w:w="4680"/>
          </w:tcPr>
          <w:p>
            <w:r/>
            <w:r>
              <w:rPr>
                <w:rFonts w:ascii="Times New Roman" w:hAnsi="Times New Roman"/>
                <w:sz w:val="18"/>
              </w:rPr>
              <w:t>1.19</w:t>
            </w:r>
          </w:p>
        </w:tc>
      </w:tr>
      <w:tr>
        <w:tc>
          <w:tcPr>
            <w:tcW w:type="dxa" w:w="4680"/>
          </w:tcPr>
          <w:p>
            <w:r/>
            <w:r>
              <w:rPr>
                <w:rFonts w:ascii="Times New Roman" w:hAnsi="Times New Roman"/>
                <w:sz w:val="18"/>
              </w:rPr>
              <w:t>UX → BSUC</w:t>
            </w:r>
          </w:p>
        </w:tc>
        <w:tc>
          <w:tcPr>
            <w:tcW w:type="dxa" w:w="4680"/>
          </w:tcPr>
          <w:p>
            <w:r/>
            <w:r>
              <w:rPr>
                <w:rFonts w:ascii="Times New Roman" w:hAnsi="Times New Roman"/>
                <w:sz w:val="18"/>
              </w:rPr>
              <w:t>1.35</w:t>
            </w:r>
          </w:p>
        </w:tc>
      </w:tr>
      <w:tr>
        <w:tc>
          <w:tcPr>
            <w:tcW w:type="dxa" w:w="4680"/>
          </w:tcPr>
          <w:p>
            <w:r/>
            <w:r>
              <w:rPr>
                <w:rFonts w:ascii="Times New Roman" w:hAnsi="Times New Roman"/>
                <w:sz w:val="18"/>
              </w:rPr>
              <w:t>BSAT → BSUC</w:t>
            </w:r>
          </w:p>
        </w:tc>
        <w:tc>
          <w:tcPr>
            <w:tcW w:type="dxa" w:w="4680"/>
          </w:tcPr>
          <w:p>
            <w:r/>
            <w:r>
              <w:rPr>
                <w:rFonts w:ascii="Times New Roman" w:hAnsi="Times New Roman"/>
                <w:sz w:val="18"/>
              </w:rPr>
              <w:t>1.29</w:t>
            </w:r>
          </w:p>
        </w:tc>
      </w:tr>
    </w:tbl>
    <w:p>
      <w:pPr>
        <w:spacing w:after="40"/>
      </w:pPr>
    </w:p>
    <w:p>
      <w:pPr>
        <w:spacing w:before="160" w:after="60"/>
      </w:pPr>
      <w:r>
        <w:rPr>
          <w:rFonts w:ascii="Times New Roman" w:hAnsi="Times New Roman"/>
          <w:b/>
          <w:i/>
          <w:color w:val="2E5496"/>
          <w:sz w:val="23"/>
        </w:rPr>
        <w:t>3.2 Explanatory and predictive power</w:t>
      </w:r>
    </w:p>
    <w:p>
      <w:pPr>
        <w:jc w:val="both"/>
      </w:pPr>
      <w:r>
        <w:rPr>
          <w:rFonts w:ascii="Times New Roman" w:hAnsi="Times New Roman"/>
          <w:sz w:val="22"/>
        </w:rPr>
        <w:t>The model explains a meaningful share of variance (Table 8, Figure 4): R² = 0.224 for satisfaction (BSAT) and R² = 0.315 for continuance (BSUC). Blindfolding (omission distance = 7) yielded cross-validated redundancy Q² = 0.160 (BSAT) and 0.228 (BSUC), both above zero, establishing predictive relevance.</w:t>
      </w:r>
    </w:p>
    <w:p>
      <w:pPr>
        <w:spacing w:before="120" w:after="60"/>
      </w:pPr>
      <w:r>
        <w:rPr>
          <w:rFonts w:ascii="Times New Roman" w:hAnsi="Times New Roman"/>
          <w:b/>
          <w:sz w:val="20"/>
        </w:rPr>
        <w:t>Table 8.</w:t>
      </w:r>
      <w:r>
        <w:rPr>
          <w:rFonts w:ascii="Times New Roman" w:hAnsi="Times New Roman"/>
          <w:sz w:val="20"/>
        </w:rPr>
        <w:t xml:space="preserve"> Variance explained and predictive relevance.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5496"/>
          </w:tcPr>
          <w:p>
            <w:pPr>
              <w:jc w:val="center"/>
            </w:pPr>
            <w:r/>
            <w:r>
              <w:rPr>
                <w:rFonts w:ascii="Times New Roman" w:hAnsi="Times New Roman"/>
                <w:b/>
                <w:color w:val="FFFFFF"/>
                <w:sz w:val="18"/>
              </w:rPr>
              <w:t>Construct</w:t>
            </w:r>
          </w:p>
        </w:tc>
        <w:tc>
          <w:tcPr>
            <w:tcW w:type="dxa" w:w="2340"/>
            <w:shd w:val="clear" w:color="auto" w:fill="2E5496"/>
          </w:tcPr>
          <w:p>
            <w:pPr>
              <w:jc w:val="center"/>
            </w:pPr>
            <w:r/>
            <w:r>
              <w:rPr>
                <w:rFonts w:ascii="Times New Roman" w:hAnsi="Times New Roman"/>
                <w:b/>
                <w:color w:val="FFFFFF"/>
                <w:sz w:val="18"/>
              </w:rPr>
              <w:t>R²</w:t>
            </w:r>
          </w:p>
        </w:tc>
        <w:tc>
          <w:tcPr>
            <w:tcW w:type="dxa" w:w="2340"/>
            <w:shd w:val="clear" w:color="auto" w:fill="2E5496"/>
          </w:tcPr>
          <w:p>
            <w:pPr>
              <w:jc w:val="center"/>
            </w:pPr>
            <w:r/>
            <w:r>
              <w:rPr>
                <w:rFonts w:ascii="Times New Roman" w:hAnsi="Times New Roman"/>
                <w:b/>
                <w:color w:val="FFFFFF"/>
                <w:sz w:val="18"/>
              </w:rPr>
              <w:t>Adjusted R²</w:t>
            </w:r>
          </w:p>
        </w:tc>
        <w:tc>
          <w:tcPr>
            <w:tcW w:type="dxa" w:w="2340"/>
            <w:shd w:val="clear" w:color="auto" w:fill="2E5496"/>
          </w:tcPr>
          <w:p>
            <w:pPr>
              <w:jc w:val="center"/>
            </w:pPr>
            <w:r/>
            <w:r>
              <w:rPr>
                <w:rFonts w:ascii="Times New Roman" w:hAnsi="Times New Roman"/>
                <w:b/>
                <w:color w:val="FFFFFF"/>
                <w:sz w:val="18"/>
              </w:rPr>
              <w:t>Q² (blindfolding)</w:t>
            </w:r>
          </w:p>
        </w:tc>
      </w:tr>
      <w:tr>
        <w:tc>
          <w:tcPr>
            <w:tcW w:type="dxa" w:w="2340"/>
          </w:tcPr>
          <w:p>
            <w:r/>
            <w:r>
              <w:rPr>
                <w:rFonts w:ascii="Times New Roman" w:hAnsi="Times New Roman"/>
                <w:sz w:val="18"/>
              </w:rPr>
              <w:t>BSAT</w:t>
            </w:r>
          </w:p>
        </w:tc>
        <w:tc>
          <w:tcPr>
            <w:tcW w:type="dxa" w:w="2340"/>
          </w:tcPr>
          <w:p>
            <w:r/>
            <w:r>
              <w:rPr>
                <w:rFonts w:ascii="Times New Roman" w:hAnsi="Times New Roman"/>
                <w:sz w:val="18"/>
              </w:rPr>
              <w:t>0.224</w:t>
            </w:r>
          </w:p>
        </w:tc>
        <w:tc>
          <w:tcPr>
            <w:tcW w:type="dxa" w:w="2340"/>
          </w:tcPr>
          <w:p>
            <w:r/>
            <w:r>
              <w:rPr>
                <w:rFonts w:ascii="Times New Roman" w:hAnsi="Times New Roman"/>
                <w:sz w:val="18"/>
              </w:rPr>
              <w:t>0.219</w:t>
            </w:r>
          </w:p>
        </w:tc>
        <w:tc>
          <w:tcPr>
            <w:tcW w:type="dxa" w:w="2340"/>
          </w:tcPr>
          <w:p>
            <w:r/>
            <w:r>
              <w:rPr>
                <w:rFonts w:ascii="Times New Roman" w:hAnsi="Times New Roman"/>
                <w:sz w:val="18"/>
              </w:rPr>
              <w:t>0.160</w:t>
            </w:r>
          </w:p>
        </w:tc>
      </w:tr>
      <w:tr>
        <w:tc>
          <w:tcPr>
            <w:tcW w:type="dxa" w:w="2340"/>
          </w:tcPr>
          <w:p>
            <w:r/>
            <w:r>
              <w:rPr>
                <w:rFonts w:ascii="Times New Roman" w:hAnsi="Times New Roman"/>
                <w:sz w:val="18"/>
              </w:rPr>
              <w:t>BSUC</w:t>
            </w:r>
          </w:p>
        </w:tc>
        <w:tc>
          <w:tcPr>
            <w:tcW w:type="dxa" w:w="2340"/>
          </w:tcPr>
          <w:p>
            <w:r/>
            <w:r>
              <w:rPr>
                <w:rFonts w:ascii="Times New Roman" w:hAnsi="Times New Roman"/>
                <w:sz w:val="18"/>
              </w:rPr>
              <w:t>0.315</w:t>
            </w:r>
          </w:p>
        </w:tc>
        <w:tc>
          <w:tcPr>
            <w:tcW w:type="dxa" w:w="2340"/>
          </w:tcPr>
          <w:p>
            <w:r/>
            <w:r>
              <w:rPr>
                <w:rFonts w:ascii="Times New Roman" w:hAnsi="Times New Roman"/>
                <w:sz w:val="18"/>
              </w:rPr>
              <w:t>0.308</w:t>
            </w:r>
          </w:p>
        </w:tc>
        <w:tc>
          <w:tcPr>
            <w:tcW w:type="dxa" w:w="2340"/>
          </w:tcPr>
          <w:p>
            <w:r/>
            <w:r>
              <w:rPr>
                <w:rFonts w:ascii="Times New Roman" w:hAnsi="Times New Roman"/>
                <w:sz w:val="18"/>
              </w:rPr>
              <w:t>0.228</w:t>
            </w:r>
          </w:p>
        </w:tc>
      </w:tr>
    </w:tbl>
    <w:p>
      <w:pPr>
        <w:spacing w:after="40"/>
      </w:pPr>
    </w:p>
    <w:p>
      <w:pPr>
        <w:spacing w:before="120"/>
        <w:jc w:val="center"/>
      </w:pPr>
      <w:r>
        <w:drawing>
          <wp:inline xmlns:a="http://schemas.openxmlformats.org/drawingml/2006/main" xmlns:pic="http://schemas.openxmlformats.org/drawingml/2006/picture">
            <wp:extent cx="5303520" cy="2969717"/>
            <wp:docPr id="4" name="Picture 4"/>
            <wp:cNvGraphicFramePr>
              <a:graphicFrameLocks noChangeAspect="1"/>
            </wp:cNvGraphicFramePr>
            <a:graphic>
              <a:graphicData uri="http://schemas.openxmlformats.org/drawingml/2006/picture">
                <pic:pic>
                  <pic:nvPicPr>
                    <pic:cNvPr id="0" name="img_040.png"/>
                    <pic:cNvPicPr/>
                  </pic:nvPicPr>
                  <pic:blipFill>
                    <a:blip r:embed="rId12"/>
                    <a:stretch>
                      <a:fillRect/>
                    </a:stretch>
                  </pic:blipFill>
                  <pic:spPr>
                    <a:xfrm>
                      <a:off x="0" y="0"/>
                      <a:ext cx="5303520" cy="2969717"/>
                    </a:xfrm>
                    <a:prstGeom prst="rect"/>
                  </pic:spPr>
                </pic:pic>
              </a:graphicData>
            </a:graphic>
          </wp:inline>
        </w:drawing>
      </w:r>
    </w:p>
    <w:p>
      <w:pPr>
        <w:spacing w:after="200"/>
        <w:jc w:val="center"/>
      </w:pPr>
      <w:r>
        <w:rPr>
          <w:rFonts w:ascii="Times New Roman" w:hAnsi="Times New Roman"/>
          <w:b/>
          <w:sz w:val="19"/>
        </w:rPr>
        <w:t>Figure 4.</w:t>
      </w:r>
      <w:r>
        <w:rPr>
          <w:rFonts w:ascii="Times New Roman" w:hAnsi="Times New Roman"/>
          <w:sz w:val="19"/>
        </w:rPr>
        <w:t xml:space="preserve"> Explanatory (R²) and predictive (Q²) power of the endogenous constructs.</w:t>
      </w:r>
    </w:p>
    <w:p>
      <w:pPr>
        <w:jc w:val="both"/>
      </w:pPr>
      <w:r>
        <w:rPr>
          <w:rFonts w:ascii="Times New Roman" w:hAnsi="Times New Roman"/>
          <w:sz w:val="22"/>
        </w:rPr>
        <w:t>A formal out-of-sample PLSpredict analysis (Shmueli et al., 2019; 10-fold cross-validation) confirmed predictive validity for the key target construct: Q²_predict was positive for all four BSUC indicators (0.035–0.067), and the PLS path model produced a lower RMSE than the naive linear-model benchmark for three of the four indicators (Table 9), indicating at least medium out-of-sample predictive power.</w:t>
      </w:r>
    </w:p>
    <w:p>
      <w:pPr>
        <w:spacing w:before="120" w:after="60"/>
      </w:pPr>
      <w:r>
        <w:rPr>
          <w:rFonts w:ascii="Times New Roman" w:hAnsi="Times New Roman"/>
          <w:b/>
          <w:sz w:val="20"/>
        </w:rPr>
        <w:t>Table 9.</w:t>
      </w:r>
      <w:r>
        <w:rPr>
          <w:rFonts w:ascii="Times New Roman" w:hAnsi="Times New Roman"/>
          <w:sz w:val="20"/>
        </w:rPr>
        <w:t xml:space="preserve"> PLSpredict (10-fold CV) for the BSUC indicators.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t>Indicator</w:t>
            </w:r>
          </w:p>
        </w:tc>
        <w:tc>
          <w:tcPr>
            <w:tcW w:type="dxa" w:w="1872"/>
            <w:shd w:val="clear" w:color="auto" w:fill="2E5496"/>
          </w:tcPr>
          <w:p>
            <w:pPr>
              <w:jc w:val="center"/>
            </w:pPr>
            <w:r/>
            <w:r>
              <w:rPr>
                <w:rFonts w:ascii="Times New Roman" w:hAnsi="Times New Roman"/>
                <w:b/>
                <w:color w:val="FFFFFF"/>
                <w:sz w:val="18"/>
              </w:rPr>
              <w:t>Q²_predict</w:t>
            </w:r>
          </w:p>
        </w:tc>
        <w:tc>
          <w:tcPr>
            <w:tcW w:type="dxa" w:w="1872"/>
            <w:shd w:val="clear" w:color="auto" w:fill="2E5496"/>
          </w:tcPr>
          <w:p>
            <w:pPr>
              <w:jc w:val="center"/>
            </w:pPr>
            <w:r/>
            <w:r>
              <w:rPr>
                <w:rFonts w:ascii="Times New Roman" w:hAnsi="Times New Roman"/>
                <w:b/>
                <w:color w:val="FFFFFF"/>
                <w:sz w:val="18"/>
              </w:rPr>
              <w:t>RMSE (PLS)</w:t>
            </w:r>
          </w:p>
        </w:tc>
        <w:tc>
          <w:tcPr>
            <w:tcW w:type="dxa" w:w="1872"/>
            <w:shd w:val="clear" w:color="auto" w:fill="2E5496"/>
          </w:tcPr>
          <w:p>
            <w:pPr>
              <w:jc w:val="center"/>
            </w:pPr>
            <w:r/>
            <w:r>
              <w:rPr>
                <w:rFonts w:ascii="Times New Roman" w:hAnsi="Times New Roman"/>
                <w:b/>
                <w:color w:val="FFFFFF"/>
                <w:sz w:val="18"/>
              </w:rPr>
              <w:t>RMSE (LM)</w:t>
            </w:r>
          </w:p>
        </w:tc>
        <w:tc>
          <w:tcPr>
            <w:tcW w:type="dxa" w:w="1872"/>
            <w:shd w:val="clear" w:color="auto" w:fill="2E5496"/>
          </w:tcPr>
          <w:p>
            <w:pPr>
              <w:jc w:val="center"/>
            </w:pPr>
            <w:r/>
            <w:r>
              <w:rPr>
                <w:rFonts w:ascii="Times New Roman" w:hAnsi="Times New Roman"/>
                <w:b/>
                <w:color w:val="FFFFFF"/>
                <w:sz w:val="18"/>
              </w:rPr>
              <w:t>PLS &lt; LM?</w:t>
            </w:r>
          </w:p>
        </w:tc>
      </w:tr>
      <w:tr>
        <w:tc>
          <w:tcPr>
            <w:tcW w:type="dxa" w:w="1872"/>
          </w:tcPr>
          <w:p>
            <w:r/>
            <w:r>
              <w:rPr>
                <w:rFonts w:ascii="Times New Roman" w:hAnsi="Times New Roman"/>
                <w:sz w:val="18"/>
              </w:rPr>
              <w:t>BSUC1</w:t>
            </w:r>
          </w:p>
        </w:tc>
        <w:tc>
          <w:tcPr>
            <w:tcW w:type="dxa" w:w="1872"/>
          </w:tcPr>
          <w:p>
            <w:r/>
            <w:r>
              <w:rPr>
                <w:rFonts w:ascii="Times New Roman" w:hAnsi="Times New Roman"/>
                <w:sz w:val="18"/>
              </w:rPr>
              <w:t>0.052</w:t>
            </w:r>
          </w:p>
        </w:tc>
        <w:tc>
          <w:tcPr>
            <w:tcW w:type="dxa" w:w="1872"/>
          </w:tcPr>
          <w:p>
            <w:r/>
            <w:r>
              <w:rPr>
                <w:rFonts w:ascii="Times New Roman" w:hAnsi="Times New Roman"/>
                <w:sz w:val="18"/>
              </w:rPr>
              <w:t>1.951</w:t>
            </w:r>
          </w:p>
        </w:tc>
        <w:tc>
          <w:tcPr>
            <w:tcW w:type="dxa" w:w="1872"/>
          </w:tcPr>
          <w:p>
            <w:r/>
            <w:r>
              <w:rPr>
                <w:rFonts w:ascii="Times New Roman" w:hAnsi="Times New Roman"/>
                <w:sz w:val="18"/>
              </w:rPr>
              <w:t>1.946</w:t>
            </w:r>
          </w:p>
        </w:tc>
        <w:tc>
          <w:tcPr>
            <w:tcW w:type="dxa" w:w="1872"/>
          </w:tcPr>
          <w:p>
            <w:r/>
            <w:r>
              <w:rPr>
                <w:rFonts w:ascii="Times New Roman" w:hAnsi="Times New Roman"/>
                <w:sz w:val="18"/>
              </w:rPr>
              <w:t>No</w:t>
            </w:r>
          </w:p>
        </w:tc>
      </w:tr>
      <w:tr>
        <w:tc>
          <w:tcPr>
            <w:tcW w:type="dxa" w:w="1872"/>
          </w:tcPr>
          <w:p>
            <w:r/>
            <w:r>
              <w:rPr>
                <w:rFonts w:ascii="Times New Roman" w:hAnsi="Times New Roman"/>
                <w:sz w:val="18"/>
              </w:rPr>
              <w:t>BSUC2</w:t>
            </w:r>
          </w:p>
        </w:tc>
        <w:tc>
          <w:tcPr>
            <w:tcW w:type="dxa" w:w="1872"/>
          </w:tcPr>
          <w:p>
            <w:r/>
            <w:r>
              <w:rPr>
                <w:rFonts w:ascii="Times New Roman" w:hAnsi="Times New Roman"/>
                <w:sz w:val="18"/>
              </w:rPr>
              <w:t>0.057</w:t>
            </w:r>
          </w:p>
        </w:tc>
        <w:tc>
          <w:tcPr>
            <w:tcW w:type="dxa" w:w="1872"/>
          </w:tcPr>
          <w:p>
            <w:r/>
            <w:r>
              <w:rPr>
                <w:rFonts w:ascii="Times New Roman" w:hAnsi="Times New Roman"/>
                <w:sz w:val="18"/>
              </w:rPr>
              <w:t>1.945</w:t>
            </w:r>
          </w:p>
        </w:tc>
        <w:tc>
          <w:tcPr>
            <w:tcW w:type="dxa" w:w="1872"/>
          </w:tcPr>
          <w:p>
            <w:r/>
            <w:r>
              <w:rPr>
                <w:rFonts w:ascii="Times New Roman" w:hAnsi="Times New Roman"/>
                <w:sz w:val="18"/>
              </w:rPr>
              <w:t>1.981</w:t>
            </w:r>
          </w:p>
        </w:tc>
        <w:tc>
          <w:tcPr>
            <w:tcW w:type="dxa" w:w="1872"/>
          </w:tcPr>
          <w:p>
            <w:r/>
            <w:r>
              <w:rPr>
                <w:rFonts w:ascii="Times New Roman" w:hAnsi="Times New Roman"/>
                <w:sz w:val="18"/>
              </w:rPr>
              <w:t>Yes</w:t>
            </w:r>
          </w:p>
        </w:tc>
      </w:tr>
      <w:tr>
        <w:tc>
          <w:tcPr>
            <w:tcW w:type="dxa" w:w="1872"/>
          </w:tcPr>
          <w:p>
            <w:r/>
            <w:r>
              <w:rPr>
                <w:rFonts w:ascii="Times New Roman" w:hAnsi="Times New Roman"/>
                <w:sz w:val="18"/>
              </w:rPr>
              <w:t>BSUC3</w:t>
            </w:r>
          </w:p>
        </w:tc>
        <w:tc>
          <w:tcPr>
            <w:tcW w:type="dxa" w:w="1872"/>
          </w:tcPr>
          <w:p>
            <w:r/>
            <w:r>
              <w:rPr>
                <w:rFonts w:ascii="Times New Roman" w:hAnsi="Times New Roman"/>
                <w:sz w:val="18"/>
              </w:rPr>
              <w:t>0.036</w:t>
            </w:r>
          </w:p>
        </w:tc>
        <w:tc>
          <w:tcPr>
            <w:tcW w:type="dxa" w:w="1872"/>
          </w:tcPr>
          <w:p>
            <w:r/>
            <w:r>
              <w:rPr>
                <w:rFonts w:ascii="Times New Roman" w:hAnsi="Times New Roman"/>
                <w:sz w:val="18"/>
              </w:rPr>
              <w:t>1.967</w:t>
            </w:r>
          </w:p>
        </w:tc>
        <w:tc>
          <w:tcPr>
            <w:tcW w:type="dxa" w:w="1872"/>
          </w:tcPr>
          <w:p>
            <w:r/>
            <w:r>
              <w:rPr>
                <w:rFonts w:ascii="Times New Roman" w:hAnsi="Times New Roman"/>
                <w:sz w:val="18"/>
              </w:rPr>
              <w:t>2.006</w:t>
            </w:r>
          </w:p>
        </w:tc>
        <w:tc>
          <w:tcPr>
            <w:tcW w:type="dxa" w:w="1872"/>
          </w:tcPr>
          <w:p>
            <w:r/>
            <w:r>
              <w:rPr>
                <w:rFonts w:ascii="Times New Roman" w:hAnsi="Times New Roman"/>
                <w:sz w:val="18"/>
              </w:rPr>
              <w:t>Yes</w:t>
            </w:r>
          </w:p>
        </w:tc>
      </w:tr>
      <w:tr>
        <w:tc>
          <w:tcPr>
            <w:tcW w:type="dxa" w:w="1872"/>
          </w:tcPr>
          <w:p>
            <w:r/>
            <w:r>
              <w:rPr>
                <w:rFonts w:ascii="Times New Roman" w:hAnsi="Times New Roman"/>
                <w:sz w:val="18"/>
              </w:rPr>
              <w:t>BSUC4</w:t>
            </w:r>
          </w:p>
        </w:tc>
        <w:tc>
          <w:tcPr>
            <w:tcW w:type="dxa" w:w="1872"/>
          </w:tcPr>
          <w:p>
            <w:r/>
            <w:r>
              <w:rPr>
                <w:rFonts w:ascii="Times New Roman" w:hAnsi="Times New Roman"/>
                <w:sz w:val="18"/>
              </w:rPr>
              <w:t>0.067</w:t>
            </w:r>
          </w:p>
        </w:tc>
        <w:tc>
          <w:tcPr>
            <w:tcW w:type="dxa" w:w="1872"/>
          </w:tcPr>
          <w:p>
            <w:r/>
            <w:r>
              <w:rPr>
                <w:rFonts w:ascii="Times New Roman" w:hAnsi="Times New Roman"/>
                <w:sz w:val="18"/>
              </w:rPr>
              <w:t>1.935</w:t>
            </w:r>
          </w:p>
        </w:tc>
        <w:tc>
          <w:tcPr>
            <w:tcW w:type="dxa" w:w="1872"/>
          </w:tcPr>
          <w:p>
            <w:r/>
            <w:r>
              <w:rPr>
                <w:rFonts w:ascii="Times New Roman" w:hAnsi="Times New Roman"/>
                <w:sz w:val="18"/>
              </w:rPr>
              <w:t>1.953</w:t>
            </w:r>
          </w:p>
        </w:tc>
        <w:tc>
          <w:tcPr>
            <w:tcW w:type="dxa" w:w="1872"/>
          </w:tcPr>
          <w:p>
            <w:r/>
            <w:r>
              <w:rPr>
                <w:rFonts w:ascii="Times New Roman" w:hAnsi="Times New Roman"/>
                <w:sz w:val="18"/>
              </w:rPr>
              <w:t>Yes</w:t>
            </w:r>
          </w:p>
        </w:tc>
      </w:tr>
    </w:tbl>
    <w:p>
      <w:pPr>
        <w:spacing w:after="40"/>
      </w:pPr>
    </w:p>
    <w:p>
      <w:pPr>
        <w:spacing w:before="160" w:after="60"/>
      </w:pPr>
      <w:r>
        <w:rPr>
          <w:rFonts w:ascii="Times New Roman" w:hAnsi="Times New Roman"/>
          <w:b/>
          <w:i/>
          <w:color w:val="2E5496"/>
          <w:sz w:val="23"/>
        </w:rPr>
        <w:t>3.3 Path coefficients and hypothesis tests</w:t>
      </w:r>
    </w:p>
    <w:p>
      <w:pPr>
        <w:jc w:val="both"/>
      </w:pPr>
      <w:r>
        <w:rPr>
          <w:rFonts w:ascii="Times New Roman" w:hAnsi="Times New Roman"/>
          <w:sz w:val="22"/>
        </w:rPr>
        <w:t>Path significance was assessed with bootstrapping (5,000 resamples); Table 10 reports standardized coefficients, standard errors, t-statistics, two-tailed p-values, 95% percentile confidence intervals, and f² effect sizes. The estimated model is depicted in Figure 5 and the path estimates with confidence intervals in Figure 6.</w:t>
      </w:r>
    </w:p>
    <w:p>
      <w:pPr>
        <w:spacing w:before="120" w:after="60"/>
      </w:pPr>
      <w:r>
        <w:rPr>
          <w:rFonts w:ascii="Times New Roman" w:hAnsi="Times New Roman"/>
          <w:b/>
          <w:sz w:val="20"/>
        </w:rPr>
        <w:t>Table 10.</w:t>
      </w:r>
      <w:r>
        <w:rPr>
          <w:rFonts w:ascii="Times New Roman" w:hAnsi="Times New Roman"/>
          <w:sz w:val="20"/>
        </w:rPr>
        <w:t xml:space="preserve"> Structural path coefficients (bootstrap, 5,000 resamples).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5496"/>
          </w:tcPr>
          <w:p>
            <w:pPr>
              <w:jc w:val="center"/>
            </w:pPr>
            <w:r/>
            <w:r>
              <w:rPr>
                <w:rFonts w:ascii="Times New Roman" w:hAnsi="Times New Roman"/>
                <w:b/>
                <w:color w:val="FFFFFF"/>
                <w:sz w:val="18"/>
              </w:rPr>
              <w:t>H</w:t>
            </w:r>
          </w:p>
        </w:tc>
        <w:tc>
          <w:tcPr>
            <w:tcW w:type="dxa" w:w="1040"/>
            <w:shd w:val="clear" w:color="auto" w:fill="2E5496"/>
          </w:tcPr>
          <w:p>
            <w:pPr>
              <w:jc w:val="center"/>
            </w:pPr>
            <w:r/>
            <w:r>
              <w:rPr>
                <w:rFonts w:ascii="Times New Roman" w:hAnsi="Times New Roman"/>
                <w:b/>
                <w:color w:val="FFFFFF"/>
                <w:sz w:val="18"/>
              </w:rPr>
              <w:t>Path</w:t>
            </w:r>
          </w:p>
        </w:tc>
        <w:tc>
          <w:tcPr>
            <w:tcW w:type="dxa" w:w="1040"/>
            <w:shd w:val="clear" w:color="auto" w:fill="2E5496"/>
          </w:tcPr>
          <w:p>
            <w:pPr>
              <w:jc w:val="center"/>
            </w:pPr>
            <w:r/>
            <w:r>
              <w:rPr>
                <w:rFonts w:ascii="Times New Roman" w:hAnsi="Times New Roman"/>
                <w:b/>
                <w:color w:val="FFFFFF"/>
                <w:sz w:val="18"/>
              </w:rPr>
              <w:t>β</w:t>
            </w:r>
          </w:p>
        </w:tc>
        <w:tc>
          <w:tcPr>
            <w:tcW w:type="dxa" w:w="1040"/>
            <w:shd w:val="clear" w:color="auto" w:fill="2E5496"/>
          </w:tcPr>
          <w:p>
            <w:pPr>
              <w:jc w:val="center"/>
            </w:pPr>
            <w:r/>
            <w:r>
              <w:rPr>
                <w:rFonts w:ascii="Times New Roman" w:hAnsi="Times New Roman"/>
                <w:b/>
                <w:color w:val="FFFFFF"/>
                <w:sz w:val="18"/>
              </w:rPr>
              <w:t>SE</w:t>
            </w:r>
          </w:p>
        </w:tc>
        <w:tc>
          <w:tcPr>
            <w:tcW w:type="dxa" w:w="1040"/>
            <w:shd w:val="clear" w:color="auto" w:fill="2E5496"/>
          </w:tcPr>
          <w:p>
            <w:pPr>
              <w:jc w:val="center"/>
            </w:pPr>
            <w:r/>
            <w:r>
              <w:rPr>
                <w:rFonts w:ascii="Times New Roman" w:hAnsi="Times New Roman"/>
                <w:b/>
                <w:color w:val="FFFFFF"/>
                <w:sz w:val="18"/>
              </w:rPr>
              <w:t>t</w:t>
            </w:r>
          </w:p>
        </w:tc>
        <w:tc>
          <w:tcPr>
            <w:tcW w:type="dxa" w:w="1040"/>
            <w:shd w:val="clear" w:color="auto" w:fill="2E5496"/>
          </w:tcPr>
          <w:p>
            <w:pPr>
              <w:jc w:val="center"/>
            </w:pPr>
            <w:r/>
            <w:r>
              <w:rPr>
                <w:rFonts w:ascii="Times New Roman" w:hAnsi="Times New Roman"/>
                <w:b/>
                <w:color w:val="FFFFFF"/>
                <w:sz w:val="18"/>
              </w:rPr>
              <w:t>p</w:t>
            </w:r>
          </w:p>
        </w:tc>
        <w:tc>
          <w:tcPr>
            <w:tcW w:type="dxa" w:w="1040"/>
            <w:shd w:val="clear" w:color="auto" w:fill="2E5496"/>
          </w:tcPr>
          <w:p>
            <w:pPr>
              <w:jc w:val="center"/>
            </w:pPr>
            <w:r/>
            <w:r>
              <w:rPr>
                <w:rFonts w:ascii="Times New Roman" w:hAnsi="Times New Roman"/>
                <w:b/>
                <w:color w:val="FFFFFF"/>
                <w:sz w:val="18"/>
              </w:rPr>
              <w:t>95% CI</w:t>
            </w:r>
          </w:p>
        </w:tc>
        <w:tc>
          <w:tcPr>
            <w:tcW w:type="dxa" w:w="1040"/>
            <w:shd w:val="clear" w:color="auto" w:fill="2E5496"/>
          </w:tcPr>
          <w:p>
            <w:pPr>
              <w:jc w:val="center"/>
            </w:pPr>
            <w:r/>
            <w:r>
              <w:rPr>
                <w:rFonts w:ascii="Times New Roman" w:hAnsi="Times New Roman"/>
                <w:b/>
                <w:color w:val="FFFFFF"/>
                <w:sz w:val="18"/>
              </w:rPr>
              <w:t>f²</w:t>
            </w:r>
          </w:p>
        </w:tc>
        <w:tc>
          <w:tcPr>
            <w:tcW w:type="dxa" w:w="1040"/>
            <w:shd w:val="clear" w:color="auto" w:fill="2E5496"/>
          </w:tcPr>
          <w:p>
            <w:pPr>
              <w:jc w:val="center"/>
            </w:pPr>
            <w:r/>
            <w:r>
              <w:rPr>
                <w:rFonts w:ascii="Times New Roman" w:hAnsi="Times New Roman"/>
                <w:b/>
                <w:color w:val="FFFFFF"/>
                <w:sz w:val="18"/>
              </w:rPr>
              <w:t>Decision</w:t>
            </w:r>
          </w:p>
        </w:tc>
      </w:tr>
      <w:tr>
        <w:tc>
          <w:tcPr>
            <w:tcW w:type="dxa" w:w="1040"/>
          </w:tcPr>
          <w:p>
            <w:r/>
            <w:r>
              <w:rPr>
                <w:rFonts w:ascii="Times New Roman" w:hAnsi="Times New Roman"/>
                <w:sz w:val="18"/>
              </w:rPr>
              <w:t>H1</w:t>
            </w:r>
          </w:p>
        </w:tc>
        <w:tc>
          <w:tcPr>
            <w:tcW w:type="dxa" w:w="1040"/>
          </w:tcPr>
          <w:p>
            <w:r/>
            <w:r>
              <w:rPr>
                <w:rFonts w:ascii="Times New Roman" w:hAnsi="Times New Roman"/>
                <w:sz w:val="18"/>
              </w:rPr>
              <w:t>UE → BSAT</w:t>
            </w:r>
          </w:p>
        </w:tc>
        <w:tc>
          <w:tcPr>
            <w:tcW w:type="dxa" w:w="1040"/>
          </w:tcPr>
          <w:p>
            <w:r/>
            <w:r>
              <w:rPr>
                <w:rFonts w:ascii="Times New Roman" w:hAnsi="Times New Roman"/>
                <w:sz w:val="18"/>
              </w:rPr>
              <w:t>0.157</w:t>
            </w:r>
          </w:p>
        </w:tc>
        <w:tc>
          <w:tcPr>
            <w:tcW w:type="dxa" w:w="1040"/>
          </w:tcPr>
          <w:p>
            <w:r/>
            <w:r>
              <w:rPr>
                <w:rFonts w:ascii="Times New Roman" w:hAnsi="Times New Roman"/>
                <w:sz w:val="18"/>
              </w:rPr>
              <w:t>0.054</w:t>
            </w:r>
          </w:p>
        </w:tc>
        <w:tc>
          <w:tcPr>
            <w:tcW w:type="dxa" w:w="1040"/>
          </w:tcPr>
          <w:p>
            <w:r/>
            <w:r>
              <w:rPr>
                <w:rFonts w:ascii="Times New Roman" w:hAnsi="Times New Roman"/>
                <w:sz w:val="18"/>
              </w:rPr>
              <w:t>2.89</w:t>
            </w:r>
          </w:p>
        </w:tc>
        <w:tc>
          <w:tcPr>
            <w:tcW w:type="dxa" w:w="1040"/>
          </w:tcPr>
          <w:p>
            <w:r/>
            <w:r>
              <w:rPr>
                <w:rFonts w:ascii="Times New Roman" w:hAnsi="Times New Roman"/>
                <w:sz w:val="18"/>
              </w:rPr>
              <w:t>.004</w:t>
            </w:r>
          </w:p>
        </w:tc>
        <w:tc>
          <w:tcPr>
            <w:tcW w:type="dxa" w:w="1040"/>
          </w:tcPr>
          <w:p>
            <w:r/>
            <w:r>
              <w:rPr>
                <w:rFonts w:ascii="Times New Roman" w:hAnsi="Times New Roman"/>
                <w:sz w:val="18"/>
              </w:rPr>
              <w:t>[0.052, 0.266]</w:t>
            </w:r>
          </w:p>
        </w:tc>
        <w:tc>
          <w:tcPr>
            <w:tcW w:type="dxa" w:w="1040"/>
          </w:tcPr>
          <w:p>
            <w:r/>
            <w:r>
              <w:rPr>
                <w:rFonts w:ascii="Times New Roman" w:hAnsi="Times New Roman"/>
                <w:sz w:val="18"/>
              </w:rPr>
              <w:t>0.028</w:t>
            </w:r>
          </w:p>
        </w:tc>
        <w:tc>
          <w:tcPr>
            <w:tcW w:type="dxa" w:w="1040"/>
          </w:tcPr>
          <w:p>
            <w:r/>
            <w:r>
              <w:rPr>
                <w:rFonts w:ascii="Times New Roman" w:hAnsi="Times New Roman"/>
                <w:sz w:val="18"/>
              </w:rPr>
              <w:t>Supported</w:t>
            </w:r>
          </w:p>
        </w:tc>
      </w:tr>
      <w:tr>
        <w:tc>
          <w:tcPr>
            <w:tcW w:type="dxa" w:w="1040"/>
          </w:tcPr>
          <w:p>
            <w:r/>
            <w:r>
              <w:rPr>
                <w:rFonts w:ascii="Times New Roman" w:hAnsi="Times New Roman"/>
                <w:sz w:val="18"/>
              </w:rPr>
              <w:t>H2</w:t>
            </w:r>
          </w:p>
        </w:tc>
        <w:tc>
          <w:tcPr>
            <w:tcW w:type="dxa" w:w="1040"/>
          </w:tcPr>
          <w:p>
            <w:r/>
            <w:r>
              <w:rPr>
                <w:rFonts w:ascii="Times New Roman" w:hAnsi="Times New Roman"/>
                <w:sz w:val="18"/>
              </w:rPr>
              <w:t>UX → BSAT</w:t>
            </w:r>
          </w:p>
        </w:tc>
        <w:tc>
          <w:tcPr>
            <w:tcW w:type="dxa" w:w="1040"/>
          </w:tcPr>
          <w:p>
            <w:r/>
            <w:r>
              <w:rPr>
                <w:rFonts w:ascii="Times New Roman" w:hAnsi="Times New Roman"/>
                <w:sz w:val="18"/>
              </w:rPr>
              <w:t>0.393</w:t>
            </w:r>
          </w:p>
        </w:tc>
        <w:tc>
          <w:tcPr>
            <w:tcW w:type="dxa" w:w="1040"/>
          </w:tcPr>
          <w:p>
            <w:r/>
            <w:r>
              <w:rPr>
                <w:rFonts w:ascii="Times New Roman" w:hAnsi="Times New Roman"/>
                <w:sz w:val="18"/>
              </w:rPr>
              <w:t>0.052</w:t>
            </w:r>
          </w:p>
        </w:tc>
        <w:tc>
          <w:tcPr>
            <w:tcW w:type="dxa" w:w="1040"/>
          </w:tcPr>
          <w:p>
            <w:r/>
            <w:r>
              <w:rPr>
                <w:rFonts w:ascii="Times New Roman" w:hAnsi="Times New Roman"/>
                <w:sz w:val="18"/>
              </w:rPr>
              <w:t>7.59</w:t>
            </w:r>
          </w:p>
        </w:tc>
        <w:tc>
          <w:tcPr>
            <w:tcW w:type="dxa" w:w="1040"/>
          </w:tcPr>
          <w:p>
            <w:r/>
            <w:r>
              <w:rPr>
                <w:rFonts w:ascii="Times New Roman" w:hAnsi="Times New Roman"/>
                <w:sz w:val="18"/>
              </w:rPr>
              <w:t>&lt;.001</w:t>
            </w:r>
          </w:p>
        </w:tc>
        <w:tc>
          <w:tcPr>
            <w:tcW w:type="dxa" w:w="1040"/>
          </w:tcPr>
          <w:p>
            <w:r/>
            <w:r>
              <w:rPr>
                <w:rFonts w:ascii="Times New Roman" w:hAnsi="Times New Roman"/>
                <w:sz w:val="18"/>
              </w:rPr>
              <w:t>[0.291, 0.494]</w:t>
            </w:r>
          </w:p>
        </w:tc>
        <w:tc>
          <w:tcPr>
            <w:tcW w:type="dxa" w:w="1040"/>
          </w:tcPr>
          <w:p>
            <w:r/>
            <w:r>
              <w:rPr>
                <w:rFonts w:ascii="Times New Roman" w:hAnsi="Times New Roman"/>
                <w:sz w:val="18"/>
              </w:rPr>
              <w:t>0.172</w:t>
            </w:r>
          </w:p>
        </w:tc>
        <w:tc>
          <w:tcPr>
            <w:tcW w:type="dxa" w:w="1040"/>
          </w:tcPr>
          <w:p>
            <w:r/>
            <w:r>
              <w:rPr>
                <w:rFonts w:ascii="Times New Roman" w:hAnsi="Times New Roman"/>
                <w:sz w:val="18"/>
              </w:rPr>
              <w:t>Supported</w:t>
            </w:r>
          </w:p>
        </w:tc>
      </w:tr>
      <w:tr>
        <w:tc>
          <w:tcPr>
            <w:tcW w:type="dxa" w:w="1040"/>
          </w:tcPr>
          <w:p>
            <w:r/>
            <w:r>
              <w:rPr>
                <w:rFonts w:ascii="Times New Roman" w:hAnsi="Times New Roman"/>
                <w:sz w:val="18"/>
              </w:rPr>
              <w:t>H5</w:t>
            </w:r>
          </w:p>
        </w:tc>
        <w:tc>
          <w:tcPr>
            <w:tcW w:type="dxa" w:w="1040"/>
          </w:tcPr>
          <w:p>
            <w:r/>
            <w:r>
              <w:rPr>
                <w:rFonts w:ascii="Times New Roman" w:hAnsi="Times New Roman"/>
                <w:sz w:val="18"/>
              </w:rPr>
              <w:t>BSAT → BSUC</w:t>
            </w:r>
          </w:p>
        </w:tc>
        <w:tc>
          <w:tcPr>
            <w:tcW w:type="dxa" w:w="1040"/>
          </w:tcPr>
          <w:p>
            <w:r/>
            <w:r>
              <w:rPr>
                <w:rFonts w:ascii="Times New Roman" w:hAnsi="Times New Roman"/>
                <w:sz w:val="18"/>
              </w:rPr>
              <w:t>0.476</w:t>
            </w:r>
          </w:p>
        </w:tc>
        <w:tc>
          <w:tcPr>
            <w:tcW w:type="dxa" w:w="1040"/>
          </w:tcPr>
          <w:p>
            <w:r/>
            <w:r>
              <w:rPr>
                <w:rFonts w:ascii="Times New Roman" w:hAnsi="Times New Roman"/>
                <w:sz w:val="18"/>
              </w:rPr>
              <w:t>0.047</w:t>
            </w:r>
          </w:p>
        </w:tc>
        <w:tc>
          <w:tcPr>
            <w:tcW w:type="dxa" w:w="1040"/>
          </w:tcPr>
          <w:p>
            <w:r/>
            <w:r>
              <w:rPr>
                <w:rFonts w:ascii="Times New Roman" w:hAnsi="Times New Roman"/>
                <w:sz w:val="18"/>
              </w:rPr>
              <w:t>10.15</w:t>
            </w:r>
          </w:p>
        </w:tc>
        <w:tc>
          <w:tcPr>
            <w:tcW w:type="dxa" w:w="1040"/>
          </w:tcPr>
          <w:p>
            <w:r/>
            <w:r>
              <w:rPr>
                <w:rFonts w:ascii="Times New Roman" w:hAnsi="Times New Roman"/>
                <w:sz w:val="18"/>
              </w:rPr>
              <w:t>&lt;.001</w:t>
            </w:r>
          </w:p>
        </w:tc>
        <w:tc>
          <w:tcPr>
            <w:tcW w:type="dxa" w:w="1040"/>
          </w:tcPr>
          <w:p>
            <w:r/>
            <w:r>
              <w:rPr>
                <w:rFonts w:ascii="Times New Roman" w:hAnsi="Times New Roman"/>
                <w:sz w:val="18"/>
              </w:rPr>
              <w:t>[0.382, 0.566]</w:t>
            </w:r>
          </w:p>
        </w:tc>
        <w:tc>
          <w:tcPr>
            <w:tcW w:type="dxa" w:w="1040"/>
          </w:tcPr>
          <w:p>
            <w:r/>
            <w:r>
              <w:rPr>
                <w:rFonts w:ascii="Times New Roman" w:hAnsi="Times New Roman"/>
                <w:sz w:val="18"/>
              </w:rPr>
              <w:t>0.256</w:t>
            </w:r>
          </w:p>
        </w:tc>
        <w:tc>
          <w:tcPr>
            <w:tcW w:type="dxa" w:w="1040"/>
          </w:tcPr>
          <w:p>
            <w:r/>
            <w:r>
              <w:rPr>
                <w:rFonts w:ascii="Times New Roman" w:hAnsi="Times New Roman"/>
                <w:sz w:val="18"/>
              </w:rPr>
              <w:t>Supported</w:t>
            </w:r>
          </w:p>
        </w:tc>
      </w:tr>
      <w:tr>
        <w:tc>
          <w:tcPr>
            <w:tcW w:type="dxa" w:w="1040"/>
          </w:tcPr>
          <w:p>
            <w:r/>
            <w:r>
              <w:rPr>
                <w:rFonts w:ascii="Times New Roman" w:hAnsi="Times New Roman"/>
                <w:sz w:val="18"/>
              </w:rPr>
              <w:t>H3</w:t>
            </w:r>
          </w:p>
        </w:tc>
        <w:tc>
          <w:tcPr>
            <w:tcW w:type="dxa" w:w="1040"/>
          </w:tcPr>
          <w:p>
            <w:r/>
            <w:r>
              <w:rPr>
                <w:rFonts w:ascii="Times New Roman" w:hAnsi="Times New Roman"/>
                <w:sz w:val="18"/>
              </w:rPr>
              <w:t>UE → BSUC</w:t>
            </w:r>
          </w:p>
        </w:tc>
        <w:tc>
          <w:tcPr>
            <w:tcW w:type="dxa" w:w="1040"/>
          </w:tcPr>
          <w:p>
            <w:r/>
            <w:r>
              <w:rPr>
                <w:rFonts w:ascii="Times New Roman" w:hAnsi="Times New Roman"/>
                <w:sz w:val="18"/>
              </w:rPr>
              <w:t>0.088</w:t>
            </w:r>
          </w:p>
        </w:tc>
        <w:tc>
          <w:tcPr>
            <w:tcW w:type="dxa" w:w="1040"/>
          </w:tcPr>
          <w:p>
            <w:r/>
            <w:r>
              <w:rPr>
                <w:rFonts w:ascii="Times New Roman" w:hAnsi="Times New Roman"/>
                <w:sz w:val="18"/>
              </w:rPr>
              <w:t>0.048</w:t>
            </w:r>
          </w:p>
        </w:tc>
        <w:tc>
          <w:tcPr>
            <w:tcW w:type="dxa" w:w="1040"/>
          </w:tcPr>
          <w:p>
            <w:r/>
            <w:r>
              <w:rPr>
                <w:rFonts w:ascii="Times New Roman" w:hAnsi="Times New Roman"/>
                <w:sz w:val="18"/>
              </w:rPr>
              <w:t>1.82</w:t>
            </w:r>
          </w:p>
        </w:tc>
        <w:tc>
          <w:tcPr>
            <w:tcW w:type="dxa" w:w="1040"/>
          </w:tcPr>
          <w:p>
            <w:r/>
            <w:r>
              <w:rPr>
                <w:rFonts w:ascii="Times New Roman" w:hAnsi="Times New Roman"/>
                <w:sz w:val="18"/>
              </w:rPr>
              <w:t>.069</w:t>
            </w:r>
          </w:p>
        </w:tc>
        <w:tc>
          <w:tcPr>
            <w:tcW w:type="dxa" w:w="1040"/>
          </w:tcPr>
          <w:p>
            <w:r/>
            <w:r>
              <w:rPr>
                <w:rFonts w:ascii="Times New Roman" w:hAnsi="Times New Roman"/>
                <w:sz w:val="18"/>
              </w:rPr>
              <w:t>[−0.004, 0.185]</w:t>
            </w:r>
          </w:p>
        </w:tc>
        <w:tc>
          <w:tcPr>
            <w:tcW w:type="dxa" w:w="1040"/>
          </w:tcPr>
          <w:p>
            <w:r/>
            <w:r>
              <w:rPr>
                <w:rFonts w:ascii="Times New Roman" w:hAnsi="Times New Roman"/>
                <w:sz w:val="18"/>
              </w:rPr>
              <w:t>0.010</w:t>
            </w:r>
          </w:p>
        </w:tc>
        <w:tc>
          <w:tcPr>
            <w:tcW w:type="dxa" w:w="1040"/>
          </w:tcPr>
          <w:p>
            <w:r/>
            <w:r>
              <w:rPr>
                <w:rFonts w:ascii="Times New Roman" w:hAnsi="Times New Roman"/>
                <w:sz w:val="18"/>
              </w:rPr>
              <w:t>Not supported</w:t>
            </w:r>
          </w:p>
        </w:tc>
      </w:tr>
      <w:tr>
        <w:tc>
          <w:tcPr>
            <w:tcW w:type="dxa" w:w="1040"/>
          </w:tcPr>
          <w:p>
            <w:r/>
            <w:r>
              <w:rPr>
                <w:rFonts w:ascii="Times New Roman" w:hAnsi="Times New Roman"/>
                <w:sz w:val="18"/>
              </w:rPr>
              <w:t>H4</w:t>
            </w:r>
          </w:p>
        </w:tc>
        <w:tc>
          <w:tcPr>
            <w:tcW w:type="dxa" w:w="1040"/>
          </w:tcPr>
          <w:p>
            <w:r/>
            <w:r>
              <w:rPr>
                <w:rFonts w:ascii="Times New Roman" w:hAnsi="Times New Roman"/>
                <w:sz w:val="18"/>
              </w:rPr>
              <w:t>UX → BSUC</w:t>
            </w:r>
          </w:p>
        </w:tc>
        <w:tc>
          <w:tcPr>
            <w:tcW w:type="dxa" w:w="1040"/>
          </w:tcPr>
          <w:p>
            <w:r/>
            <w:r>
              <w:rPr>
                <w:rFonts w:ascii="Times New Roman" w:hAnsi="Times New Roman"/>
                <w:sz w:val="18"/>
              </w:rPr>
              <w:t>0.095</w:t>
            </w:r>
          </w:p>
        </w:tc>
        <w:tc>
          <w:tcPr>
            <w:tcW w:type="dxa" w:w="1040"/>
          </w:tcPr>
          <w:p>
            <w:r/>
            <w:r>
              <w:rPr>
                <w:rFonts w:ascii="Times New Roman" w:hAnsi="Times New Roman"/>
                <w:sz w:val="18"/>
              </w:rPr>
              <w:t>0.054</w:t>
            </w:r>
          </w:p>
        </w:tc>
        <w:tc>
          <w:tcPr>
            <w:tcW w:type="dxa" w:w="1040"/>
          </w:tcPr>
          <w:p>
            <w:r/>
            <w:r>
              <w:rPr>
                <w:rFonts w:ascii="Times New Roman" w:hAnsi="Times New Roman"/>
                <w:sz w:val="18"/>
              </w:rPr>
              <w:t>1.78</w:t>
            </w:r>
          </w:p>
        </w:tc>
        <w:tc>
          <w:tcPr>
            <w:tcW w:type="dxa" w:w="1040"/>
          </w:tcPr>
          <w:p>
            <w:r/>
            <w:r>
              <w:rPr>
                <w:rFonts w:ascii="Times New Roman" w:hAnsi="Times New Roman"/>
                <w:sz w:val="18"/>
              </w:rPr>
              <w:t>.076</w:t>
            </w:r>
          </w:p>
        </w:tc>
        <w:tc>
          <w:tcPr>
            <w:tcW w:type="dxa" w:w="1040"/>
          </w:tcPr>
          <w:p>
            <w:r/>
            <w:r>
              <w:rPr>
                <w:rFonts w:ascii="Times New Roman" w:hAnsi="Times New Roman"/>
                <w:sz w:val="18"/>
              </w:rPr>
              <w:t>[−0.008, 0.203]</w:t>
            </w:r>
          </w:p>
        </w:tc>
        <w:tc>
          <w:tcPr>
            <w:tcW w:type="dxa" w:w="1040"/>
          </w:tcPr>
          <w:p>
            <w:r/>
            <w:r>
              <w:rPr>
                <w:rFonts w:ascii="Times New Roman" w:hAnsi="Times New Roman"/>
                <w:sz w:val="18"/>
              </w:rPr>
              <w:t>0.010</w:t>
            </w:r>
          </w:p>
        </w:tc>
        <w:tc>
          <w:tcPr>
            <w:tcW w:type="dxa" w:w="1040"/>
          </w:tcPr>
          <w:p>
            <w:r/>
            <w:r>
              <w:rPr>
                <w:rFonts w:ascii="Times New Roman" w:hAnsi="Times New Roman"/>
                <w:sz w:val="18"/>
              </w:rPr>
              <w:t>Not supported</w:t>
            </w:r>
          </w:p>
        </w:tc>
      </w:tr>
    </w:tbl>
    <w:p>
      <w:pPr>
        <w:spacing w:after="40"/>
      </w:pPr>
    </w:p>
    <w:p>
      <w:pPr>
        <w:jc w:val="both"/>
      </w:pPr>
      <w:r>
        <w:rPr>
          <w:rFonts w:ascii="Times New Roman" w:hAnsi="Times New Roman"/>
          <w:sz w:val="22"/>
        </w:rPr>
        <w:t>Three results stand out. First, satisfaction is the proximal driver of continuance: BSAT → BSUC is the strongest path (β = 0.476, p &lt; .001) with a medium-to-large effect (f² = 0.256). Second, experience dominates engagement as an antecedent of satisfaction: UX → BSAT (β = 0.393) is roughly 2.5× the size of UE → BSAT (β = 0.157). Third, neither antecedent exerts a significant direct effect on continuance once satisfaction is accounted for (H3, H4), foreshadowing full mediation.</w:t>
      </w:r>
    </w:p>
    <w:p>
      <w:pPr>
        <w:spacing w:before="120"/>
        <w:jc w:val="center"/>
      </w:pPr>
      <w:r>
        <w:drawing>
          <wp:inline xmlns:a="http://schemas.openxmlformats.org/drawingml/2006/main" xmlns:pic="http://schemas.openxmlformats.org/drawingml/2006/picture">
            <wp:extent cx="5303520" cy="2966458"/>
            <wp:docPr id="5" name="Picture 5"/>
            <wp:cNvGraphicFramePr>
              <a:graphicFrameLocks noChangeAspect="1"/>
            </wp:cNvGraphicFramePr>
            <a:graphic>
              <a:graphicData uri="http://schemas.openxmlformats.org/drawingml/2006/picture">
                <pic:pic>
                  <pic:nvPicPr>
                    <pic:cNvPr id="0" name="img_050.png"/>
                    <pic:cNvPicPr/>
                  </pic:nvPicPr>
                  <pic:blipFill>
                    <a:blip r:embed="rId13"/>
                    <a:stretch>
                      <a:fillRect/>
                    </a:stretch>
                  </pic:blipFill>
                  <pic:spPr>
                    <a:xfrm>
                      <a:off x="0" y="0"/>
                      <a:ext cx="5303520" cy="2966458"/>
                    </a:xfrm>
                    <a:prstGeom prst="rect"/>
                  </pic:spPr>
                </pic:pic>
              </a:graphicData>
            </a:graphic>
          </wp:inline>
        </w:drawing>
      </w:r>
    </w:p>
    <w:p>
      <w:pPr>
        <w:spacing w:after="200"/>
        <w:jc w:val="center"/>
      </w:pPr>
      <w:r>
        <w:rPr>
          <w:rFonts w:ascii="Times New Roman" w:hAnsi="Times New Roman"/>
          <w:b/>
          <w:sz w:val="19"/>
        </w:rPr>
        <w:t>Figure 5.</w:t>
      </w:r>
      <w:r>
        <w:rPr>
          <w:rFonts w:ascii="Times New Roman" w:hAnsi="Times New Roman"/>
          <w:sz w:val="19"/>
        </w:rPr>
        <w:t xml:space="preserve"> PLS-SEM structural model with standardized path coefficients (solid = significant at p &lt; .05; dashed = n.s.; *p &lt; .05, **p &lt; .01, ***p &lt; .001).</w:t>
      </w:r>
    </w:p>
    <w:p>
      <w:pPr>
        <w:spacing w:before="120"/>
        <w:jc w:val="center"/>
      </w:pPr>
      <w:r>
        <w:drawing>
          <wp:inline xmlns:a="http://schemas.openxmlformats.org/drawingml/2006/main" xmlns:pic="http://schemas.openxmlformats.org/drawingml/2006/picture">
            <wp:extent cx="5303520" cy="2900169"/>
            <wp:docPr id="6" name="Picture 6"/>
            <wp:cNvGraphicFramePr>
              <a:graphicFrameLocks noChangeAspect="1"/>
            </wp:cNvGraphicFramePr>
            <a:graphic>
              <a:graphicData uri="http://schemas.openxmlformats.org/drawingml/2006/picture">
                <pic:pic>
                  <pic:nvPicPr>
                    <pic:cNvPr id="0" name="img_052.png"/>
                    <pic:cNvPicPr/>
                  </pic:nvPicPr>
                  <pic:blipFill>
                    <a:blip r:embed="rId14"/>
                    <a:stretch>
                      <a:fillRect/>
                    </a:stretch>
                  </pic:blipFill>
                  <pic:spPr>
                    <a:xfrm>
                      <a:off x="0" y="0"/>
                      <a:ext cx="5303520" cy="2900169"/>
                    </a:xfrm>
                    <a:prstGeom prst="rect"/>
                  </pic:spPr>
                </pic:pic>
              </a:graphicData>
            </a:graphic>
          </wp:inline>
        </w:drawing>
      </w:r>
    </w:p>
    <w:p>
      <w:pPr>
        <w:spacing w:after="200"/>
        <w:jc w:val="center"/>
      </w:pPr>
      <w:r>
        <w:rPr>
          <w:rFonts w:ascii="Times New Roman" w:hAnsi="Times New Roman"/>
          <w:b/>
          <w:sz w:val="19"/>
        </w:rPr>
        <w:t>Figure 6.</w:t>
      </w:r>
      <w:r>
        <w:rPr>
          <w:rFonts w:ascii="Times New Roman" w:hAnsi="Times New Roman"/>
          <w:sz w:val="19"/>
        </w:rPr>
        <w:t xml:space="preserve"> Path estimates with 95% bootstrap confidence intervals (5,000 resamples).</w:t>
      </w:r>
    </w:p>
    <w:p>
      <w:pPr>
        <w:spacing w:before="120"/>
        <w:jc w:val="center"/>
      </w:pPr>
      <w:r>
        <w:drawing>
          <wp:inline xmlns:a="http://schemas.openxmlformats.org/drawingml/2006/main" xmlns:pic="http://schemas.openxmlformats.org/drawingml/2006/picture">
            <wp:extent cx="5303520" cy="3010045"/>
            <wp:docPr id="7" name="Picture 7"/>
            <wp:cNvGraphicFramePr>
              <a:graphicFrameLocks noChangeAspect="1"/>
            </wp:cNvGraphicFramePr>
            <a:graphic>
              <a:graphicData uri="http://schemas.openxmlformats.org/drawingml/2006/picture">
                <pic:pic>
                  <pic:nvPicPr>
                    <pic:cNvPr id="0" name="img_054.png"/>
                    <pic:cNvPicPr/>
                  </pic:nvPicPr>
                  <pic:blipFill>
                    <a:blip r:embed="rId15"/>
                    <a:stretch>
                      <a:fillRect/>
                    </a:stretch>
                  </pic:blipFill>
                  <pic:spPr>
                    <a:xfrm>
                      <a:off x="0" y="0"/>
                      <a:ext cx="5303520" cy="3010045"/>
                    </a:xfrm>
                    <a:prstGeom prst="rect"/>
                  </pic:spPr>
                </pic:pic>
              </a:graphicData>
            </a:graphic>
          </wp:inline>
        </w:drawing>
      </w:r>
    </w:p>
    <w:p>
      <w:pPr>
        <w:spacing w:after="200"/>
        <w:jc w:val="center"/>
      </w:pPr>
      <w:r>
        <w:rPr>
          <w:rFonts w:ascii="Times New Roman" w:hAnsi="Times New Roman"/>
          <w:b/>
          <w:sz w:val="19"/>
        </w:rPr>
        <w:t>Figure 7.</w:t>
      </w:r>
      <w:r>
        <w:rPr>
          <w:rFonts w:ascii="Times New Roman" w:hAnsi="Times New Roman"/>
          <w:sz w:val="19"/>
        </w:rPr>
        <w:t xml:space="preserve"> f² effect sizes for all structural paths (reference lines at 0.02, 0.15, 0.35).</w:t>
      </w:r>
    </w:p>
    <w:p>
      <w:pPr>
        <w:spacing w:before="160" w:after="60"/>
      </w:pPr>
      <w:r>
        <w:rPr>
          <w:rFonts w:ascii="Times New Roman" w:hAnsi="Times New Roman"/>
          <w:b/>
          <w:i/>
          <w:color w:val="2E5496"/>
          <w:sz w:val="23"/>
        </w:rPr>
        <w:t>3.4 Mediation analysis</w:t>
      </w:r>
    </w:p>
    <w:p>
      <w:pPr>
        <w:jc w:val="both"/>
      </w:pPr>
      <w:r>
        <w:rPr>
          <w:rFonts w:ascii="Times New Roman" w:hAnsi="Times New Roman"/>
          <w:sz w:val="22"/>
        </w:rPr>
        <w:t>Following Zhao et al. (2010) and Nitzl et al. (2016), mediation was tested on the bootstrapped indirect effects. Both specific indirect paths through satisfaction are significant (Table 11): UE → BSAT → BSUC (indirect = 0.075, p = .007) and UX → BSAT → BSUC (indirect = 0.187, p &lt; .001). Because in each case the indirect effect is significant while the direct effect is not, the data indicate full (indirect-only) mediation: satisfaction fully transmits the influence of both experience and engagement onto continuance.</w:t>
      </w:r>
    </w:p>
    <w:p>
      <w:pPr>
        <w:spacing w:before="120" w:after="60"/>
      </w:pPr>
      <w:r>
        <w:rPr>
          <w:rFonts w:ascii="Times New Roman" w:hAnsi="Times New Roman"/>
          <w:b/>
          <w:sz w:val="20"/>
        </w:rPr>
        <w:t>Table 11.</w:t>
      </w:r>
      <w:r>
        <w:rPr>
          <w:rFonts w:ascii="Times New Roman" w:hAnsi="Times New Roman"/>
          <w:sz w:val="20"/>
        </w:rPr>
        <w:t xml:space="preserve"> Specific indirect effects and total effects on BSUC.</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5496"/>
          </w:tcPr>
          <w:p>
            <w:pPr>
              <w:jc w:val="center"/>
            </w:pPr>
            <w:r/>
            <w:r>
              <w:rPr>
                <w:rFonts w:ascii="Times New Roman" w:hAnsi="Times New Roman"/>
                <w:b/>
                <w:color w:val="FFFFFF"/>
                <w:sz w:val="18"/>
              </w:rPr>
              <w:t>Indirect path</w:t>
            </w:r>
          </w:p>
        </w:tc>
        <w:tc>
          <w:tcPr>
            <w:tcW w:type="dxa" w:w="1040"/>
            <w:shd w:val="clear" w:color="auto" w:fill="2E5496"/>
          </w:tcPr>
          <w:p>
            <w:pPr>
              <w:jc w:val="center"/>
            </w:pPr>
            <w:r/>
            <w:r>
              <w:rPr>
                <w:rFonts w:ascii="Times New Roman" w:hAnsi="Times New Roman"/>
                <w:b/>
                <w:color w:val="FFFFFF"/>
                <w:sz w:val="18"/>
              </w:rPr>
              <w:t>Indirect</w:t>
            </w:r>
          </w:p>
        </w:tc>
        <w:tc>
          <w:tcPr>
            <w:tcW w:type="dxa" w:w="1040"/>
            <w:shd w:val="clear" w:color="auto" w:fill="2E5496"/>
          </w:tcPr>
          <w:p>
            <w:pPr>
              <w:jc w:val="center"/>
            </w:pPr>
            <w:r/>
            <w:r>
              <w:rPr>
                <w:rFonts w:ascii="Times New Roman" w:hAnsi="Times New Roman"/>
                <w:b/>
                <w:color w:val="FFFFFF"/>
                <w:sz w:val="18"/>
              </w:rPr>
              <w:t>SE</w:t>
            </w:r>
          </w:p>
        </w:tc>
        <w:tc>
          <w:tcPr>
            <w:tcW w:type="dxa" w:w="1040"/>
            <w:shd w:val="clear" w:color="auto" w:fill="2E5496"/>
          </w:tcPr>
          <w:p>
            <w:pPr>
              <w:jc w:val="center"/>
            </w:pPr>
            <w:r/>
            <w:r>
              <w:rPr>
                <w:rFonts w:ascii="Times New Roman" w:hAnsi="Times New Roman"/>
                <w:b/>
                <w:color w:val="FFFFFF"/>
                <w:sz w:val="18"/>
              </w:rPr>
              <w:t>t</w:t>
            </w:r>
          </w:p>
        </w:tc>
        <w:tc>
          <w:tcPr>
            <w:tcW w:type="dxa" w:w="1040"/>
            <w:shd w:val="clear" w:color="auto" w:fill="2E5496"/>
          </w:tcPr>
          <w:p>
            <w:pPr>
              <w:jc w:val="center"/>
            </w:pPr>
            <w:r/>
            <w:r>
              <w:rPr>
                <w:rFonts w:ascii="Times New Roman" w:hAnsi="Times New Roman"/>
                <w:b/>
                <w:color w:val="FFFFFF"/>
                <w:sz w:val="18"/>
              </w:rPr>
              <w:t>p</w:t>
            </w:r>
          </w:p>
        </w:tc>
        <w:tc>
          <w:tcPr>
            <w:tcW w:type="dxa" w:w="1040"/>
            <w:shd w:val="clear" w:color="auto" w:fill="2E5496"/>
          </w:tcPr>
          <w:p>
            <w:pPr>
              <w:jc w:val="center"/>
            </w:pPr>
            <w:r/>
            <w:r>
              <w:rPr>
                <w:rFonts w:ascii="Times New Roman" w:hAnsi="Times New Roman"/>
                <w:b/>
                <w:color w:val="FFFFFF"/>
                <w:sz w:val="18"/>
              </w:rPr>
              <w:t>95% CI</w:t>
            </w:r>
          </w:p>
        </w:tc>
        <w:tc>
          <w:tcPr>
            <w:tcW w:type="dxa" w:w="1040"/>
            <w:shd w:val="clear" w:color="auto" w:fill="2E5496"/>
          </w:tcPr>
          <w:p>
            <w:pPr>
              <w:jc w:val="center"/>
            </w:pPr>
            <w:r/>
            <w:r>
              <w:rPr>
                <w:rFonts w:ascii="Times New Roman" w:hAnsi="Times New Roman"/>
                <w:b/>
                <w:color w:val="FFFFFF"/>
                <w:sz w:val="18"/>
              </w:rPr>
              <w:t>Direct</w:t>
            </w:r>
          </w:p>
        </w:tc>
        <w:tc>
          <w:tcPr>
            <w:tcW w:type="dxa" w:w="1040"/>
            <w:shd w:val="clear" w:color="auto" w:fill="2E5496"/>
          </w:tcPr>
          <w:p>
            <w:pPr>
              <w:jc w:val="center"/>
            </w:pPr>
            <w:r/>
            <w:r>
              <w:rPr>
                <w:rFonts w:ascii="Times New Roman" w:hAnsi="Times New Roman"/>
                <w:b/>
                <w:color w:val="FFFFFF"/>
                <w:sz w:val="18"/>
              </w:rPr>
              <w:t>Total</w:t>
            </w:r>
          </w:p>
        </w:tc>
        <w:tc>
          <w:tcPr>
            <w:tcW w:type="dxa" w:w="1040"/>
            <w:shd w:val="clear" w:color="auto" w:fill="2E5496"/>
          </w:tcPr>
          <w:p>
            <w:pPr>
              <w:jc w:val="center"/>
            </w:pPr>
            <w:r/>
            <w:r>
              <w:rPr>
                <w:rFonts w:ascii="Times New Roman" w:hAnsi="Times New Roman"/>
                <w:b/>
                <w:color w:val="FFFFFF"/>
                <w:sz w:val="18"/>
              </w:rPr>
              <w:t>Type</w:t>
            </w:r>
          </w:p>
        </w:tc>
      </w:tr>
      <w:tr>
        <w:tc>
          <w:tcPr>
            <w:tcW w:type="dxa" w:w="1040"/>
          </w:tcPr>
          <w:p>
            <w:r/>
            <w:r>
              <w:rPr>
                <w:rFonts w:ascii="Times New Roman" w:hAnsi="Times New Roman"/>
                <w:sz w:val="18"/>
              </w:rPr>
              <w:t>UE → BSAT → BSUC</w:t>
            </w:r>
          </w:p>
        </w:tc>
        <w:tc>
          <w:tcPr>
            <w:tcW w:type="dxa" w:w="1040"/>
          </w:tcPr>
          <w:p>
            <w:r/>
            <w:r>
              <w:rPr>
                <w:rFonts w:ascii="Times New Roman" w:hAnsi="Times New Roman"/>
                <w:sz w:val="18"/>
              </w:rPr>
              <w:t>0.075</w:t>
            </w:r>
          </w:p>
        </w:tc>
        <w:tc>
          <w:tcPr>
            <w:tcW w:type="dxa" w:w="1040"/>
          </w:tcPr>
          <w:p>
            <w:r/>
            <w:r>
              <w:rPr>
                <w:rFonts w:ascii="Times New Roman" w:hAnsi="Times New Roman"/>
                <w:sz w:val="18"/>
              </w:rPr>
              <w:t>0.027</w:t>
            </w:r>
          </w:p>
        </w:tc>
        <w:tc>
          <w:tcPr>
            <w:tcW w:type="dxa" w:w="1040"/>
          </w:tcPr>
          <w:p>
            <w:r/>
            <w:r>
              <w:rPr>
                <w:rFonts w:ascii="Times New Roman" w:hAnsi="Times New Roman"/>
                <w:sz w:val="18"/>
              </w:rPr>
              <w:t>2.72</w:t>
            </w:r>
          </w:p>
        </w:tc>
        <w:tc>
          <w:tcPr>
            <w:tcW w:type="dxa" w:w="1040"/>
          </w:tcPr>
          <w:p>
            <w:r/>
            <w:r>
              <w:rPr>
                <w:rFonts w:ascii="Times New Roman" w:hAnsi="Times New Roman"/>
                <w:sz w:val="18"/>
              </w:rPr>
              <w:t>.007</w:t>
            </w:r>
          </w:p>
        </w:tc>
        <w:tc>
          <w:tcPr>
            <w:tcW w:type="dxa" w:w="1040"/>
          </w:tcPr>
          <w:p>
            <w:r/>
            <w:r>
              <w:rPr>
                <w:rFonts w:ascii="Times New Roman" w:hAnsi="Times New Roman"/>
                <w:sz w:val="18"/>
              </w:rPr>
              <w:t>[0.024, 0.132]</w:t>
            </w:r>
          </w:p>
        </w:tc>
        <w:tc>
          <w:tcPr>
            <w:tcW w:type="dxa" w:w="1040"/>
          </w:tcPr>
          <w:p>
            <w:r/>
            <w:r>
              <w:rPr>
                <w:rFonts w:ascii="Times New Roman" w:hAnsi="Times New Roman"/>
                <w:sz w:val="18"/>
              </w:rPr>
              <w:t>0.088 (n.s.)</w:t>
            </w:r>
          </w:p>
        </w:tc>
        <w:tc>
          <w:tcPr>
            <w:tcW w:type="dxa" w:w="1040"/>
          </w:tcPr>
          <w:p>
            <w:r/>
            <w:r>
              <w:rPr>
                <w:rFonts w:ascii="Times New Roman" w:hAnsi="Times New Roman"/>
                <w:sz w:val="18"/>
              </w:rPr>
              <w:t>0.162</w:t>
            </w:r>
          </w:p>
        </w:tc>
        <w:tc>
          <w:tcPr>
            <w:tcW w:type="dxa" w:w="1040"/>
          </w:tcPr>
          <w:p>
            <w:r/>
            <w:r>
              <w:rPr>
                <w:rFonts w:ascii="Times New Roman" w:hAnsi="Times New Roman"/>
                <w:sz w:val="18"/>
              </w:rPr>
              <w:t>Full</w:t>
            </w:r>
          </w:p>
        </w:tc>
      </w:tr>
      <w:tr>
        <w:tc>
          <w:tcPr>
            <w:tcW w:type="dxa" w:w="1040"/>
          </w:tcPr>
          <w:p>
            <w:r/>
            <w:r>
              <w:rPr>
                <w:rFonts w:ascii="Times New Roman" w:hAnsi="Times New Roman"/>
                <w:sz w:val="18"/>
              </w:rPr>
              <w:t>UX → BSAT → BSUC</w:t>
            </w:r>
          </w:p>
        </w:tc>
        <w:tc>
          <w:tcPr>
            <w:tcW w:type="dxa" w:w="1040"/>
          </w:tcPr>
          <w:p>
            <w:r/>
            <w:r>
              <w:rPr>
                <w:rFonts w:ascii="Times New Roman" w:hAnsi="Times New Roman"/>
                <w:sz w:val="18"/>
              </w:rPr>
              <w:t>0.187</w:t>
            </w:r>
          </w:p>
        </w:tc>
        <w:tc>
          <w:tcPr>
            <w:tcW w:type="dxa" w:w="1040"/>
          </w:tcPr>
          <w:p>
            <w:r/>
            <w:r>
              <w:rPr>
                <w:rFonts w:ascii="Times New Roman" w:hAnsi="Times New Roman"/>
                <w:sz w:val="18"/>
              </w:rPr>
              <w:t>0.030</w:t>
            </w:r>
          </w:p>
        </w:tc>
        <w:tc>
          <w:tcPr>
            <w:tcW w:type="dxa" w:w="1040"/>
          </w:tcPr>
          <w:p>
            <w:r/>
            <w:r>
              <w:rPr>
                <w:rFonts w:ascii="Times New Roman" w:hAnsi="Times New Roman"/>
                <w:sz w:val="18"/>
              </w:rPr>
              <w:t>6.15</w:t>
            </w:r>
          </w:p>
        </w:tc>
        <w:tc>
          <w:tcPr>
            <w:tcW w:type="dxa" w:w="1040"/>
          </w:tcPr>
          <w:p>
            <w:r/>
            <w:r>
              <w:rPr>
                <w:rFonts w:ascii="Times New Roman" w:hAnsi="Times New Roman"/>
                <w:sz w:val="18"/>
              </w:rPr>
              <w:t>&lt;.001</w:t>
            </w:r>
          </w:p>
        </w:tc>
        <w:tc>
          <w:tcPr>
            <w:tcW w:type="dxa" w:w="1040"/>
          </w:tcPr>
          <w:p>
            <w:r/>
            <w:r>
              <w:rPr>
                <w:rFonts w:ascii="Times New Roman" w:hAnsi="Times New Roman"/>
                <w:sz w:val="18"/>
              </w:rPr>
              <w:t>[0.131, 0.251]</w:t>
            </w:r>
          </w:p>
        </w:tc>
        <w:tc>
          <w:tcPr>
            <w:tcW w:type="dxa" w:w="1040"/>
          </w:tcPr>
          <w:p>
            <w:r/>
            <w:r>
              <w:rPr>
                <w:rFonts w:ascii="Times New Roman" w:hAnsi="Times New Roman"/>
                <w:sz w:val="18"/>
              </w:rPr>
              <w:t>0.095 (n.s.)</w:t>
            </w:r>
          </w:p>
        </w:tc>
        <w:tc>
          <w:tcPr>
            <w:tcW w:type="dxa" w:w="1040"/>
          </w:tcPr>
          <w:p>
            <w:r/>
            <w:r>
              <w:rPr>
                <w:rFonts w:ascii="Times New Roman" w:hAnsi="Times New Roman"/>
                <w:sz w:val="18"/>
              </w:rPr>
              <w:t>0.282</w:t>
            </w:r>
          </w:p>
        </w:tc>
        <w:tc>
          <w:tcPr>
            <w:tcW w:type="dxa" w:w="1040"/>
          </w:tcPr>
          <w:p>
            <w:r/>
            <w:r>
              <w:rPr>
                <w:rFonts w:ascii="Times New Roman" w:hAnsi="Times New Roman"/>
                <w:sz w:val="18"/>
              </w:rPr>
              <w:t>Full</w:t>
            </w:r>
          </w:p>
        </w:tc>
      </w:tr>
    </w:tbl>
    <w:p>
      <w:pPr>
        <w:spacing w:after="40"/>
      </w:pPr>
    </w:p>
    <w:p>
      <w:pPr>
        <w:jc w:val="both"/>
      </w:pPr>
      <w:r>
        <w:rPr>
          <w:rFonts w:ascii="Times New Roman" w:hAnsi="Times New Roman"/>
          <w:sz w:val="22"/>
        </w:rPr>
        <w:t>The total effects on continuance rank the antecedents as BSAT (0.476) &gt; UX (0.282) &gt; UE (0.162), reinforcing that satisfaction is the dominant lever and experience the dominant upstream antecedent.</w:t>
      </w:r>
    </w:p>
    <w:p>
      <w:pPr>
        <w:spacing w:before="160" w:after="60"/>
      </w:pPr>
      <w:r>
        <w:rPr>
          <w:rFonts w:ascii="Times New Roman" w:hAnsi="Times New Roman"/>
          <w:b/>
          <w:i/>
          <w:color w:val="2E5496"/>
          <w:sz w:val="23"/>
        </w:rPr>
        <w:t>3.5 Importance–performance map analysis (IPMA)</w:t>
      </w:r>
    </w:p>
    <w:p>
      <w:pPr>
        <w:jc w:val="both"/>
      </w:pPr>
      <w:r>
        <w:rPr>
          <w:rFonts w:ascii="Times New Roman" w:hAnsi="Times New Roman"/>
          <w:sz w:val="22"/>
        </w:rPr>
        <w:t>An IPMA was conducted with BSUC as the target. The importance dimension (total effects) reproduces the ranking BSAT &gt; UX &gt; UE (Figure 8). The performance dimension is uninformative in these data because every construct's rescaled mean sits at the scale midpoint (≈ 50/100), a direct consequence of the uniform item marginals; the IPMA is therefore reported for completeness, but performance-based prioritization should not be inferred from this sample.</w:t>
      </w:r>
    </w:p>
    <w:p>
      <w:pPr>
        <w:spacing w:before="120"/>
        <w:jc w:val="center"/>
      </w:pPr>
      <w:r>
        <w:drawing>
          <wp:inline xmlns:a="http://schemas.openxmlformats.org/drawingml/2006/main" xmlns:pic="http://schemas.openxmlformats.org/drawingml/2006/picture">
            <wp:extent cx="5303520" cy="3876575"/>
            <wp:docPr id="8" name="Picture 8"/>
            <wp:cNvGraphicFramePr>
              <a:graphicFrameLocks noChangeAspect="1"/>
            </wp:cNvGraphicFramePr>
            <a:graphic>
              <a:graphicData uri="http://schemas.openxmlformats.org/drawingml/2006/picture">
                <pic:pic>
                  <pic:nvPicPr>
                    <pic:cNvPr id="0" name="img_063.png"/>
                    <pic:cNvPicPr/>
                  </pic:nvPicPr>
                  <pic:blipFill>
                    <a:blip r:embed="rId16"/>
                    <a:stretch>
                      <a:fillRect/>
                    </a:stretch>
                  </pic:blipFill>
                  <pic:spPr>
                    <a:xfrm>
                      <a:off x="0" y="0"/>
                      <a:ext cx="5303520" cy="3876575"/>
                    </a:xfrm>
                    <a:prstGeom prst="rect"/>
                  </pic:spPr>
                </pic:pic>
              </a:graphicData>
            </a:graphic>
          </wp:inline>
        </w:drawing>
      </w:r>
    </w:p>
    <w:p>
      <w:pPr>
        <w:spacing w:after="200"/>
        <w:jc w:val="center"/>
      </w:pPr>
      <w:r>
        <w:rPr>
          <w:rFonts w:ascii="Times New Roman" w:hAnsi="Times New Roman"/>
          <w:b/>
          <w:sz w:val="19"/>
        </w:rPr>
        <w:t>Figure 8.</w:t>
      </w:r>
      <w:r>
        <w:rPr>
          <w:rFonts w:ascii="Times New Roman" w:hAnsi="Times New Roman"/>
          <w:sz w:val="19"/>
        </w:rPr>
        <w:t xml:space="preserve"> Importance–performance map analysis (target: BSUC).</w:t>
      </w:r>
    </w:p>
    <w:p>
      <w:pPr>
        <w:spacing w:before="240" w:after="120"/>
      </w:pPr>
      <w:r>
        <w:rPr>
          <w:rFonts w:ascii="Times New Roman" w:hAnsi="Times New Roman"/>
          <w:b/>
          <w:color w:val="1F3864"/>
          <w:sz w:val="26"/>
        </w:rPr>
        <w:t>4. Configurational analysis (fsQCA)</w:t>
      </w:r>
    </w:p>
    <w:p>
      <w:pPr>
        <w:jc w:val="both"/>
      </w:pPr>
      <w:r>
        <w:rPr>
          <w:rFonts w:ascii="Times New Roman" w:hAnsi="Times New Roman"/>
          <w:sz w:val="22"/>
        </w:rPr>
        <w:t>To complement the variance-based analysis with a configurational and asymmetric view—which combinations of conditions are sufficient for high continuance, and whether the recipe for low continuance is simply the mirror image—an fsQCA was conducted with UE, UX and BSAT as conditions and BSUC as the outcome (Ragin, 2008; Fiss, 2011; Pappas &amp; Woodside, 2021).</w:t>
      </w:r>
    </w:p>
    <w:p>
      <w:pPr>
        <w:spacing w:before="160" w:after="60"/>
      </w:pPr>
      <w:r>
        <w:rPr>
          <w:rFonts w:ascii="Times New Roman" w:hAnsi="Times New Roman"/>
          <w:b/>
          <w:i/>
          <w:color w:val="2E5496"/>
          <w:sz w:val="23"/>
        </w:rPr>
        <w:t>4.1 Calibration</w:t>
      </w:r>
    </w:p>
    <w:p>
      <w:pPr>
        <w:jc w:val="both"/>
      </w:pPr>
      <w:r>
        <w:rPr>
          <w:rFonts w:ascii="Times New Roman" w:hAnsi="Times New Roman"/>
          <w:sz w:val="22"/>
        </w:rPr>
        <w:t>Construct scores (item means) were calibrated into fuzzy-set membership using the direct method, with anchors set at the 95th percentile (full membership), the 50th percentile (cross-over), and the 5th percentile (full non-membership) of each construct (Table 12). Cases on the cross-over were nudged by 0.001 to avoid loss (Ragin, 2008). Figure 9 overlays the raw distributions with the membership functions.</w:t>
      </w:r>
    </w:p>
    <w:p>
      <w:pPr>
        <w:spacing w:before="120" w:after="60"/>
      </w:pPr>
      <w:r>
        <w:rPr>
          <w:rFonts w:ascii="Times New Roman" w:hAnsi="Times New Roman"/>
          <w:b/>
          <w:sz w:val="20"/>
        </w:rPr>
        <w:t>Table 12.</w:t>
      </w:r>
      <w:r>
        <w:rPr>
          <w:rFonts w:ascii="Times New Roman" w:hAnsi="Times New Roman"/>
          <w:sz w:val="20"/>
        </w:rPr>
        <w:t xml:space="preserve"> Calibration anchors (direct method, percentile-based).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E5496"/>
          </w:tcPr>
          <w:p>
            <w:pPr>
              <w:jc w:val="center"/>
            </w:pPr>
            <w:r/>
            <w:r>
              <w:rPr>
                <w:rFonts w:ascii="Times New Roman" w:hAnsi="Times New Roman"/>
                <w:b/>
                <w:color w:val="FFFFFF"/>
                <w:sz w:val="18"/>
              </w:rPr>
              <w:t>Construct</w:t>
            </w:r>
          </w:p>
        </w:tc>
        <w:tc>
          <w:tcPr>
            <w:tcW w:type="dxa" w:w="2340"/>
            <w:shd w:val="clear" w:color="auto" w:fill="2E5496"/>
          </w:tcPr>
          <w:p>
            <w:pPr>
              <w:jc w:val="center"/>
            </w:pPr>
            <w:r/>
            <w:r>
              <w:rPr>
                <w:rFonts w:ascii="Times New Roman" w:hAnsi="Times New Roman"/>
                <w:b/>
                <w:color w:val="FFFFFF"/>
                <w:sz w:val="18"/>
              </w:rPr>
              <w:t>Full-in (P95)</w:t>
            </w:r>
          </w:p>
        </w:tc>
        <w:tc>
          <w:tcPr>
            <w:tcW w:type="dxa" w:w="2340"/>
            <w:shd w:val="clear" w:color="auto" w:fill="2E5496"/>
          </w:tcPr>
          <w:p>
            <w:pPr>
              <w:jc w:val="center"/>
            </w:pPr>
            <w:r/>
            <w:r>
              <w:rPr>
                <w:rFonts w:ascii="Times New Roman" w:hAnsi="Times New Roman"/>
                <w:b/>
                <w:color w:val="FFFFFF"/>
                <w:sz w:val="18"/>
              </w:rPr>
              <w:t>Cross-over (P50)</w:t>
            </w:r>
          </w:p>
        </w:tc>
        <w:tc>
          <w:tcPr>
            <w:tcW w:type="dxa" w:w="2340"/>
            <w:shd w:val="clear" w:color="auto" w:fill="2E5496"/>
          </w:tcPr>
          <w:p>
            <w:pPr>
              <w:jc w:val="center"/>
            </w:pPr>
            <w:r/>
            <w:r>
              <w:rPr>
                <w:rFonts w:ascii="Times New Roman" w:hAnsi="Times New Roman"/>
                <w:b/>
                <w:color w:val="FFFFFF"/>
                <w:sz w:val="18"/>
              </w:rPr>
              <w:t>Full-out (P5)</w:t>
            </w:r>
          </w:p>
        </w:tc>
      </w:tr>
      <w:tr>
        <w:tc>
          <w:tcPr>
            <w:tcW w:type="dxa" w:w="2340"/>
          </w:tcPr>
          <w:p>
            <w:r/>
            <w:r>
              <w:rPr>
                <w:rFonts w:ascii="Times New Roman" w:hAnsi="Times New Roman"/>
                <w:sz w:val="18"/>
              </w:rPr>
              <w:t>UE</w:t>
            </w:r>
          </w:p>
        </w:tc>
        <w:tc>
          <w:tcPr>
            <w:tcW w:type="dxa" w:w="2340"/>
          </w:tcPr>
          <w:p>
            <w:r/>
            <w:r>
              <w:rPr>
                <w:rFonts w:ascii="Times New Roman" w:hAnsi="Times New Roman"/>
                <w:sz w:val="18"/>
              </w:rPr>
              <w:t>6.60</w:t>
            </w:r>
          </w:p>
        </w:tc>
        <w:tc>
          <w:tcPr>
            <w:tcW w:type="dxa" w:w="2340"/>
          </w:tcPr>
          <w:p>
            <w:r/>
            <w:r>
              <w:rPr>
                <w:rFonts w:ascii="Times New Roman" w:hAnsi="Times New Roman"/>
                <w:sz w:val="18"/>
              </w:rPr>
              <w:t>3.90</w:t>
            </w:r>
          </w:p>
        </w:tc>
        <w:tc>
          <w:tcPr>
            <w:tcW w:type="dxa" w:w="2340"/>
          </w:tcPr>
          <w:p>
            <w:r/>
            <w:r>
              <w:rPr>
                <w:rFonts w:ascii="Times New Roman" w:hAnsi="Times New Roman"/>
                <w:sz w:val="18"/>
              </w:rPr>
              <w:t>1.40</w:t>
            </w:r>
          </w:p>
        </w:tc>
      </w:tr>
      <w:tr>
        <w:tc>
          <w:tcPr>
            <w:tcW w:type="dxa" w:w="2340"/>
          </w:tcPr>
          <w:p>
            <w:r/>
            <w:r>
              <w:rPr>
                <w:rFonts w:ascii="Times New Roman" w:hAnsi="Times New Roman"/>
                <w:sz w:val="18"/>
              </w:rPr>
              <w:t>UX</w:t>
            </w:r>
          </w:p>
        </w:tc>
        <w:tc>
          <w:tcPr>
            <w:tcW w:type="dxa" w:w="2340"/>
          </w:tcPr>
          <w:p>
            <w:r/>
            <w:r>
              <w:rPr>
                <w:rFonts w:ascii="Times New Roman" w:hAnsi="Times New Roman"/>
                <w:sz w:val="18"/>
              </w:rPr>
              <w:t>6.80</w:t>
            </w:r>
          </w:p>
        </w:tc>
        <w:tc>
          <w:tcPr>
            <w:tcW w:type="dxa" w:w="2340"/>
          </w:tcPr>
          <w:p>
            <w:r/>
            <w:r>
              <w:rPr>
                <w:rFonts w:ascii="Times New Roman" w:hAnsi="Times New Roman"/>
                <w:sz w:val="18"/>
              </w:rPr>
              <w:t>4.00</w:t>
            </w:r>
          </w:p>
        </w:tc>
        <w:tc>
          <w:tcPr>
            <w:tcW w:type="dxa" w:w="2340"/>
          </w:tcPr>
          <w:p>
            <w:r/>
            <w:r>
              <w:rPr>
                <w:rFonts w:ascii="Times New Roman" w:hAnsi="Times New Roman"/>
                <w:sz w:val="18"/>
              </w:rPr>
              <w:t>1.20</w:t>
            </w:r>
          </w:p>
        </w:tc>
      </w:tr>
      <w:tr>
        <w:tc>
          <w:tcPr>
            <w:tcW w:type="dxa" w:w="2340"/>
          </w:tcPr>
          <w:p>
            <w:r/>
            <w:r>
              <w:rPr>
                <w:rFonts w:ascii="Times New Roman" w:hAnsi="Times New Roman"/>
                <w:sz w:val="18"/>
              </w:rPr>
              <w:t>BSAT</w:t>
            </w:r>
          </w:p>
        </w:tc>
        <w:tc>
          <w:tcPr>
            <w:tcW w:type="dxa" w:w="2340"/>
          </w:tcPr>
          <w:p>
            <w:r/>
            <w:r>
              <w:rPr>
                <w:rFonts w:ascii="Times New Roman" w:hAnsi="Times New Roman"/>
                <w:sz w:val="18"/>
              </w:rPr>
              <w:t>6.61</w:t>
            </w:r>
          </w:p>
        </w:tc>
        <w:tc>
          <w:tcPr>
            <w:tcW w:type="dxa" w:w="2340"/>
          </w:tcPr>
          <w:p>
            <w:r/>
            <w:r>
              <w:rPr>
                <w:rFonts w:ascii="Times New Roman" w:hAnsi="Times New Roman"/>
                <w:sz w:val="18"/>
              </w:rPr>
              <w:t>4.25</w:t>
            </w:r>
          </w:p>
        </w:tc>
        <w:tc>
          <w:tcPr>
            <w:tcW w:type="dxa" w:w="2340"/>
          </w:tcPr>
          <w:p>
            <w:r/>
            <w:r>
              <w:rPr>
                <w:rFonts w:ascii="Times New Roman" w:hAnsi="Times New Roman"/>
                <w:sz w:val="18"/>
              </w:rPr>
              <w:t>1.25</w:t>
            </w:r>
          </w:p>
        </w:tc>
      </w:tr>
      <w:tr>
        <w:tc>
          <w:tcPr>
            <w:tcW w:type="dxa" w:w="2340"/>
          </w:tcPr>
          <w:p>
            <w:r/>
            <w:r>
              <w:rPr>
                <w:rFonts w:ascii="Times New Roman" w:hAnsi="Times New Roman"/>
                <w:sz w:val="18"/>
              </w:rPr>
              <w:t>BSUC</w:t>
            </w:r>
          </w:p>
        </w:tc>
        <w:tc>
          <w:tcPr>
            <w:tcW w:type="dxa" w:w="2340"/>
          </w:tcPr>
          <w:p>
            <w:r/>
            <w:r>
              <w:rPr>
                <w:rFonts w:ascii="Times New Roman" w:hAnsi="Times New Roman"/>
                <w:sz w:val="18"/>
              </w:rPr>
              <w:t>6.75</w:t>
            </w:r>
          </w:p>
        </w:tc>
        <w:tc>
          <w:tcPr>
            <w:tcW w:type="dxa" w:w="2340"/>
          </w:tcPr>
          <w:p>
            <w:r/>
            <w:r>
              <w:rPr>
                <w:rFonts w:ascii="Times New Roman" w:hAnsi="Times New Roman"/>
                <w:sz w:val="18"/>
              </w:rPr>
              <w:t>4.00</w:t>
            </w:r>
          </w:p>
        </w:tc>
        <w:tc>
          <w:tcPr>
            <w:tcW w:type="dxa" w:w="2340"/>
          </w:tcPr>
          <w:p>
            <w:r/>
            <w:r>
              <w:rPr>
                <w:rFonts w:ascii="Times New Roman" w:hAnsi="Times New Roman"/>
                <w:sz w:val="18"/>
              </w:rPr>
              <w:t>1.25</w:t>
            </w:r>
          </w:p>
        </w:tc>
      </w:tr>
    </w:tbl>
    <w:p>
      <w:pPr>
        <w:spacing w:after="40"/>
      </w:pPr>
    </w:p>
    <w:p>
      <w:pPr>
        <w:spacing w:before="120"/>
        <w:jc w:val="center"/>
      </w:pPr>
      <w:r>
        <w:drawing>
          <wp:inline xmlns:a="http://schemas.openxmlformats.org/drawingml/2006/main" xmlns:pic="http://schemas.openxmlformats.org/drawingml/2006/picture">
            <wp:extent cx="5303520" cy="3675546"/>
            <wp:docPr id="9" name="Picture 9"/>
            <wp:cNvGraphicFramePr>
              <a:graphicFrameLocks noChangeAspect="1"/>
            </wp:cNvGraphicFramePr>
            <a:graphic>
              <a:graphicData uri="http://schemas.openxmlformats.org/drawingml/2006/picture">
                <pic:pic>
                  <pic:nvPicPr>
                    <pic:cNvPr id="0" name="img_071.png"/>
                    <pic:cNvPicPr/>
                  </pic:nvPicPr>
                  <pic:blipFill>
                    <a:blip r:embed="rId17"/>
                    <a:stretch>
                      <a:fillRect/>
                    </a:stretch>
                  </pic:blipFill>
                  <pic:spPr>
                    <a:xfrm>
                      <a:off x="0" y="0"/>
                      <a:ext cx="5303520" cy="3675546"/>
                    </a:xfrm>
                    <a:prstGeom prst="rect"/>
                  </pic:spPr>
                </pic:pic>
              </a:graphicData>
            </a:graphic>
          </wp:inline>
        </w:drawing>
      </w:r>
    </w:p>
    <w:p>
      <w:pPr>
        <w:spacing w:after="200"/>
        <w:jc w:val="center"/>
      </w:pPr>
      <w:r>
        <w:rPr>
          <w:rFonts w:ascii="Times New Roman" w:hAnsi="Times New Roman"/>
          <w:b/>
          <w:sz w:val="19"/>
        </w:rPr>
        <w:t>Figure 9.</w:t>
      </w:r>
      <w:r>
        <w:rPr>
          <w:rFonts w:ascii="Times New Roman" w:hAnsi="Times New Roman"/>
          <w:sz w:val="19"/>
        </w:rPr>
        <w:t xml:space="preserve"> fsQCA calibration: raw composite distributions (bars) and fuzzy-set membership functions (curves).</w:t>
      </w:r>
    </w:p>
    <w:p>
      <w:pPr>
        <w:spacing w:before="160" w:after="60"/>
      </w:pPr>
      <w:r>
        <w:rPr>
          <w:rFonts w:ascii="Times New Roman" w:hAnsi="Times New Roman"/>
          <w:b/>
          <w:i/>
          <w:color w:val="2E5496"/>
          <w:sz w:val="23"/>
        </w:rPr>
        <w:t>4.2 Analysis of necessary conditions</w:t>
      </w:r>
    </w:p>
    <w:p>
      <w:pPr>
        <w:jc w:val="both"/>
      </w:pPr>
      <w:r>
        <w:rPr>
          <w:rFonts w:ascii="Times New Roman" w:hAnsi="Times New Roman"/>
          <w:sz w:val="22"/>
        </w:rPr>
        <w:t>No single condition is necessary for high continuance: the highest necessity consistency is for BSAT (0.751), below the 0.90 threshold (Table 13, Figure 10). The same holds for the negated outcome (highest: ~BSAT, 0.784). The absence of any necessary condition is itself informative—high continuance does not require any one antecedent in isolation, motivating the sufficiency analysis.</w:t>
      </w:r>
    </w:p>
    <w:p>
      <w:pPr>
        <w:spacing w:before="120" w:after="60"/>
      </w:pPr>
      <w:r>
        <w:rPr>
          <w:rFonts w:ascii="Times New Roman" w:hAnsi="Times New Roman"/>
          <w:b/>
          <w:sz w:val="20"/>
        </w:rPr>
        <w:t>Table 13.</w:t>
      </w:r>
      <w:r>
        <w:rPr>
          <w:rFonts w:ascii="Times New Roman" w:hAnsi="Times New Roman"/>
          <w:sz w:val="20"/>
        </w:rPr>
        <w:t xml:space="preserve"> Analysis of necessary conditions (consistency threshold = 0.90).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t>Condition</w:t>
            </w:r>
          </w:p>
        </w:tc>
        <w:tc>
          <w:tcPr>
            <w:tcW w:type="dxa" w:w="1872"/>
            <w:shd w:val="clear" w:color="auto" w:fill="2E5496"/>
          </w:tcPr>
          <w:p>
            <w:pPr>
              <w:jc w:val="center"/>
            </w:pPr>
            <w:r/>
            <w:r>
              <w:rPr>
                <w:rFonts w:ascii="Times New Roman" w:hAnsi="Times New Roman"/>
                <w:b/>
                <w:color w:val="FFFFFF"/>
                <w:sz w:val="18"/>
              </w:rPr>
              <w:t>Cons. (high BSUC)</w:t>
            </w:r>
          </w:p>
        </w:tc>
        <w:tc>
          <w:tcPr>
            <w:tcW w:type="dxa" w:w="1872"/>
            <w:shd w:val="clear" w:color="auto" w:fill="2E5496"/>
          </w:tcPr>
          <w:p>
            <w:pPr>
              <w:jc w:val="center"/>
            </w:pPr>
            <w:r/>
            <w:r>
              <w:rPr>
                <w:rFonts w:ascii="Times New Roman" w:hAnsi="Times New Roman"/>
                <w:b/>
                <w:color w:val="FFFFFF"/>
                <w:sz w:val="18"/>
              </w:rPr>
              <w:t>Cov. (high BSUC)</w:t>
            </w:r>
          </w:p>
        </w:tc>
        <w:tc>
          <w:tcPr>
            <w:tcW w:type="dxa" w:w="1872"/>
            <w:shd w:val="clear" w:color="auto" w:fill="2E5496"/>
          </w:tcPr>
          <w:p>
            <w:pPr>
              <w:jc w:val="center"/>
            </w:pPr>
            <w:r/>
            <w:r>
              <w:rPr>
                <w:rFonts w:ascii="Times New Roman" w:hAnsi="Times New Roman"/>
                <w:b/>
                <w:color w:val="FFFFFF"/>
                <w:sz w:val="18"/>
              </w:rPr>
              <w:t>Cons. (~BSUC)</w:t>
            </w:r>
          </w:p>
        </w:tc>
        <w:tc>
          <w:tcPr>
            <w:tcW w:type="dxa" w:w="1872"/>
            <w:shd w:val="clear" w:color="auto" w:fill="2E5496"/>
          </w:tcPr>
          <w:p>
            <w:pPr>
              <w:jc w:val="center"/>
            </w:pPr>
            <w:r/>
            <w:r>
              <w:rPr>
                <w:rFonts w:ascii="Times New Roman" w:hAnsi="Times New Roman"/>
                <w:b/>
                <w:color w:val="FFFFFF"/>
                <w:sz w:val="18"/>
              </w:rPr>
              <w:t>Cov. (~BSUC)</w:t>
            </w:r>
          </w:p>
        </w:tc>
      </w:tr>
      <w:tr>
        <w:tc>
          <w:tcPr>
            <w:tcW w:type="dxa" w:w="1872"/>
          </w:tcPr>
          <w:p>
            <w:r/>
            <w:r>
              <w:rPr>
                <w:rFonts w:ascii="Times New Roman" w:hAnsi="Times New Roman"/>
                <w:sz w:val="18"/>
              </w:rPr>
              <w:t>UE</w:t>
            </w:r>
          </w:p>
        </w:tc>
        <w:tc>
          <w:tcPr>
            <w:tcW w:type="dxa" w:w="1872"/>
          </w:tcPr>
          <w:p>
            <w:r/>
            <w:r>
              <w:rPr>
                <w:rFonts w:ascii="Times New Roman" w:hAnsi="Times New Roman"/>
                <w:sz w:val="18"/>
              </w:rPr>
              <w:t>0.698</w:t>
            </w:r>
          </w:p>
        </w:tc>
        <w:tc>
          <w:tcPr>
            <w:tcW w:type="dxa" w:w="1872"/>
          </w:tcPr>
          <w:p>
            <w:r/>
            <w:r>
              <w:rPr>
                <w:rFonts w:ascii="Times New Roman" w:hAnsi="Times New Roman"/>
                <w:sz w:val="18"/>
              </w:rPr>
              <w:t>0.685</w:t>
            </w:r>
          </w:p>
        </w:tc>
        <w:tc>
          <w:tcPr>
            <w:tcW w:type="dxa" w:w="1872"/>
          </w:tcPr>
          <w:p>
            <w:r/>
            <w:r>
              <w:rPr>
                <w:rFonts w:ascii="Times New Roman" w:hAnsi="Times New Roman"/>
                <w:sz w:val="18"/>
              </w:rPr>
              <w:t>0.576</w:t>
            </w:r>
          </w:p>
        </w:tc>
        <w:tc>
          <w:tcPr>
            <w:tcW w:type="dxa" w:w="1872"/>
          </w:tcPr>
          <w:p>
            <w:r/>
            <w:r>
              <w:rPr>
                <w:rFonts w:ascii="Times New Roman" w:hAnsi="Times New Roman"/>
                <w:sz w:val="18"/>
              </w:rPr>
              <w:t>0.567</w:t>
            </w:r>
          </w:p>
        </w:tc>
      </w:tr>
      <w:tr>
        <w:tc>
          <w:tcPr>
            <w:tcW w:type="dxa" w:w="1872"/>
          </w:tcPr>
          <w:p>
            <w:r/>
            <w:r>
              <w:rPr>
                <w:rFonts w:ascii="Times New Roman" w:hAnsi="Times New Roman"/>
                <w:sz w:val="18"/>
              </w:rPr>
              <w:t>~UE</w:t>
            </w:r>
          </w:p>
        </w:tc>
        <w:tc>
          <w:tcPr>
            <w:tcW w:type="dxa" w:w="1872"/>
          </w:tcPr>
          <w:p>
            <w:r/>
            <w:r>
              <w:rPr>
                <w:rFonts w:ascii="Times New Roman" w:hAnsi="Times New Roman"/>
                <w:sz w:val="18"/>
              </w:rPr>
              <w:t>0.559</w:t>
            </w:r>
          </w:p>
        </w:tc>
        <w:tc>
          <w:tcPr>
            <w:tcW w:type="dxa" w:w="1872"/>
          </w:tcPr>
          <w:p>
            <w:r/>
            <w:r>
              <w:rPr>
                <w:rFonts w:ascii="Times New Roman" w:hAnsi="Times New Roman"/>
                <w:sz w:val="18"/>
              </w:rPr>
              <w:t>0.568</w:t>
            </w:r>
          </w:p>
        </w:tc>
        <w:tc>
          <w:tcPr>
            <w:tcW w:type="dxa" w:w="1872"/>
          </w:tcPr>
          <w:p>
            <w:r/>
            <w:r>
              <w:rPr>
                <w:rFonts w:ascii="Times New Roman" w:hAnsi="Times New Roman"/>
                <w:sz w:val="18"/>
              </w:rPr>
              <w:t>0.680</w:t>
            </w:r>
          </w:p>
        </w:tc>
        <w:tc>
          <w:tcPr>
            <w:tcW w:type="dxa" w:w="1872"/>
          </w:tcPr>
          <w:p>
            <w:r/>
            <w:r>
              <w:rPr>
                <w:rFonts w:ascii="Times New Roman" w:hAnsi="Times New Roman"/>
                <w:sz w:val="18"/>
              </w:rPr>
              <w:t>0.693</w:t>
            </w:r>
          </w:p>
        </w:tc>
      </w:tr>
      <w:tr>
        <w:tc>
          <w:tcPr>
            <w:tcW w:type="dxa" w:w="1872"/>
          </w:tcPr>
          <w:p>
            <w:r/>
            <w:r>
              <w:rPr>
                <w:rFonts w:ascii="Times New Roman" w:hAnsi="Times New Roman"/>
                <w:sz w:val="18"/>
              </w:rPr>
              <w:t>UX</w:t>
            </w:r>
          </w:p>
        </w:tc>
        <w:tc>
          <w:tcPr>
            <w:tcW w:type="dxa" w:w="1872"/>
          </w:tcPr>
          <w:p>
            <w:r/>
            <w:r>
              <w:rPr>
                <w:rFonts w:ascii="Times New Roman" w:hAnsi="Times New Roman"/>
                <w:sz w:val="18"/>
              </w:rPr>
              <w:t>0.718</w:t>
            </w:r>
          </w:p>
        </w:tc>
        <w:tc>
          <w:tcPr>
            <w:tcW w:type="dxa" w:w="1872"/>
          </w:tcPr>
          <w:p>
            <w:r/>
            <w:r>
              <w:rPr>
                <w:rFonts w:ascii="Times New Roman" w:hAnsi="Times New Roman"/>
                <w:sz w:val="18"/>
              </w:rPr>
              <w:t>0.714</w:t>
            </w:r>
          </w:p>
        </w:tc>
        <w:tc>
          <w:tcPr>
            <w:tcW w:type="dxa" w:w="1872"/>
          </w:tcPr>
          <w:p>
            <w:r/>
            <w:r>
              <w:rPr>
                <w:rFonts w:ascii="Times New Roman" w:hAnsi="Times New Roman"/>
                <w:sz w:val="18"/>
              </w:rPr>
              <w:t>0.560</w:t>
            </w:r>
          </w:p>
        </w:tc>
        <w:tc>
          <w:tcPr>
            <w:tcW w:type="dxa" w:w="1872"/>
          </w:tcPr>
          <w:p>
            <w:r/>
            <w:r>
              <w:rPr>
                <w:rFonts w:ascii="Times New Roman" w:hAnsi="Times New Roman"/>
                <w:sz w:val="18"/>
              </w:rPr>
              <w:t>0.559</w:t>
            </w:r>
          </w:p>
        </w:tc>
      </w:tr>
      <w:tr>
        <w:tc>
          <w:tcPr>
            <w:tcW w:type="dxa" w:w="1872"/>
          </w:tcPr>
          <w:p>
            <w:r/>
            <w:r>
              <w:rPr>
                <w:rFonts w:ascii="Times New Roman" w:hAnsi="Times New Roman"/>
                <w:sz w:val="18"/>
              </w:rPr>
              <w:t>~UX</w:t>
            </w:r>
          </w:p>
        </w:tc>
        <w:tc>
          <w:tcPr>
            <w:tcW w:type="dxa" w:w="1872"/>
          </w:tcPr>
          <w:p>
            <w:r/>
            <w:r>
              <w:rPr>
                <w:rFonts w:ascii="Times New Roman" w:hAnsi="Times New Roman"/>
                <w:sz w:val="18"/>
              </w:rPr>
              <w:t>0.557</w:t>
            </w:r>
          </w:p>
        </w:tc>
        <w:tc>
          <w:tcPr>
            <w:tcW w:type="dxa" w:w="1872"/>
          </w:tcPr>
          <w:p>
            <w:r/>
            <w:r>
              <w:rPr>
                <w:rFonts w:ascii="Times New Roman" w:hAnsi="Times New Roman"/>
                <w:sz w:val="18"/>
              </w:rPr>
              <w:t>0.558</w:t>
            </w:r>
          </w:p>
        </w:tc>
        <w:tc>
          <w:tcPr>
            <w:tcW w:type="dxa" w:w="1872"/>
          </w:tcPr>
          <w:p>
            <w:r/>
            <w:r>
              <w:rPr>
                <w:rFonts w:ascii="Times New Roman" w:hAnsi="Times New Roman"/>
                <w:sz w:val="18"/>
              </w:rPr>
              <w:t>0.713</w:t>
            </w:r>
          </w:p>
        </w:tc>
        <w:tc>
          <w:tcPr>
            <w:tcW w:type="dxa" w:w="1872"/>
          </w:tcPr>
          <w:p>
            <w:r/>
            <w:r>
              <w:rPr>
                <w:rFonts w:ascii="Times New Roman" w:hAnsi="Times New Roman"/>
                <w:sz w:val="18"/>
              </w:rPr>
              <w:t>0.717</w:t>
            </w:r>
          </w:p>
        </w:tc>
      </w:tr>
      <w:tr>
        <w:tc>
          <w:tcPr>
            <w:tcW w:type="dxa" w:w="1872"/>
          </w:tcPr>
          <w:p>
            <w:r/>
            <w:r>
              <w:rPr>
                <w:rFonts w:ascii="Times New Roman" w:hAnsi="Times New Roman"/>
                <w:sz w:val="18"/>
              </w:rPr>
              <w:t>BSAT</w:t>
            </w:r>
          </w:p>
        </w:tc>
        <w:tc>
          <w:tcPr>
            <w:tcW w:type="dxa" w:w="1872"/>
          </w:tcPr>
          <w:p>
            <w:r/>
            <w:r>
              <w:rPr>
                <w:rFonts w:ascii="Times New Roman" w:hAnsi="Times New Roman"/>
                <w:sz w:val="18"/>
              </w:rPr>
              <w:t>0.751</w:t>
            </w:r>
          </w:p>
        </w:tc>
        <w:tc>
          <w:tcPr>
            <w:tcW w:type="dxa" w:w="1872"/>
          </w:tcPr>
          <w:p>
            <w:r/>
            <w:r>
              <w:rPr>
                <w:rFonts w:ascii="Times New Roman" w:hAnsi="Times New Roman"/>
                <w:sz w:val="18"/>
              </w:rPr>
              <w:t>0.776</w:t>
            </w:r>
          </w:p>
        </w:tc>
        <w:tc>
          <w:tcPr>
            <w:tcW w:type="dxa" w:w="1872"/>
          </w:tcPr>
          <w:p>
            <w:r/>
            <w:r>
              <w:rPr>
                <w:rFonts w:ascii="Times New Roman" w:hAnsi="Times New Roman"/>
                <w:sz w:val="18"/>
              </w:rPr>
              <w:t>0.476</w:t>
            </w:r>
          </w:p>
        </w:tc>
        <w:tc>
          <w:tcPr>
            <w:tcW w:type="dxa" w:w="1872"/>
          </w:tcPr>
          <w:p>
            <w:r/>
            <w:r>
              <w:rPr>
                <w:rFonts w:ascii="Times New Roman" w:hAnsi="Times New Roman"/>
                <w:sz w:val="18"/>
              </w:rPr>
              <w:t>0.494</w:t>
            </w:r>
          </w:p>
        </w:tc>
      </w:tr>
      <w:tr>
        <w:tc>
          <w:tcPr>
            <w:tcW w:type="dxa" w:w="1872"/>
          </w:tcPr>
          <w:p>
            <w:r/>
            <w:r>
              <w:rPr>
                <w:rFonts w:ascii="Times New Roman" w:hAnsi="Times New Roman"/>
                <w:sz w:val="18"/>
              </w:rPr>
              <w:t>~BSAT</w:t>
            </w:r>
          </w:p>
        </w:tc>
        <w:tc>
          <w:tcPr>
            <w:tcW w:type="dxa" w:w="1872"/>
          </w:tcPr>
          <w:p>
            <w:r/>
            <w:r>
              <w:rPr>
                <w:rFonts w:ascii="Times New Roman" w:hAnsi="Times New Roman"/>
                <w:sz w:val="18"/>
              </w:rPr>
              <w:t>0.511</w:t>
            </w:r>
          </w:p>
        </w:tc>
        <w:tc>
          <w:tcPr>
            <w:tcW w:type="dxa" w:w="1872"/>
          </w:tcPr>
          <w:p>
            <w:r/>
            <w:r>
              <w:rPr>
                <w:rFonts w:ascii="Times New Roman" w:hAnsi="Times New Roman"/>
                <w:sz w:val="18"/>
              </w:rPr>
              <w:t>0.493</w:t>
            </w:r>
          </w:p>
        </w:tc>
        <w:tc>
          <w:tcPr>
            <w:tcW w:type="dxa" w:w="1872"/>
          </w:tcPr>
          <w:p>
            <w:r/>
            <w:r>
              <w:rPr>
                <w:rFonts w:ascii="Times New Roman" w:hAnsi="Times New Roman"/>
                <w:sz w:val="18"/>
              </w:rPr>
              <w:t>0.784</w:t>
            </w:r>
          </w:p>
        </w:tc>
        <w:tc>
          <w:tcPr>
            <w:tcW w:type="dxa" w:w="1872"/>
          </w:tcPr>
          <w:p>
            <w:r/>
            <w:r>
              <w:rPr>
                <w:rFonts w:ascii="Times New Roman" w:hAnsi="Times New Roman"/>
                <w:sz w:val="18"/>
              </w:rPr>
              <w:t>0.759</w:t>
            </w:r>
          </w:p>
        </w:tc>
      </w:tr>
    </w:tbl>
    <w:p>
      <w:pPr>
        <w:spacing w:after="40"/>
      </w:pPr>
    </w:p>
    <w:p>
      <w:pPr>
        <w:spacing w:before="120"/>
        <w:jc w:val="center"/>
      </w:pPr>
      <w:r>
        <w:drawing>
          <wp:inline xmlns:a="http://schemas.openxmlformats.org/drawingml/2006/main" xmlns:pic="http://schemas.openxmlformats.org/drawingml/2006/picture">
            <wp:extent cx="5303520" cy="1905201"/>
            <wp:docPr id="10" name="Picture 10"/>
            <wp:cNvGraphicFramePr>
              <a:graphicFrameLocks noChangeAspect="1"/>
            </wp:cNvGraphicFramePr>
            <a:graphic>
              <a:graphicData uri="http://schemas.openxmlformats.org/drawingml/2006/picture">
                <pic:pic>
                  <pic:nvPicPr>
                    <pic:cNvPr id="0" name="img_077.png"/>
                    <pic:cNvPicPr/>
                  </pic:nvPicPr>
                  <pic:blipFill>
                    <a:blip r:embed="rId18"/>
                    <a:stretch>
                      <a:fillRect/>
                    </a:stretch>
                  </pic:blipFill>
                  <pic:spPr>
                    <a:xfrm>
                      <a:off x="0" y="0"/>
                      <a:ext cx="5303520" cy="1905201"/>
                    </a:xfrm>
                    <a:prstGeom prst="rect"/>
                  </pic:spPr>
                </pic:pic>
              </a:graphicData>
            </a:graphic>
          </wp:inline>
        </w:drawing>
      </w:r>
    </w:p>
    <w:p>
      <w:pPr>
        <w:spacing w:after="200"/>
        <w:jc w:val="center"/>
      </w:pPr>
      <w:r>
        <w:rPr>
          <w:rFonts w:ascii="Times New Roman" w:hAnsi="Times New Roman"/>
          <w:b/>
          <w:sz w:val="19"/>
        </w:rPr>
        <w:t>Figure 10.</w:t>
      </w:r>
      <w:r>
        <w:rPr>
          <w:rFonts w:ascii="Times New Roman" w:hAnsi="Times New Roman"/>
          <w:sz w:val="19"/>
        </w:rPr>
        <w:t xml:space="preserve"> fsQCA necessity XY plots (no condition reaches the 0.90 necessity threshold).</w:t>
      </w:r>
    </w:p>
    <w:p>
      <w:pPr>
        <w:spacing w:before="160" w:after="60"/>
      </w:pPr>
      <w:r>
        <w:rPr>
          <w:rFonts w:ascii="Times New Roman" w:hAnsi="Times New Roman"/>
          <w:b/>
          <w:i/>
          <w:color w:val="2E5496"/>
          <w:sz w:val="23"/>
        </w:rPr>
        <w:t>4.3 Analysis of sufficient configurations</w:t>
      </w:r>
    </w:p>
    <w:p>
      <w:pPr>
        <w:jc w:val="both"/>
      </w:pPr>
      <w:r>
        <w:rPr>
          <w:rFonts w:ascii="Times New Roman" w:hAnsi="Times New Roman"/>
          <w:sz w:val="22"/>
        </w:rPr>
        <w:t>A truth table was constructed over the 2³ = 8 corners of the vector space. Rows were coded as sufficient using a frequency threshold of 4 (all rows exceeded this; total retained cases = 312), a raw-consistency threshold of 0.80, and a PRI threshold of 0.70 (Greckhamer et al., 2018). The truth table is summarized in Table 14 and Figure 12.</w:t>
      </w:r>
    </w:p>
    <w:p>
      <w:pPr>
        <w:spacing w:before="120" w:after="60"/>
      </w:pPr>
      <w:r>
        <w:rPr>
          <w:rFonts w:ascii="Times New Roman" w:hAnsi="Times New Roman"/>
          <w:b/>
          <w:sz w:val="20"/>
        </w:rPr>
        <w:t>Table 14.</w:t>
      </w:r>
      <w:r>
        <w:rPr>
          <w:rFonts w:ascii="Times New Roman" w:hAnsi="Times New Roman"/>
          <w:sz w:val="20"/>
        </w:rPr>
        <w:t xml:space="preserve"> Truth table (sorted by raw consistency).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5496"/>
          </w:tcPr>
          <w:p>
            <w:pPr>
              <w:jc w:val="center"/>
            </w:pPr>
            <w:r/>
            <w:r>
              <w:rPr>
                <w:rFonts w:ascii="Times New Roman" w:hAnsi="Times New Roman"/>
                <w:b/>
                <w:color w:val="FFFFFF"/>
                <w:sz w:val="18"/>
              </w:rPr>
              <w:t>UE</w:t>
            </w:r>
          </w:p>
        </w:tc>
        <w:tc>
          <w:tcPr>
            <w:tcW w:type="dxa" w:w="1337"/>
            <w:shd w:val="clear" w:color="auto" w:fill="2E5496"/>
          </w:tcPr>
          <w:p>
            <w:pPr>
              <w:jc w:val="center"/>
            </w:pPr>
            <w:r/>
            <w:r>
              <w:rPr>
                <w:rFonts w:ascii="Times New Roman" w:hAnsi="Times New Roman"/>
                <w:b/>
                <w:color w:val="FFFFFF"/>
                <w:sz w:val="18"/>
              </w:rPr>
              <w:t>UX</w:t>
            </w:r>
          </w:p>
        </w:tc>
        <w:tc>
          <w:tcPr>
            <w:tcW w:type="dxa" w:w="1337"/>
            <w:shd w:val="clear" w:color="auto" w:fill="2E5496"/>
          </w:tcPr>
          <w:p>
            <w:pPr>
              <w:jc w:val="center"/>
            </w:pPr>
            <w:r/>
            <w:r>
              <w:rPr>
                <w:rFonts w:ascii="Times New Roman" w:hAnsi="Times New Roman"/>
                <w:b/>
                <w:color w:val="FFFFFF"/>
                <w:sz w:val="18"/>
              </w:rPr>
              <w:t>BSAT</w:t>
            </w:r>
          </w:p>
        </w:tc>
        <w:tc>
          <w:tcPr>
            <w:tcW w:type="dxa" w:w="1337"/>
            <w:shd w:val="clear" w:color="auto" w:fill="2E5496"/>
          </w:tcPr>
          <w:p>
            <w:pPr>
              <w:jc w:val="center"/>
            </w:pPr>
            <w:r/>
            <w:r>
              <w:rPr>
                <w:rFonts w:ascii="Times New Roman" w:hAnsi="Times New Roman"/>
                <w:b/>
                <w:color w:val="FFFFFF"/>
                <w:sz w:val="18"/>
              </w:rPr>
              <w:t>n cases</w:t>
            </w:r>
          </w:p>
        </w:tc>
        <w:tc>
          <w:tcPr>
            <w:tcW w:type="dxa" w:w="1337"/>
            <w:shd w:val="clear" w:color="auto" w:fill="2E5496"/>
          </w:tcPr>
          <w:p>
            <w:pPr>
              <w:jc w:val="center"/>
            </w:pPr>
            <w:r/>
            <w:r>
              <w:rPr>
                <w:rFonts w:ascii="Times New Roman" w:hAnsi="Times New Roman"/>
                <w:b/>
                <w:color w:val="FFFFFF"/>
                <w:sz w:val="18"/>
              </w:rPr>
              <w:t>Raw cons.</w:t>
            </w:r>
          </w:p>
        </w:tc>
        <w:tc>
          <w:tcPr>
            <w:tcW w:type="dxa" w:w="1337"/>
            <w:shd w:val="clear" w:color="auto" w:fill="2E5496"/>
          </w:tcPr>
          <w:p>
            <w:pPr>
              <w:jc w:val="center"/>
            </w:pPr>
            <w:r/>
            <w:r>
              <w:rPr>
                <w:rFonts w:ascii="Times New Roman" w:hAnsi="Times New Roman"/>
                <w:b/>
                <w:color w:val="FFFFFF"/>
                <w:sz w:val="18"/>
              </w:rPr>
              <w:t>PRI</w:t>
            </w:r>
          </w:p>
        </w:tc>
        <w:tc>
          <w:tcPr>
            <w:tcW w:type="dxa" w:w="1337"/>
            <w:shd w:val="clear" w:color="auto" w:fill="2E5496"/>
          </w:tcPr>
          <w:p>
            <w:pPr>
              <w:jc w:val="center"/>
            </w:pPr>
            <w:r/>
            <w:r>
              <w:rPr>
                <w:rFonts w:ascii="Times New Roman" w:hAnsi="Times New Roman"/>
                <w:b/>
                <w:color w:val="FFFFFF"/>
                <w:sz w:val="18"/>
              </w:rPr>
              <w:t>Sufficient?</w:t>
            </w:r>
          </w:p>
        </w:tc>
      </w:tr>
      <w:tr>
        <w:tc>
          <w:tcPr>
            <w:tcW w:type="dxa" w:w="1337"/>
          </w:tcPr>
          <w:p>
            <w:r/>
            <w:r>
              <w:rPr>
                <w:rFonts w:ascii="Times New Roman" w:hAnsi="Times New Roman"/>
                <w:sz w:val="18"/>
              </w:rPr>
              <w:t>1</w:t>
            </w:r>
          </w:p>
        </w:tc>
        <w:tc>
          <w:tcPr>
            <w:tcW w:type="dxa" w:w="1337"/>
          </w:tcPr>
          <w:p>
            <w:r/>
            <w:r>
              <w:rPr>
                <w:rFonts w:ascii="Times New Roman" w:hAnsi="Times New Roman"/>
                <w:sz w:val="18"/>
              </w:rPr>
              <w:t>0</w:t>
            </w:r>
          </w:p>
        </w:tc>
        <w:tc>
          <w:tcPr>
            <w:tcW w:type="dxa" w:w="1337"/>
          </w:tcPr>
          <w:p>
            <w:r/>
            <w:r>
              <w:rPr>
                <w:rFonts w:ascii="Times New Roman" w:hAnsi="Times New Roman"/>
                <w:sz w:val="18"/>
              </w:rPr>
              <w:t>1</w:t>
            </w:r>
          </w:p>
        </w:tc>
        <w:tc>
          <w:tcPr>
            <w:tcW w:type="dxa" w:w="1337"/>
          </w:tcPr>
          <w:p>
            <w:r/>
            <w:r>
              <w:rPr>
                <w:rFonts w:ascii="Times New Roman" w:hAnsi="Times New Roman"/>
                <w:sz w:val="18"/>
              </w:rPr>
              <w:t>19</w:t>
            </w:r>
          </w:p>
        </w:tc>
        <w:tc>
          <w:tcPr>
            <w:tcW w:type="dxa" w:w="1337"/>
          </w:tcPr>
          <w:p>
            <w:r/>
            <w:r>
              <w:rPr>
                <w:rFonts w:ascii="Times New Roman" w:hAnsi="Times New Roman"/>
                <w:sz w:val="18"/>
              </w:rPr>
              <w:t>0.883</w:t>
            </w:r>
          </w:p>
        </w:tc>
        <w:tc>
          <w:tcPr>
            <w:tcW w:type="dxa" w:w="1337"/>
          </w:tcPr>
          <w:p>
            <w:r/>
            <w:r>
              <w:rPr>
                <w:rFonts w:ascii="Times New Roman" w:hAnsi="Times New Roman"/>
                <w:sz w:val="18"/>
              </w:rPr>
              <w:t>0.698</w:t>
            </w:r>
          </w:p>
        </w:tc>
        <w:tc>
          <w:tcPr>
            <w:tcW w:type="dxa" w:w="1337"/>
          </w:tcPr>
          <w:p>
            <w:r/>
            <w:r>
              <w:rPr>
                <w:rFonts w:ascii="Times New Roman" w:hAnsi="Times New Roman"/>
                <w:sz w:val="18"/>
              </w:rPr>
              <w:t>No (PRI &lt; 0.70)</w:t>
            </w:r>
          </w:p>
        </w:tc>
      </w:tr>
      <w:tr>
        <w:tc>
          <w:tcPr>
            <w:tcW w:type="dxa" w:w="1337"/>
          </w:tcPr>
          <w:p>
            <w:r/>
            <w:r>
              <w:rPr>
                <w:rFonts w:ascii="Times New Roman" w:hAnsi="Times New Roman"/>
                <w:sz w:val="18"/>
              </w:rPr>
              <w:t>1</w:t>
            </w:r>
          </w:p>
        </w:tc>
        <w:tc>
          <w:tcPr>
            <w:tcW w:type="dxa" w:w="1337"/>
          </w:tcPr>
          <w:p>
            <w:r/>
            <w:r>
              <w:rPr>
                <w:rFonts w:ascii="Times New Roman" w:hAnsi="Times New Roman"/>
                <w:sz w:val="18"/>
              </w:rPr>
              <w:t>1</w:t>
            </w:r>
          </w:p>
        </w:tc>
        <w:tc>
          <w:tcPr>
            <w:tcW w:type="dxa" w:w="1337"/>
          </w:tcPr>
          <w:p>
            <w:r/>
            <w:r>
              <w:rPr>
                <w:rFonts w:ascii="Times New Roman" w:hAnsi="Times New Roman"/>
                <w:sz w:val="18"/>
              </w:rPr>
              <w:t>1</w:t>
            </w:r>
          </w:p>
        </w:tc>
        <w:tc>
          <w:tcPr>
            <w:tcW w:type="dxa" w:w="1337"/>
          </w:tcPr>
          <w:p>
            <w:r/>
            <w:r>
              <w:rPr>
                <w:rFonts w:ascii="Times New Roman" w:hAnsi="Times New Roman"/>
                <w:sz w:val="18"/>
              </w:rPr>
              <w:t>74</w:t>
            </w:r>
          </w:p>
        </w:tc>
        <w:tc>
          <w:tcPr>
            <w:tcW w:type="dxa" w:w="1337"/>
          </w:tcPr>
          <w:p>
            <w:r/>
            <w:r>
              <w:rPr>
                <w:rFonts w:ascii="Times New Roman" w:hAnsi="Times New Roman"/>
                <w:sz w:val="18"/>
              </w:rPr>
              <w:t>0.857</w:t>
            </w:r>
          </w:p>
        </w:tc>
        <w:tc>
          <w:tcPr>
            <w:tcW w:type="dxa" w:w="1337"/>
          </w:tcPr>
          <w:p>
            <w:r/>
            <w:r>
              <w:rPr>
                <w:rFonts w:ascii="Times New Roman" w:hAnsi="Times New Roman"/>
                <w:sz w:val="18"/>
              </w:rPr>
              <w:t>0.737</w:t>
            </w:r>
          </w:p>
        </w:tc>
        <w:tc>
          <w:tcPr>
            <w:tcW w:type="dxa" w:w="1337"/>
          </w:tcPr>
          <w:p>
            <w:r/>
            <w:r>
              <w:rPr>
                <w:rFonts w:ascii="Times New Roman" w:hAnsi="Times New Roman"/>
                <w:sz w:val="18"/>
              </w:rPr>
              <w:t>Yes</w:t>
            </w:r>
          </w:p>
        </w:tc>
      </w:tr>
      <w:tr>
        <w:tc>
          <w:tcPr>
            <w:tcW w:type="dxa" w:w="1337"/>
          </w:tcPr>
          <w:p>
            <w:r/>
            <w:r>
              <w:rPr>
                <w:rFonts w:ascii="Times New Roman" w:hAnsi="Times New Roman"/>
                <w:sz w:val="18"/>
              </w:rPr>
              <w:t>0</w:t>
            </w:r>
          </w:p>
        </w:tc>
        <w:tc>
          <w:tcPr>
            <w:tcW w:type="dxa" w:w="1337"/>
          </w:tcPr>
          <w:p>
            <w:r/>
            <w:r>
              <w:rPr>
                <w:rFonts w:ascii="Times New Roman" w:hAnsi="Times New Roman"/>
                <w:sz w:val="18"/>
              </w:rPr>
              <w:t>1</w:t>
            </w:r>
          </w:p>
        </w:tc>
        <w:tc>
          <w:tcPr>
            <w:tcW w:type="dxa" w:w="1337"/>
          </w:tcPr>
          <w:p>
            <w:r/>
            <w:r>
              <w:rPr>
                <w:rFonts w:ascii="Times New Roman" w:hAnsi="Times New Roman"/>
                <w:sz w:val="18"/>
              </w:rPr>
              <w:t>1</w:t>
            </w:r>
          </w:p>
        </w:tc>
        <w:tc>
          <w:tcPr>
            <w:tcW w:type="dxa" w:w="1337"/>
          </w:tcPr>
          <w:p>
            <w:r/>
            <w:r>
              <w:rPr>
                <w:rFonts w:ascii="Times New Roman" w:hAnsi="Times New Roman"/>
                <w:sz w:val="18"/>
              </w:rPr>
              <w:t>34</w:t>
            </w:r>
          </w:p>
        </w:tc>
        <w:tc>
          <w:tcPr>
            <w:tcW w:type="dxa" w:w="1337"/>
          </w:tcPr>
          <w:p>
            <w:r/>
            <w:r>
              <w:rPr>
                <w:rFonts w:ascii="Times New Roman" w:hAnsi="Times New Roman"/>
                <w:sz w:val="18"/>
              </w:rPr>
              <w:t>0.853</w:t>
            </w:r>
          </w:p>
        </w:tc>
        <w:tc>
          <w:tcPr>
            <w:tcW w:type="dxa" w:w="1337"/>
          </w:tcPr>
          <w:p>
            <w:r/>
            <w:r>
              <w:rPr>
                <w:rFonts w:ascii="Times New Roman" w:hAnsi="Times New Roman"/>
                <w:sz w:val="18"/>
              </w:rPr>
              <w:t>0.664</w:t>
            </w:r>
          </w:p>
        </w:tc>
        <w:tc>
          <w:tcPr>
            <w:tcW w:type="dxa" w:w="1337"/>
          </w:tcPr>
          <w:p>
            <w:r/>
            <w:r>
              <w:rPr>
                <w:rFonts w:ascii="Times New Roman" w:hAnsi="Times New Roman"/>
                <w:sz w:val="18"/>
              </w:rPr>
              <w:t>No</w:t>
            </w:r>
          </w:p>
        </w:tc>
      </w:tr>
      <w:tr>
        <w:tc>
          <w:tcPr>
            <w:tcW w:type="dxa" w:w="1337"/>
          </w:tcPr>
          <w:p>
            <w:r/>
            <w:r>
              <w:rPr>
                <w:rFonts w:ascii="Times New Roman" w:hAnsi="Times New Roman"/>
                <w:sz w:val="18"/>
              </w:rPr>
              <w:t>0</w:t>
            </w:r>
          </w:p>
        </w:tc>
        <w:tc>
          <w:tcPr>
            <w:tcW w:type="dxa" w:w="1337"/>
          </w:tcPr>
          <w:p>
            <w:r/>
            <w:r>
              <w:rPr>
                <w:rFonts w:ascii="Times New Roman" w:hAnsi="Times New Roman"/>
                <w:sz w:val="18"/>
              </w:rPr>
              <w:t>0</w:t>
            </w:r>
          </w:p>
        </w:tc>
        <w:tc>
          <w:tcPr>
            <w:tcW w:type="dxa" w:w="1337"/>
          </w:tcPr>
          <w:p>
            <w:r/>
            <w:r>
              <w:rPr>
                <w:rFonts w:ascii="Times New Roman" w:hAnsi="Times New Roman"/>
                <w:sz w:val="18"/>
              </w:rPr>
              <w:t>1</w:t>
            </w:r>
          </w:p>
        </w:tc>
        <w:tc>
          <w:tcPr>
            <w:tcW w:type="dxa" w:w="1337"/>
          </w:tcPr>
          <w:p>
            <w:r/>
            <w:r>
              <w:rPr>
                <w:rFonts w:ascii="Times New Roman" w:hAnsi="Times New Roman"/>
                <w:sz w:val="18"/>
              </w:rPr>
              <w:t>30</w:t>
            </w:r>
          </w:p>
        </w:tc>
        <w:tc>
          <w:tcPr>
            <w:tcW w:type="dxa" w:w="1337"/>
          </w:tcPr>
          <w:p>
            <w:r/>
            <w:r>
              <w:rPr>
                <w:rFonts w:ascii="Times New Roman" w:hAnsi="Times New Roman"/>
                <w:sz w:val="18"/>
              </w:rPr>
              <w:t>0.817</w:t>
            </w:r>
          </w:p>
        </w:tc>
        <w:tc>
          <w:tcPr>
            <w:tcW w:type="dxa" w:w="1337"/>
          </w:tcPr>
          <w:p>
            <w:r/>
            <w:r>
              <w:rPr>
                <w:rFonts w:ascii="Times New Roman" w:hAnsi="Times New Roman"/>
                <w:sz w:val="18"/>
              </w:rPr>
              <w:t>0.542</w:t>
            </w:r>
          </w:p>
        </w:tc>
        <w:tc>
          <w:tcPr>
            <w:tcW w:type="dxa" w:w="1337"/>
          </w:tcPr>
          <w:p>
            <w:r/>
            <w:r>
              <w:rPr>
                <w:rFonts w:ascii="Times New Roman" w:hAnsi="Times New Roman"/>
                <w:sz w:val="18"/>
              </w:rPr>
              <w:t>No</w:t>
            </w:r>
          </w:p>
        </w:tc>
      </w:tr>
      <w:tr>
        <w:tc>
          <w:tcPr>
            <w:tcW w:type="dxa" w:w="1337"/>
          </w:tcPr>
          <w:p>
            <w:r/>
            <w:r>
              <w:rPr>
                <w:rFonts w:ascii="Times New Roman" w:hAnsi="Times New Roman"/>
                <w:sz w:val="18"/>
              </w:rPr>
              <w:t>1</w:t>
            </w:r>
          </w:p>
        </w:tc>
        <w:tc>
          <w:tcPr>
            <w:tcW w:type="dxa" w:w="1337"/>
          </w:tcPr>
          <w:p>
            <w:r/>
            <w:r>
              <w:rPr>
                <w:rFonts w:ascii="Times New Roman" w:hAnsi="Times New Roman"/>
                <w:sz w:val="18"/>
              </w:rPr>
              <w:t>1</w:t>
            </w:r>
          </w:p>
        </w:tc>
        <w:tc>
          <w:tcPr>
            <w:tcW w:type="dxa" w:w="1337"/>
          </w:tcPr>
          <w:p>
            <w:r/>
            <w:r>
              <w:rPr>
                <w:rFonts w:ascii="Times New Roman" w:hAnsi="Times New Roman"/>
                <w:sz w:val="18"/>
              </w:rPr>
              <w:t>0</w:t>
            </w:r>
          </w:p>
        </w:tc>
        <w:tc>
          <w:tcPr>
            <w:tcW w:type="dxa" w:w="1337"/>
          </w:tcPr>
          <w:p>
            <w:r/>
            <w:r>
              <w:rPr>
                <w:rFonts w:ascii="Times New Roman" w:hAnsi="Times New Roman"/>
                <w:sz w:val="18"/>
              </w:rPr>
              <w:t>27</w:t>
            </w:r>
          </w:p>
        </w:tc>
        <w:tc>
          <w:tcPr>
            <w:tcW w:type="dxa" w:w="1337"/>
          </w:tcPr>
          <w:p>
            <w:r/>
            <w:r>
              <w:rPr>
                <w:rFonts w:ascii="Times New Roman" w:hAnsi="Times New Roman"/>
                <w:sz w:val="18"/>
              </w:rPr>
              <w:t>0.764</w:t>
            </w:r>
          </w:p>
        </w:tc>
        <w:tc>
          <w:tcPr>
            <w:tcW w:type="dxa" w:w="1337"/>
          </w:tcPr>
          <w:p>
            <w:r/>
            <w:r>
              <w:rPr>
                <w:rFonts w:ascii="Times New Roman" w:hAnsi="Times New Roman"/>
                <w:sz w:val="18"/>
              </w:rPr>
              <w:t>0.443</w:t>
            </w:r>
          </w:p>
        </w:tc>
        <w:tc>
          <w:tcPr>
            <w:tcW w:type="dxa" w:w="1337"/>
          </w:tcPr>
          <w:p>
            <w:r/>
            <w:r>
              <w:rPr>
                <w:rFonts w:ascii="Times New Roman" w:hAnsi="Times New Roman"/>
                <w:sz w:val="18"/>
              </w:rPr>
              <w:t>No</w:t>
            </w:r>
          </w:p>
        </w:tc>
      </w:tr>
      <w:tr>
        <w:tc>
          <w:tcPr>
            <w:tcW w:type="dxa" w:w="1337"/>
          </w:tcPr>
          <w:p>
            <w:r/>
            <w:r>
              <w:rPr>
                <w:rFonts w:ascii="Times New Roman" w:hAnsi="Times New Roman"/>
                <w:sz w:val="18"/>
              </w:rPr>
              <w:t>0</w:t>
            </w:r>
          </w:p>
        </w:tc>
        <w:tc>
          <w:tcPr>
            <w:tcW w:type="dxa" w:w="1337"/>
          </w:tcPr>
          <w:p>
            <w:r/>
            <w:r>
              <w:rPr>
                <w:rFonts w:ascii="Times New Roman" w:hAnsi="Times New Roman"/>
                <w:sz w:val="18"/>
              </w:rPr>
              <w:t>1</w:t>
            </w:r>
          </w:p>
        </w:tc>
        <w:tc>
          <w:tcPr>
            <w:tcW w:type="dxa" w:w="1337"/>
          </w:tcPr>
          <w:p>
            <w:r/>
            <w:r>
              <w:rPr>
                <w:rFonts w:ascii="Times New Roman" w:hAnsi="Times New Roman"/>
                <w:sz w:val="18"/>
              </w:rPr>
              <w:t>0</w:t>
            </w:r>
          </w:p>
        </w:tc>
        <w:tc>
          <w:tcPr>
            <w:tcW w:type="dxa" w:w="1337"/>
          </w:tcPr>
          <w:p>
            <w:r/>
            <w:r>
              <w:rPr>
                <w:rFonts w:ascii="Times New Roman" w:hAnsi="Times New Roman"/>
                <w:sz w:val="18"/>
              </w:rPr>
              <w:t>26</w:t>
            </w:r>
          </w:p>
        </w:tc>
        <w:tc>
          <w:tcPr>
            <w:tcW w:type="dxa" w:w="1337"/>
          </w:tcPr>
          <w:p>
            <w:r/>
            <w:r>
              <w:rPr>
                <w:rFonts w:ascii="Times New Roman" w:hAnsi="Times New Roman"/>
                <w:sz w:val="18"/>
              </w:rPr>
              <w:t>0.744</w:t>
            </w:r>
          </w:p>
        </w:tc>
        <w:tc>
          <w:tcPr>
            <w:tcW w:type="dxa" w:w="1337"/>
          </w:tcPr>
          <w:p>
            <w:r/>
            <w:r>
              <w:rPr>
                <w:rFonts w:ascii="Times New Roman" w:hAnsi="Times New Roman"/>
                <w:sz w:val="18"/>
              </w:rPr>
              <w:t>0.366</w:t>
            </w:r>
          </w:p>
        </w:tc>
        <w:tc>
          <w:tcPr>
            <w:tcW w:type="dxa" w:w="1337"/>
          </w:tcPr>
          <w:p>
            <w:r/>
            <w:r>
              <w:rPr>
                <w:rFonts w:ascii="Times New Roman" w:hAnsi="Times New Roman"/>
                <w:sz w:val="18"/>
              </w:rPr>
              <w:t>No</w:t>
            </w:r>
          </w:p>
        </w:tc>
      </w:tr>
      <w:tr>
        <w:tc>
          <w:tcPr>
            <w:tcW w:type="dxa" w:w="1337"/>
          </w:tcPr>
          <w:p>
            <w:r/>
            <w:r>
              <w:rPr>
                <w:rFonts w:ascii="Times New Roman" w:hAnsi="Times New Roman"/>
                <w:sz w:val="18"/>
              </w:rPr>
              <w:t>1</w:t>
            </w:r>
          </w:p>
        </w:tc>
        <w:tc>
          <w:tcPr>
            <w:tcW w:type="dxa" w:w="1337"/>
          </w:tcPr>
          <w:p>
            <w:r/>
            <w:r>
              <w:rPr>
                <w:rFonts w:ascii="Times New Roman" w:hAnsi="Times New Roman"/>
                <w:sz w:val="18"/>
              </w:rPr>
              <w:t>0</w:t>
            </w:r>
          </w:p>
        </w:tc>
        <w:tc>
          <w:tcPr>
            <w:tcW w:type="dxa" w:w="1337"/>
          </w:tcPr>
          <w:p>
            <w:r/>
            <w:r>
              <w:rPr>
                <w:rFonts w:ascii="Times New Roman" w:hAnsi="Times New Roman"/>
                <w:sz w:val="18"/>
              </w:rPr>
              <w:t>0</w:t>
            </w:r>
          </w:p>
        </w:tc>
        <w:tc>
          <w:tcPr>
            <w:tcW w:type="dxa" w:w="1337"/>
          </w:tcPr>
          <w:p>
            <w:r/>
            <w:r>
              <w:rPr>
                <w:rFonts w:ascii="Times New Roman" w:hAnsi="Times New Roman"/>
                <w:sz w:val="18"/>
              </w:rPr>
              <w:t>36</w:t>
            </w:r>
          </w:p>
        </w:tc>
        <w:tc>
          <w:tcPr>
            <w:tcW w:type="dxa" w:w="1337"/>
          </w:tcPr>
          <w:p>
            <w:r/>
            <w:r>
              <w:rPr>
                <w:rFonts w:ascii="Times New Roman" w:hAnsi="Times New Roman"/>
                <w:sz w:val="18"/>
              </w:rPr>
              <w:t>0.687</w:t>
            </w:r>
          </w:p>
        </w:tc>
        <w:tc>
          <w:tcPr>
            <w:tcW w:type="dxa" w:w="1337"/>
          </w:tcPr>
          <w:p>
            <w:r/>
            <w:r>
              <w:rPr>
                <w:rFonts w:ascii="Times New Roman" w:hAnsi="Times New Roman"/>
                <w:sz w:val="18"/>
              </w:rPr>
              <w:t>0.303</w:t>
            </w:r>
          </w:p>
        </w:tc>
        <w:tc>
          <w:tcPr>
            <w:tcW w:type="dxa" w:w="1337"/>
          </w:tcPr>
          <w:p>
            <w:r/>
            <w:r>
              <w:rPr>
                <w:rFonts w:ascii="Times New Roman" w:hAnsi="Times New Roman"/>
                <w:sz w:val="18"/>
              </w:rPr>
              <w:t>No</w:t>
            </w:r>
          </w:p>
        </w:tc>
      </w:tr>
      <w:tr>
        <w:tc>
          <w:tcPr>
            <w:tcW w:type="dxa" w:w="1337"/>
          </w:tcPr>
          <w:p>
            <w:r/>
            <w:r>
              <w:rPr>
                <w:rFonts w:ascii="Times New Roman" w:hAnsi="Times New Roman"/>
                <w:sz w:val="18"/>
              </w:rPr>
              <w:t>0</w:t>
            </w:r>
          </w:p>
        </w:tc>
        <w:tc>
          <w:tcPr>
            <w:tcW w:type="dxa" w:w="1337"/>
          </w:tcPr>
          <w:p>
            <w:r/>
            <w:r>
              <w:rPr>
                <w:rFonts w:ascii="Times New Roman" w:hAnsi="Times New Roman"/>
                <w:sz w:val="18"/>
              </w:rPr>
              <w:t>0</w:t>
            </w:r>
          </w:p>
        </w:tc>
        <w:tc>
          <w:tcPr>
            <w:tcW w:type="dxa" w:w="1337"/>
          </w:tcPr>
          <w:p>
            <w:r/>
            <w:r>
              <w:rPr>
                <w:rFonts w:ascii="Times New Roman" w:hAnsi="Times New Roman"/>
                <w:sz w:val="18"/>
              </w:rPr>
              <w:t>0</w:t>
            </w:r>
          </w:p>
        </w:tc>
        <w:tc>
          <w:tcPr>
            <w:tcW w:type="dxa" w:w="1337"/>
          </w:tcPr>
          <w:p>
            <w:r/>
            <w:r>
              <w:rPr>
                <w:rFonts w:ascii="Times New Roman" w:hAnsi="Times New Roman"/>
                <w:sz w:val="18"/>
              </w:rPr>
              <w:t>66</w:t>
            </w:r>
          </w:p>
        </w:tc>
        <w:tc>
          <w:tcPr>
            <w:tcW w:type="dxa" w:w="1337"/>
          </w:tcPr>
          <w:p>
            <w:r/>
            <w:r>
              <w:rPr>
                <w:rFonts w:ascii="Times New Roman" w:hAnsi="Times New Roman"/>
                <w:sz w:val="18"/>
              </w:rPr>
              <w:t>0.570</w:t>
            </w:r>
          </w:p>
        </w:tc>
        <w:tc>
          <w:tcPr>
            <w:tcW w:type="dxa" w:w="1337"/>
          </w:tcPr>
          <w:p>
            <w:r/>
            <w:r>
              <w:rPr>
                <w:rFonts w:ascii="Times New Roman" w:hAnsi="Times New Roman"/>
                <w:sz w:val="18"/>
              </w:rPr>
              <w:t>0.190</w:t>
            </w:r>
          </w:p>
        </w:tc>
        <w:tc>
          <w:tcPr>
            <w:tcW w:type="dxa" w:w="1337"/>
          </w:tcPr>
          <w:p>
            <w:r/>
            <w:r>
              <w:rPr>
                <w:rFonts w:ascii="Times New Roman" w:hAnsi="Times New Roman"/>
                <w:sz w:val="18"/>
              </w:rPr>
              <w:t>No</w:t>
            </w:r>
          </w:p>
        </w:tc>
      </w:tr>
    </w:tbl>
    <w:p>
      <w:pPr>
        <w:spacing w:after="40"/>
      </w:pPr>
    </w:p>
    <w:p>
      <w:pPr>
        <w:jc w:val="both"/>
      </w:pPr>
      <w:r>
        <w:rPr>
          <w:rFonts w:ascii="Times New Roman" w:hAnsi="Times New Roman"/>
          <w:sz w:val="22"/>
        </w:rPr>
        <w:t>The Quine–McCluskey minimisation returns a single sufficient configuration; the complex, parsimonious and intermediate solutions coincide (Table 15). All three conditions appear and—because retained in both the parsimonious and intermediate solution—each is a core condition (Fiss, 2011). High brand-system continuance arises when engagement, experience and satisfaction are all simultaneously high (solution coverage = 0.497, consistency = 0.857). The corner UE·~UX·BSAT had the highest raw consistency (0.883) but was correctly excluded because its PRI (0.698) fell below 0.70.</w:t>
      </w:r>
    </w:p>
    <w:p>
      <w:pPr>
        <w:spacing w:before="120" w:after="60"/>
      </w:pPr>
      <w:r>
        <w:rPr>
          <w:rFonts w:ascii="Times New Roman" w:hAnsi="Times New Roman"/>
          <w:b/>
          <w:sz w:val="20"/>
        </w:rPr>
        <w:t>Table 15.</w:t>
      </w:r>
      <w:r>
        <w:rPr>
          <w:rFonts w:ascii="Times New Roman" w:hAnsi="Times New Roman"/>
          <w:sz w:val="20"/>
        </w:rPr>
        <w:t xml:space="preserve"> Sufficient configuration for high BSUC (Fiss notation).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5496"/>
          </w:tcPr>
          <w:p>
            <w:pPr>
              <w:jc w:val="center"/>
            </w:pPr>
            <w:r/>
            <w:r>
              <w:rPr>
                <w:rFonts w:ascii="Times New Roman" w:hAnsi="Times New Roman"/>
                <w:b/>
                <w:color w:val="FFFFFF"/>
                <w:sz w:val="18"/>
              </w:rPr>
              <w:t>Configuration</w:t>
            </w:r>
          </w:p>
        </w:tc>
        <w:tc>
          <w:tcPr>
            <w:tcW w:type="dxa" w:w="1337"/>
            <w:shd w:val="clear" w:color="auto" w:fill="2E5496"/>
          </w:tcPr>
          <w:p>
            <w:pPr>
              <w:jc w:val="center"/>
            </w:pPr>
            <w:r/>
            <w:r>
              <w:rPr>
                <w:rFonts w:ascii="Times New Roman" w:hAnsi="Times New Roman"/>
                <w:b/>
                <w:color w:val="FFFFFF"/>
                <w:sz w:val="18"/>
              </w:rPr>
              <w:t>UE</w:t>
            </w:r>
          </w:p>
        </w:tc>
        <w:tc>
          <w:tcPr>
            <w:tcW w:type="dxa" w:w="1337"/>
            <w:shd w:val="clear" w:color="auto" w:fill="2E5496"/>
          </w:tcPr>
          <w:p>
            <w:pPr>
              <w:jc w:val="center"/>
            </w:pPr>
            <w:r/>
            <w:r>
              <w:rPr>
                <w:rFonts w:ascii="Times New Roman" w:hAnsi="Times New Roman"/>
                <w:b/>
                <w:color w:val="FFFFFF"/>
                <w:sz w:val="18"/>
              </w:rPr>
              <w:t>UX</w:t>
            </w:r>
          </w:p>
        </w:tc>
        <w:tc>
          <w:tcPr>
            <w:tcW w:type="dxa" w:w="1337"/>
            <w:shd w:val="clear" w:color="auto" w:fill="2E5496"/>
          </w:tcPr>
          <w:p>
            <w:pPr>
              <w:jc w:val="center"/>
            </w:pPr>
            <w:r/>
            <w:r>
              <w:rPr>
                <w:rFonts w:ascii="Times New Roman" w:hAnsi="Times New Roman"/>
                <w:b/>
                <w:color w:val="FFFFFF"/>
                <w:sz w:val="18"/>
              </w:rPr>
              <w:t>BSAT</w:t>
            </w:r>
          </w:p>
        </w:tc>
        <w:tc>
          <w:tcPr>
            <w:tcW w:type="dxa" w:w="1337"/>
            <w:shd w:val="clear" w:color="auto" w:fill="2E5496"/>
          </w:tcPr>
          <w:p>
            <w:pPr>
              <w:jc w:val="center"/>
            </w:pPr>
            <w:r/>
            <w:r>
              <w:rPr>
                <w:rFonts w:ascii="Times New Roman" w:hAnsi="Times New Roman"/>
                <w:b/>
                <w:color w:val="FFFFFF"/>
                <w:sz w:val="18"/>
              </w:rPr>
              <w:t>Raw cov.</w:t>
            </w:r>
          </w:p>
        </w:tc>
        <w:tc>
          <w:tcPr>
            <w:tcW w:type="dxa" w:w="1337"/>
            <w:shd w:val="clear" w:color="auto" w:fill="2E5496"/>
          </w:tcPr>
          <w:p>
            <w:pPr>
              <w:jc w:val="center"/>
            </w:pPr>
            <w:r/>
            <w:r>
              <w:rPr>
                <w:rFonts w:ascii="Times New Roman" w:hAnsi="Times New Roman"/>
                <w:b/>
                <w:color w:val="FFFFFF"/>
                <w:sz w:val="18"/>
              </w:rPr>
              <w:t>Unique cov.</w:t>
            </w:r>
          </w:p>
        </w:tc>
        <w:tc>
          <w:tcPr>
            <w:tcW w:type="dxa" w:w="1337"/>
            <w:shd w:val="clear" w:color="auto" w:fill="2E5496"/>
          </w:tcPr>
          <w:p>
            <w:pPr>
              <w:jc w:val="center"/>
            </w:pPr>
            <w:r/>
            <w:r>
              <w:rPr>
                <w:rFonts w:ascii="Times New Roman" w:hAnsi="Times New Roman"/>
                <w:b/>
                <w:color w:val="FFFFFF"/>
                <w:sz w:val="18"/>
              </w:rPr>
              <w:t>Consistency</w:t>
            </w:r>
          </w:p>
        </w:tc>
      </w:tr>
      <w:tr>
        <w:tc>
          <w:tcPr>
            <w:tcW w:type="dxa" w:w="1337"/>
          </w:tcPr>
          <w:p>
            <w:r/>
            <w:r>
              <w:rPr>
                <w:rFonts w:ascii="Times New Roman" w:hAnsi="Times New Roman"/>
                <w:sz w:val="18"/>
              </w:rPr>
              <w:t>C1</w:t>
            </w:r>
          </w:p>
        </w:tc>
        <w:tc>
          <w:tcPr>
            <w:tcW w:type="dxa" w:w="1337"/>
          </w:tcPr>
          <w:p>
            <w:r/>
            <w:r>
              <w:rPr>
                <w:rFonts w:ascii="Times New Roman" w:hAnsi="Times New Roman"/>
                <w:sz w:val="18"/>
              </w:rPr>
              <w:t>● core</w:t>
            </w:r>
          </w:p>
        </w:tc>
        <w:tc>
          <w:tcPr>
            <w:tcW w:type="dxa" w:w="1337"/>
          </w:tcPr>
          <w:p>
            <w:r/>
            <w:r>
              <w:rPr>
                <w:rFonts w:ascii="Times New Roman" w:hAnsi="Times New Roman"/>
                <w:sz w:val="18"/>
              </w:rPr>
              <w:t>● core</w:t>
            </w:r>
          </w:p>
        </w:tc>
        <w:tc>
          <w:tcPr>
            <w:tcW w:type="dxa" w:w="1337"/>
          </w:tcPr>
          <w:p>
            <w:r/>
            <w:r>
              <w:rPr>
                <w:rFonts w:ascii="Times New Roman" w:hAnsi="Times New Roman"/>
                <w:sz w:val="18"/>
              </w:rPr>
              <w:t>● core</w:t>
            </w:r>
          </w:p>
        </w:tc>
        <w:tc>
          <w:tcPr>
            <w:tcW w:type="dxa" w:w="1337"/>
          </w:tcPr>
          <w:p>
            <w:r/>
            <w:r>
              <w:rPr>
                <w:rFonts w:ascii="Times New Roman" w:hAnsi="Times New Roman"/>
                <w:sz w:val="18"/>
              </w:rPr>
              <w:t>0.497</w:t>
            </w:r>
          </w:p>
        </w:tc>
        <w:tc>
          <w:tcPr>
            <w:tcW w:type="dxa" w:w="1337"/>
          </w:tcPr>
          <w:p>
            <w:r/>
            <w:r>
              <w:rPr>
                <w:rFonts w:ascii="Times New Roman" w:hAnsi="Times New Roman"/>
                <w:sz w:val="18"/>
              </w:rPr>
              <w:t>0.497</w:t>
            </w:r>
          </w:p>
        </w:tc>
        <w:tc>
          <w:tcPr>
            <w:tcW w:type="dxa" w:w="1337"/>
          </w:tcPr>
          <w:p>
            <w:r/>
            <w:r>
              <w:rPr>
                <w:rFonts w:ascii="Times New Roman" w:hAnsi="Times New Roman"/>
                <w:sz w:val="18"/>
              </w:rPr>
              <w:t>0.857</w:t>
            </w:r>
          </w:p>
        </w:tc>
      </w:tr>
      <w:tr>
        <w:tc>
          <w:tcPr>
            <w:tcW w:type="dxa" w:w="1337"/>
          </w:tcPr>
          <w:p>
            <w:r/>
            <w:r>
              <w:rPr>
                <w:rFonts w:ascii="Times New Roman" w:hAnsi="Times New Roman"/>
                <w:sz w:val="18"/>
              </w:rPr>
              <w:t>Solution</w:t>
            </w:r>
          </w:p>
        </w:tc>
        <w:tc>
          <w:tcPr>
            <w:tcW w:type="dxa" w:w="1337"/>
          </w:tcPr>
          <w:p>
            <w:r/>
            <w:r>
              <w:rPr>
                <w:rFonts w:ascii="Times New Roman" w:hAnsi="Times New Roman"/>
                <w:sz w:val="18"/>
              </w:rPr>
            </w:r>
          </w:p>
        </w:tc>
        <w:tc>
          <w:tcPr>
            <w:tcW w:type="dxa" w:w="1337"/>
          </w:tcPr>
          <w:p>
            <w:r/>
            <w:r>
              <w:rPr>
                <w:rFonts w:ascii="Times New Roman" w:hAnsi="Times New Roman"/>
                <w:sz w:val="18"/>
              </w:rPr>
            </w:r>
          </w:p>
        </w:tc>
        <w:tc>
          <w:tcPr>
            <w:tcW w:type="dxa" w:w="1337"/>
          </w:tcPr>
          <w:p>
            <w:r/>
            <w:r>
              <w:rPr>
                <w:rFonts w:ascii="Times New Roman" w:hAnsi="Times New Roman"/>
                <w:sz w:val="18"/>
              </w:rPr>
            </w:r>
          </w:p>
        </w:tc>
        <w:tc>
          <w:tcPr>
            <w:tcW w:type="dxa" w:w="1337"/>
          </w:tcPr>
          <w:p>
            <w:r/>
            <w:r>
              <w:rPr>
                <w:rFonts w:ascii="Times New Roman" w:hAnsi="Times New Roman"/>
                <w:sz w:val="18"/>
              </w:rPr>
              <w:t>0.497</w:t>
            </w:r>
          </w:p>
        </w:tc>
        <w:tc>
          <w:tcPr>
            <w:tcW w:type="dxa" w:w="1337"/>
          </w:tcPr>
          <w:p>
            <w:r/>
            <w:r>
              <w:rPr>
                <w:rFonts w:ascii="Times New Roman" w:hAnsi="Times New Roman"/>
                <w:sz w:val="18"/>
              </w:rPr>
            </w:r>
          </w:p>
        </w:tc>
        <w:tc>
          <w:tcPr>
            <w:tcW w:type="dxa" w:w="1337"/>
          </w:tcPr>
          <w:p>
            <w:r/>
            <w:r>
              <w:rPr>
                <w:rFonts w:ascii="Times New Roman" w:hAnsi="Times New Roman"/>
                <w:sz w:val="18"/>
              </w:rPr>
              <w:t>0.857</w:t>
            </w:r>
          </w:p>
        </w:tc>
      </w:tr>
    </w:tbl>
    <w:p>
      <w:pPr>
        <w:spacing w:after="40"/>
      </w:pPr>
    </w:p>
    <w:p>
      <w:pPr>
        <w:jc w:val="both"/>
      </w:pPr>
      <w:r>
        <w:rPr>
          <w:rFonts w:ascii="Times New Roman" w:hAnsi="Times New Roman"/>
          <w:sz w:val="22"/>
        </w:rPr>
        <w:t>● = core condition present.</w:t>
      </w:r>
    </w:p>
    <w:p>
      <w:pPr>
        <w:spacing w:before="120"/>
        <w:jc w:val="center"/>
      </w:pPr>
      <w:r>
        <w:drawing>
          <wp:inline xmlns:a="http://schemas.openxmlformats.org/drawingml/2006/main" xmlns:pic="http://schemas.openxmlformats.org/drawingml/2006/picture">
            <wp:extent cx="5303520" cy="4972904"/>
            <wp:docPr id="11" name="Picture 11"/>
            <wp:cNvGraphicFramePr>
              <a:graphicFrameLocks noChangeAspect="1"/>
            </wp:cNvGraphicFramePr>
            <a:graphic>
              <a:graphicData uri="http://schemas.openxmlformats.org/drawingml/2006/picture">
                <pic:pic>
                  <pic:nvPicPr>
                    <pic:cNvPr id="0" name="img_087.png"/>
                    <pic:cNvPicPr/>
                  </pic:nvPicPr>
                  <pic:blipFill>
                    <a:blip r:embed="rId19"/>
                    <a:stretch>
                      <a:fillRect/>
                    </a:stretch>
                  </pic:blipFill>
                  <pic:spPr>
                    <a:xfrm>
                      <a:off x="0" y="0"/>
                      <a:ext cx="5303520" cy="4972904"/>
                    </a:xfrm>
                    <a:prstGeom prst="rect"/>
                  </pic:spPr>
                </pic:pic>
              </a:graphicData>
            </a:graphic>
          </wp:inline>
        </w:drawing>
      </w:r>
    </w:p>
    <w:p>
      <w:pPr>
        <w:spacing w:after="200"/>
        <w:jc w:val="center"/>
      </w:pPr>
      <w:r>
        <w:rPr>
          <w:rFonts w:ascii="Times New Roman" w:hAnsi="Times New Roman"/>
          <w:b/>
          <w:sz w:val="19"/>
        </w:rPr>
        <w:t>Figure 11.</w:t>
      </w:r>
      <w:r>
        <w:rPr>
          <w:rFonts w:ascii="Times New Roman" w:hAnsi="Times New Roman"/>
          <w:sz w:val="19"/>
        </w:rPr>
        <w:t xml:space="preserve"> fsQCA sufficiency XY plot for the core configuration UE·UX·BSAT (consistency = 0.857, coverage = 0.497).</w:t>
      </w:r>
    </w:p>
    <w:p>
      <w:pPr>
        <w:spacing w:before="120"/>
        <w:jc w:val="center"/>
      </w:pPr>
      <w:r>
        <w:drawing>
          <wp:inline xmlns:a="http://schemas.openxmlformats.org/drawingml/2006/main" xmlns:pic="http://schemas.openxmlformats.org/drawingml/2006/picture">
            <wp:extent cx="5303520" cy="3323665"/>
            <wp:docPr id="12" name="Picture 12"/>
            <wp:cNvGraphicFramePr>
              <a:graphicFrameLocks noChangeAspect="1"/>
            </wp:cNvGraphicFramePr>
            <a:graphic>
              <a:graphicData uri="http://schemas.openxmlformats.org/drawingml/2006/picture">
                <pic:pic>
                  <pic:nvPicPr>
                    <pic:cNvPr id="0" name="img_089.png"/>
                    <pic:cNvPicPr/>
                  </pic:nvPicPr>
                  <pic:blipFill>
                    <a:blip r:embed="rId20"/>
                    <a:stretch>
                      <a:fillRect/>
                    </a:stretch>
                  </pic:blipFill>
                  <pic:spPr>
                    <a:xfrm>
                      <a:off x="0" y="0"/>
                      <a:ext cx="5303520" cy="3323665"/>
                    </a:xfrm>
                    <a:prstGeom prst="rect"/>
                  </pic:spPr>
                </pic:pic>
              </a:graphicData>
            </a:graphic>
          </wp:inline>
        </w:drawing>
      </w:r>
    </w:p>
    <w:p>
      <w:pPr>
        <w:spacing w:after="200"/>
        <w:jc w:val="center"/>
      </w:pPr>
      <w:r>
        <w:rPr>
          <w:rFonts w:ascii="Times New Roman" w:hAnsi="Times New Roman"/>
          <w:b/>
          <w:sz w:val="19"/>
        </w:rPr>
        <w:t>Figure 12.</w:t>
      </w:r>
      <w:r>
        <w:rPr>
          <w:rFonts w:ascii="Times New Roman" w:hAnsi="Times New Roman"/>
          <w:sz w:val="19"/>
        </w:rPr>
        <w:t xml:space="preserve"> Truth-table configurations ranked by sufficiency consistency (green = coded sufficient for high BSUC).</w:t>
      </w:r>
    </w:p>
    <w:p>
      <w:pPr>
        <w:jc w:val="both"/>
      </w:pPr>
      <w:r>
        <w:rPr>
          <w:rFonts w:ascii="Times New Roman" w:hAnsi="Times New Roman"/>
          <w:sz w:val="22"/>
        </w:rPr>
        <w:t>To make the logic underlying the intermediate solution transparent, Table 16 reports the subset/superset analysis. Each row is a candidate sufficient term formed by the logical AND of the presence of the indicated conditions; less restrictive expressions (fewer conditions) are supersets and more restrictive ones (more conditions) are subsets. The analysis exhibits the canonical consistency–coverage trade-off: as conditions are added, consistency rises while coverage falls. The full conjunction UE · UX · BSAT attains the highest consistency (0.857) and satisfies both the 0.80 raw-consistency and 0.70 PRI thresholds, which is why it is retained; satisfaction alone (BSAT) has the highest coverage (0.751) but a PRI (0.661) below threshold, confirming that satisfaction is empirically important yet not, on its own, a trustworthy sufficient recipe.</w:t>
      </w:r>
    </w:p>
    <w:p>
      <w:pPr>
        <w:spacing w:before="120" w:after="60"/>
      </w:pPr>
      <w:r>
        <w:rPr>
          <w:rFonts w:ascii="Times New Roman" w:hAnsi="Times New Roman"/>
          <w:b/>
          <w:sz w:val="20"/>
        </w:rPr>
        <w:t>Table 16.</w:t>
      </w:r>
      <w:r>
        <w:rPr>
          <w:rFonts w:ascii="Times New Roman" w:hAnsi="Times New Roman"/>
          <w:sz w:val="20"/>
        </w:rPr>
        <w:t xml:space="preserve"> Intermediate solution — subset/superset analysis (outcome = high Brand Success, BSUC).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t>Combination</w:t>
            </w:r>
          </w:p>
        </w:tc>
        <w:tc>
          <w:tcPr>
            <w:tcW w:type="dxa" w:w="1872"/>
            <w:shd w:val="clear" w:color="auto" w:fill="2E5496"/>
          </w:tcPr>
          <w:p>
            <w:pPr>
              <w:jc w:val="center"/>
            </w:pPr>
            <w:r/>
            <w:r>
              <w:rPr>
                <w:rFonts w:ascii="Times New Roman" w:hAnsi="Times New Roman"/>
                <w:b/>
                <w:color w:val="FFFFFF"/>
                <w:sz w:val="18"/>
              </w:rPr>
              <w:t># conditions</w:t>
            </w:r>
          </w:p>
        </w:tc>
        <w:tc>
          <w:tcPr>
            <w:tcW w:type="dxa" w:w="1872"/>
            <w:shd w:val="clear" w:color="auto" w:fill="2E5496"/>
          </w:tcPr>
          <w:p>
            <w:pPr>
              <w:jc w:val="center"/>
            </w:pPr>
            <w:r/>
            <w:r>
              <w:rPr>
                <w:rFonts w:ascii="Times New Roman" w:hAnsi="Times New Roman"/>
                <w:b/>
                <w:color w:val="FFFFFF"/>
                <w:sz w:val="18"/>
              </w:rPr>
              <w:t>Raw consistency</w:t>
            </w:r>
          </w:p>
        </w:tc>
        <w:tc>
          <w:tcPr>
            <w:tcW w:type="dxa" w:w="1872"/>
            <w:shd w:val="clear" w:color="auto" w:fill="2E5496"/>
          </w:tcPr>
          <w:p>
            <w:pPr>
              <w:jc w:val="center"/>
            </w:pPr>
            <w:r/>
            <w:r>
              <w:rPr>
                <w:rFonts w:ascii="Times New Roman" w:hAnsi="Times New Roman"/>
                <w:b/>
                <w:color w:val="FFFFFF"/>
                <w:sz w:val="18"/>
              </w:rPr>
              <w:t>PRI consistency</w:t>
            </w:r>
          </w:p>
        </w:tc>
        <w:tc>
          <w:tcPr>
            <w:tcW w:type="dxa" w:w="1872"/>
            <w:shd w:val="clear" w:color="auto" w:fill="2E5496"/>
          </w:tcPr>
          <w:p>
            <w:pPr>
              <w:jc w:val="center"/>
            </w:pPr>
            <w:r/>
            <w:r>
              <w:rPr>
                <w:rFonts w:ascii="Times New Roman" w:hAnsi="Times New Roman"/>
                <w:b/>
                <w:color w:val="FFFFFF"/>
                <w:sz w:val="18"/>
              </w:rPr>
              <w:t>Raw coverage</w:t>
            </w:r>
          </w:p>
        </w:tc>
      </w:tr>
      <w:tr>
        <w:tc>
          <w:tcPr>
            <w:tcW w:type="dxa" w:w="1872"/>
          </w:tcPr>
          <w:p>
            <w:r/>
            <w:r>
              <w:rPr>
                <w:rFonts w:ascii="Times New Roman" w:hAnsi="Times New Roman"/>
                <w:sz w:val="18"/>
              </w:rPr>
              <w:t>UE · UX · BSAT</w:t>
            </w:r>
          </w:p>
        </w:tc>
        <w:tc>
          <w:tcPr>
            <w:tcW w:type="dxa" w:w="1872"/>
          </w:tcPr>
          <w:p>
            <w:r/>
            <w:r>
              <w:rPr>
                <w:rFonts w:ascii="Times New Roman" w:hAnsi="Times New Roman"/>
                <w:sz w:val="18"/>
              </w:rPr>
              <w:t>3</w:t>
            </w:r>
          </w:p>
        </w:tc>
        <w:tc>
          <w:tcPr>
            <w:tcW w:type="dxa" w:w="1872"/>
          </w:tcPr>
          <w:p>
            <w:r/>
            <w:r>
              <w:rPr>
                <w:rFonts w:ascii="Times New Roman" w:hAnsi="Times New Roman"/>
                <w:sz w:val="18"/>
              </w:rPr>
              <w:t>0.857</w:t>
            </w:r>
          </w:p>
        </w:tc>
        <w:tc>
          <w:tcPr>
            <w:tcW w:type="dxa" w:w="1872"/>
          </w:tcPr>
          <w:p>
            <w:r/>
            <w:r>
              <w:rPr>
                <w:rFonts w:ascii="Times New Roman" w:hAnsi="Times New Roman"/>
                <w:sz w:val="18"/>
              </w:rPr>
              <w:t>0.737</w:t>
            </w:r>
          </w:p>
        </w:tc>
        <w:tc>
          <w:tcPr>
            <w:tcW w:type="dxa" w:w="1872"/>
          </w:tcPr>
          <w:p>
            <w:r/>
            <w:r>
              <w:rPr>
                <w:rFonts w:ascii="Times New Roman" w:hAnsi="Times New Roman"/>
                <w:sz w:val="18"/>
              </w:rPr>
              <w:t>0.497</w:t>
            </w:r>
          </w:p>
        </w:tc>
      </w:tr>
      <w:tr>
        <w:tc>
          <w:tcPr>
            <w:tcW w:type="dxa" w:w="1872"/>
          </w:tcPr>
          <w:p>
            <w:r/>
            <w:r>
              <w:rPr>
                <w:rFonts w:ascii="Times New Roman" w:hAnsi="Times New Roman"/>
                <w:sz w:val="18"/>
              </w:rPr>
              <w:t>UE · BSAT</w:t>
            </w:r>
          </w:p>
        </w:tc>
        <w:tc>
          <w:tcPr>
            <w:tcW w:type="dxa" w:w="1872"/>
          </w:tcPr>
          <w:p>
            <w:r/>
            <w:r>
              <w:rPr>
                <w:rFonts w:ascii="Times New Roman" w:hAnsi="Times New Roman"/>
                <w:sz w:val="18"/>
              </w:rPr>
              <w:t>2</w:t>
            </w:r>
          </w:p>
        </w:tc>
        <w:tc>
          <w:tcPr>
            <w:tcW w:type="dxa" w:w="1872"/>
          </w:tcPr>
          <w:p>
            <w:r/>
            <w:r>
              <w:rPr>
                <w:rFonts w:ascii="Times New Roman" w:hAnsi="Times New Roman"/>
                <w:sz w:val="18"/>
              </w:rPr>
              <w:t>0.839</w:t>
            </w:r>
          </w:p>
        </w:tc>
        <w:tc>
          <w:tcPr>
            <w:tcW w:type="dxa" w:w="1872"/>
          </w:tcPr>
          <w:p>
            <w:r/>
            <w:r>
              <w:rPr>
                <w:rFonts w:ascii="Times New Roman" w:hAnsi="Times New Roman"/>
                <w:sz w:val="18"/>
              </w:rPr>
              <w:t>0.725</w:t>
            </w:r>
          </w:p>
        </w:tc>
        <w:tc>
          <w:tcPr>
            <w:tcW w:type="dxa" w:w="1872"/>
          </w:tcPr>
          <w:p>
            <w:r/>
            <w:r>
              <w:rPr>
                <w:rFonts w:ascii="Times New Roman" w:hAnsi="Times New Roman"/>
                <w:sz w:val="18"/>
              </w:rPr>
              <w:t>0.573</w:t>
            </w:r>
          </w:p>
        </w:tc>
      </w:tr>
      <w:tr>
        <w:tc>
          <w:tcPr>
            <w:tcW w:type="dxa" w:w="1872"/>
          </w:tcPr>
          <w:p>
            <w:r/>
            <w:r>
              <w:rPr>
                <w:rFonts w:ascii="Times New Roman" w:hAnsi="Times New Roman"/>
                <w:sz w:val="18"/>
              </w:rPr>
              <w:t>UX · BSAT</w:t>
            </w:r>
          </w:p>
        </w:tc>
        <w:tc>
          <w:tcPr>
            <w:tcW w:type="dxa" w:w="1872"/>
          </w:tcPr>
          <w:p>
            <w:r/>
            <w:r>
              <w:rPr>
                <w:rFonts w:ascii="Times New Roman" w:hAnsi="Times New Roman"/>
                <w:sz w:val="18"/>
              </w:rPr>
              <w:t>2</w:t>
            </w:r>
          </w:p>
        </w:tc>
        <w:tc>
          <w:tcPr>
            <w:tcW w:type="dxa" w:w="1872"/>
          </w:tcPr>
          <w:p>
            <w:r/>
            <w:r>
              <w:rPr>
                <w:rFonts w:ascii="Times New Roman" w:hAnsi="Times New Roman"/>
                <w:sz w:val="18"/>
              </w:rPr>
              <w:t>0.829</w:t>
            </w:r>
          </w:p>
        </w:tc>
        <w:tc>
          <w:tcPr>
            <w:tcW w:type="dxa" w:w="1872"/>
          </w:tcPr>
          <w:p>
            <w:r/>
            <w:r>
              <w:rPr>
                <w:rFonts w:ascii="Times New Roman" w:hAnsi="Times New Roman"/>
                <w:sz w:val="18"/>
              </w:rPr>
              <w:t>0.714</w:t>
            </w:r>
          </w:p>
        </w:tc>
        <w:tc>
          <w:tcPr>
            <w:tcW w:type="dxa" w:w="1872"/>
          </w:tcPr>
          <w:p>
            <w:r/>
            <w:r>
              <w:rPr>
                <w:rFonts w:ascii="Times New Roman" w:hAnsi="Times New Roman"/>
                <w:sz w:val="18"/>
              </w:rPr>
              <w:t>0.604</w:t>
            </w:r>
          </w:p>
        </w:tc>
      </w:tr>
      <w:tr>
        <w:tc>
          <w:tcPr>
            <w:tcW w:type="dxa" w:w="1872"/>
          </w:tcPr>
          <w:p>
            <w:r/>
            <w:r>
              <w:rPr>
                <w:rFonts w:ascii="Times New Roman" w:hAnsi="Times New Roman"/>
                <w:sz w:val="18"/>
              </w:rPr>
              <w:t>BSAT</w:t>
            </w:r>
          </w:p>
        </w:tc>
        <w:tc>
          <w:tcPr>
            <w:tcW w:type="dxa" w:w="1872"/>
          </w:tcPr>
          <w:p>
            <w:r/>
            <w:r>
              <w:rPr>
                <w:rFonts w:ascii="Times New Roman" w:hAnsi="Times New Roman"/>
                <w:sz w:val="18"/>
              </w:rPr>
              <w:t>1</w:t>
            </w:r>
          </w:p>
        </w:tc>
        <w:tc>
          <w:tcPr>
            <w:tcW w:type="dxa" w:w="1872"/>
          </w:tcPr>
          <w:p>
            <w:r/>
            <w:r>
              <w:rPr>
                <w:rFonts w:ascii="Times New Roman" w:hAnsi="Times New Roman"/>
                <w:sz w:val="18"/>
              </w:rPr>
              <w:t>0.776</w:t>
            </w:r>
          </w:p>
        </w:tc>
        <w:tc>
          <w:tcPr>
            <w:tcW w:type="dxa" w:w="1872"/>
          </w:tcPr>
          <w:p>
            <w:r/>
            <w:r>
              <w:rPr>
                <w:rFonts w:ascii="Times New Roman" w:hAnsi="Times New Roman"/>
                <w:sz w:val="18"/>
              </w:rPr>
              <w:t>0.661</w:t>
            </w:r>
          </w:p>
        </w:tc>
        <w:tc>
          <w:tcPr>
            <w:tcW w:type="dxa" w:w="1872"/>
          </w:tcPr>
          <w:p>
            <w:r/>
            <w:r>
              <w:rPr>
                <w:rFonts w:ascii="Times New Roman" w:hAnsi="Times New Roman"/>
                <w:sz w:val="18"/>
              </w:rPr>
              <w:t>0.751</w:t>
            </w:r>
          </w:p>
        </w:tc>
      </w:tr>
      <w:tr>
        <w:tc>
          <w:tcPr>
            <w:tcW w:type="dxa" w:w="1872"/>
          </w:tcPr>
          <w:p>
            <w:r/>
            <w:r>
              <w:rPr>
                <w:rFonts w:ascii="Times New Roman" w:hAnsi="Times New Roman"/>
                <w:sz w:val="18"/>
              </w:rPr>
              <w:t>UE · UX</w:t>
            </w:r>
          </w:p>
        </w:tc>
        <w:tc>
          <w:tcPr>
            <w:tcW w:type="dxa" w:w="1872"/>
          </w:tcPr>
          <w:p>
            <w:r/>
            <w:r>
              <w:rPr>
                <w:rFonts w:ascii="Times New Roman" w:hAnsi="Times New Roman"/>
                <w:sz w:val="18"/>
              </w:rPr>
              <w:t>2</w:t>
            </w:r>
          </w:p>
        </w:tc>
        <w:tc>
          <w:tcPr>
            <w:tcW w:type="dxa" w:w="1872"/>
          </w:tcPr>
          <w:p>
            <w:r/>
            <w:r>
              <w:rPr>
                <w:rFonts w:ascii="Times New Roman" w:hAnsi="Times New Roman"/>
                <w:sz w:val="18"/>
              </w:rPr>
              <w:t>0.774</w:t>
            </w:r>
          </w:p>
        </w:tc>
        <w:tc>
          <w:tcPr>
            <w:tcW w:type="dxa" w:w="1872"/>
          </w:tcPr>
          <w:p>
            <w:r/>
            <w:r>
              <w:rPr>
                <w:rFonts w:ascii="Times New Roman" w:hAnsi="Times New Roman"/>
                <w:sz w:val="18"/>
              </w:rPr>
              <w:t>0.620</w:t>
            </w:r>
          </w:p>
        </w:tc>
        <w:tc>
          <w:tcPr>
            <w:tcW w:type="dxa" w:w="1872"/>
          </w:tcPr>
          <w:p>
            <w:r/>
            <w:r>
              <w:rPr>
                <w:rFonts w:ascii="Times New Roman" w:hAnsi="Times New Roman"/>
                <w:sz w:val="18"/>
              </w:rPr>
              <w:t>0.566</w:t>
            </w:r>
          </w:p>
        </w:tc>
      </w:tr>
      <w:tr>
        <w:tc>
          <w:tcPr>
            <w:tcW w:type="dxa" w:w="1872"/>
          </w:tcPr>
          <w:p>
            <w:r/>
            <w:r>
              <w:rPr>
                <w:rFonts w:ascii="Times New Roman" w:hAnsi="Times New Roman"/>
                <w:sz w:val="18"/>
              </w:rPr>
              <w:t>UX</w:t>
            </w:r>
          </w:p>
        </w:tc>
        <w:tc>
          <w:tcPr>
            <w:tcW w:type="dxa" w:w="1872"/>
          </w:tcPr>
          <w:p>
            <w:r/>
            <w:r>
              <w:rPr>
                <w:rFonts w:ascii="Times New Roman" w:hAnsi="Times New Roman"/>
                <w:sz w:val="18"/>
              </w:rPr>
              <w:t>1</w:t>
            </w:r>
          </w:p>
        </w:tc>
        <w:tc>
          <w:tcPr>
            <w:tcW w:type="dxa" w:w="1872"/>
          </w:tcPr>
          <w:p>
            <w:r/>
            <w:r>
              <w:rPr>
                <w:rFonts w:ascii="Times New Roman" w:hAnsi="Times New Roman"/>
                <w:sz w:val="18"/>
              </w:rPr>
              <w:t>0.714</w:t>
            </w:r>
          </w:p>
        </w:tc>
        <w:tc>
          <w:tcPr>
            <w:tcW w:type="dxa" w:w="1872"/>
          </w:tcPr>
          <w:p>
            <w:r/>
            <w:r>
              <w:rPr>
                <w:rFonts w:ascii="Times New Roman" w:hAnsi="Times New Roman"/>
                <w:sz w:val="18"/>
              </w:rPr>
              <w:t>0.568</w:t>
            </w:r>
          </w:p>
        </w:tc>
        <w:tc>
          <w:tcPr>
            <w:tcW w:type="dxa" w:w="1872"/>
          </w:tcPr>
          <w:p>
            <w:r/>
            <w:r>
              <w:rPr>
                <w:rFonts w:ascii="Times New Roman" w:hAnsi="Times New Roman"/>
                <w:sz w:val="18"/>
              </w:rPr>
              <w:t>0.718</w:t>
            </w:r>
          </w:p>
        </w:tc>
      </w:tr>
      <w:tr>
        <w:tc>
          <w:tcPr>
            <w:tcW w:type="dxa" w:w="1872"/>
          </w:tcPr>
          <w:p>
            <w:r/>
            <w:r>
              <w:rPr>
                <w:rFonts w:ascii="Times New Roman" w:hAnsi="Times New Roman"/>
                <w:sz w:val="18"/>
              </w:rPr>
              <w:t>UE</w:t>
            </w:r>
          </w:p>
        </w:tc>
        <w:tc>
          <w:tcPr>
            <w:tcW w:type="dxa" w:w="1872"/>
          </w:tcPr>
          <w:p>
            <w:r/>
            <w:r>
              <w:rPr>
                <w:rFonts w:ascii="Times New Roman" w:hAnsi="Times New Roman"/>
                <w:sz w:val="18"/>
              </w:rPr>
              <w:t>1</w:t>
            </w:r>
          </w:p>
        </w:tc>
        <w:tc>
          <w:tcPr>
            <w:tcW w:type="dxa" w:w="1872"/>
          </w:tcPr>
          <w:p>
            <w:r/>
            <w:r>
              <w:rPr>
                <w:rFonts w:ascii="Times New Roman" w:hAnsi="Times New Roman"/>
                <w:sz w:val="18"/>
              </w:rPr>
              <w:t>0.685</w:t>
            </w:r>
          </w:p>
        </w:tc>
        <w:tc>
          <w:tcPr>
            <w:tcW w:type="dxa" w:w="1872"/>
          </w:tcPr>
          <w:p>
            <w:r/>
            <w:r>
              <w:rPr>
                <w:rFonts w:ascii="Times New Roman" w:hAnsi="Times New Roman"/>
                <w:sz w:val="18"/>
              </w:rPr>
              <w:t>0.530</w:t>
            </w:r>
          </w:p>
        </w:tc>
        <w:tc>
          <w:tcPr>
            <w:tcW w:type="dxa" w:w="1872"/>
          </w:tcPr>
          <w:p>
            <w:r/>
            <w:r>
              <w:rPr>
                <w:rFonts w:ascii="Times New Roman" w:hAnsi="Times New Roman"/>
                <w:sz w:val="18"/>
              </w:rPr>
              <w:t>0.698</w:t>
            </w:r>
          </w:p>
        </w:tc>
      </w:tr>
    </w:tbl>
    <w:p>
      <w:pPr>
        <w:spacing w:after="40"/>
      </w:pPr>
    </w:p>
    <w:p>
      <w:pPr>
        <w:jc w:val="both"/>
      </w:pPr>
      <w:r>
        <w:rPr>
          <w:rFonts w:ascii="Times New Roman" w:hAnsi="Times New Roman"/>
          <w:sz w:val="22"/>
        </w:rPr>
        <w:t>Table 17 presents the same result in the configuration format conventionally used to report fsQCA solutions for a focal outcome (Fiss, 2011; Ragin, 2008), i.e. as a single column describing the recipe for high Brand Success (BSUC) in the metaverse, the role of each condition (core vs. peripheral), and the associated consistency and coverage metrics. Because the parsimonious and intermediate solutions coincide, all three conditions are core.</w:t>
      </w:r>
    </w:p>
    <w:p>
      <w:pPr>
        <w:spacing w:before="120" w:after="60"/>
      </w:pPr>
      <w:r>
        <w:rPr>
          <w:rFonts w:ascii="Times New Roman" w:hAnsi="Times New Roman"/>
          <w:b/>
          <w:sz w:val="20"/>
        </w:rPr>
        <w:t>Table 17.</w:t>
      </w:r>
      <w:r>
        <w:rPr>
          <w:rFonts w:ascii="Times New Roman" w:hAnsi="Times New Roman"/>
          <w:sz w:val="20"/>
        </w:rPr>
        <w:t xml:space="preserve"> Configuration analysis for high Brand Success (BSUC) in the metaverse.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5496"/>
          </w:tcPr>
          <w:p>
            <w:pPr>
              <w:jc w:val="center"/>
            </w:pPr>
            <w:r/>
            <w:r>
              <w:rPr>
                <w:rFonts w:ascii="Times New Roman" w:hAnsi="Times New Roman"/>
                <w:b/>
                <w:color w:val="FFFFFF"/>
                <w:sz w:val="18"/>
              </w:rPr>
              <w:t>Condition / Metric</w:t>
            </w:r>
          </w:p>
        </w:tc>
        <w:tc>
          <w:tcPr>
            <w:tcW w:type="dxa" w:w="4680"/>
            <w:shd w:val="clear" w:color="auto" w:fill="2E5496"/>
          </w:tcPr>
          <w:p>
            <w:pPr>
              <w:jc w:val="center"/>
            </w:pPr>
            <w:r/>
            <w:r>
              <w:rPr>
                <w:rFonts w:ascii="Times New Roman" w:hAnsi="Times New Roman"/>
                <w:b/>
                <w:color w:val="FFFFFF"/>
                <w:sz w:val="18"/>
              </w:rPr>
              <w:t>Configuration 1</w:t>
            </w:r>
          </w:p>
        </w:tc>
      </w:tr>
      <w:tr>
        <w:tc>
          <w:tcPr>
            <w:tcW w:type="dxa" w:w="4680"/>
          </w:tcPr>
          <w:p>
            <w:r/>
            <w:r>
              <w:rPr>
                <w:rFonts w:ascii="Times New Roman" w:hAnsi="Times New Roman"/>
                <w:sz w:val="18"/>
              </w:rPr>
              <w:t>User Engagement (UE)</w:t>
            </w:r>
          </w:p>
        </w:tc>
        <w:tc>
          <w:tcPr>
            <w:tcW w:type="dxa" w:w="4680"/>
          </w:tcPr>
          <w:p>
            <w:r/>
            <w:r>
              <w:rPr>
                <w:rFonts w:ascii="Times New Roman" w:hAnsi="Times New Roman"/>
                <w:sz w:val="18"/>
              </w:rPr>
              <w:t>● (core)</w:t>
            </w:r>
          </w:p>
        </w:tc>
      </w:tr>
      <w:tr>
        <w:tc>
          <w:tcPr>
            <w:tcW w:type="dxa" w:w="4680"/>
          </w:tcPr>
          <w:p>
            <w:r/>
            <w:r>
              <w:rPr>
                <w:rFonts w:ascii="Times New Roman" w:hAnsi="Times New Roman"/>
                <w:sz w:val="18"/>
              </w:rPr>
              <w:t>User Experience (UX)</w:t>
            </w:r>
          </w:p>
        </w:tc>
        <w:tc>
          <w:tcPr>
            <w:tcW w:type="dxa" w:w="4680"/>
          </w:tcPr>
          <w:p>
            <w:r/>
            <w:r>
              <w:rPr>
                <w:rFonts w:ascii="Times New Roman" w:hAnsi="Times New Roman"/>
                <w:sz w:val="18"/>
              </w:rPr>
              <w:t>● (core)</w:t>
            </w:r>
          </w:p>
        </w:tc>
      </w:tr>
      <w:tr>
        <w:tc>
          <w:tcPr>
            <w:tcW w:type="dxa" w:w="4680"/>
          </w:tcPr>
          <w:p>
            <w:r/>
            <w:r>
              <w:rPr>
                <w:rFonts w:ascii="Times New Roman" w:hAnsi="Times New Roman"/>
                <w:sz w:val="18"/>
              </w:rPr>
              <w:t>Brand Satisfaction (BSAT)</w:t>
            </w:r>
          </w:p>
        </w:tc>
        <w:tc>
          <w:tcPr>
            <w:tcW w:type="dxa" w:w="4680"/>
          </w:tcPr>
          <w:p>
            <w:r/>
            <w:r>
              <w:rPr>
                <w:rFonts w:ascii="Times New Roman" w:hAnsi="Times New Roman"/>
                <w:sz w:val="18"/>
              </w:rPr>
              <w:t>● (core)</w:t>
            </w:r>
          </w:p>
        </w:tc>
      </w:tr>
      <w:tr>
        <w:tc>
          <w:tcPr>
            <w:tcW w:type="dxa" w:w="4680"/>
          </w:tcPr>
          <w:p>
            <w:r/>
            <w:r>
              <w:rPr>
                <w:rFonts w:ascii="Times New Roman" w:hAnsi="Times New Roman"/>
                <w:sz w:val="18"/>
              </w:rPr>
              <w:t>Raw coverage</w:t>
            </w:r>
          </w:p>
        </w:tc>
        <w:tc>
          <w:tcPr>
            <w:tcW w:type="dxa" w:w="4680"/>
          </w:tcPr>
          <w:p>
            <w:r/>
            <w:r>
              <w:rPr>
                <w:rFonts w:ascii="Times New Roman" w:hAnsi="Times New Roman"/>
                <w:sz w:val="18"/>
              </w:rPr>
              <w:t>0.497</w:t>
            </w:r>
          </w:p>
        </w:tc>
      </w:tr>
      <w:tr>
        <w:tc>
          <w:tcPr>
            <w:tcW w:type="dxa" w:w="4680"/>
          </w:tcPr>
          <w:p>
            <w:r/>
            <w:r>
              <w:rPr>
                <w:rFonts w:ascii="Times New Roman" w:hAnsi="Times New Roman"/>
                <w:sz w:val="18"/>
              </w:rPr>
              <w:t>Unique coverage</w:t>
            </w:r>
          </w:p>
        </w:tc>
        <w:tc>
          <w:tcPr>
            <w:tcW w:type="dxa" w:w="4680"/>
          </w:tcPr>
          <w:p>
            <w:r/>
            <w:r>
              <w:rPr>
                <w:rFonts w:ascii="Times New Roman" w:hAnsi="Times New Roman"/>
                <w:sz w:val="18"/>
              </w:rPr>
              <w:t>0.497</w:t>
            </w:r>
          </w:p>
        </w:tc>
      </w:tr>
      <w:tr>
        <w:tc>
          <w:tcPr>
            <w:tcW w:type="dxa" w:w="4680"/>
          </w:tcPr>
          <w:p>
            <w:r/>
            <w:r>
              <w:rPr>
                <w:rFonts w:ascii="Times New Roman" w:hAnsi="Times New Roman"/>
                <w:sz w:val="18"/>
              </w:rPr>
              <w:t>Configuration consistency</w:t>
            </w:r>
          </w:p>
        </w:tc>
        <w:tc>
          <w:tcPr>
            <w:tcW w:type="dxa" w:w="4680"/>
          </w:tcPr>
          <w:p>
            <w:r/>
            <w:r>
              <w:rPr>
                <w:rFonts w:ascii="Times New Roman" w:hAnsi="Times New Roman"/>
                <w:sz w:val="18"/>
              </w:rPr>
              <w:t>0.857</w:t>
            </w:r>
          </w:p>
        </w:tc>
      </w:tr>
      <w:tr>
        <w:tc>
          <w:tcPr>
            <w:tcW w:type="dxa" w:w="4680"/>
          </w:tcPr>
          <w:p>
            <w:r/>
            <w:r>
              <w:rPr>
                <w:rFonts w:ascii="Times New Roman" w:hAnsi="Times New Roman"/>
                <w:sz w:val="18"/>
              </w:rPr>
              <w:t>Overall solution coverage</w:t>
            </w:r>
          </w:p>
        </w:tc>
        <w:tc>
          <w:tcPr>
            <w:tcW w:type="dxa" w:w="4680"/>
          </w:tcPr>
          <w:p>
            <w:r/>
            <w:r>
              <w:rPr>
                <w:rFonts w:ascii="Times New Roman" w:hAnsi="Times New Roman"/>
                <w:sz w:val="18"/>
              </w:rPr>
              <w:t>0.497</w:t>
            </w:r>
          </w:p>
        </w:tc>
      </w:tr>
      <w:tr>
        <w:tc>
          <w:tcPr>
            <w:tcW w:type="dxa" w:w="4680"/>
          </w:tcPr>
          <w:p>
            <w:r/>
            <w:r>
              <w:rPr>
                <w:rFonts w:ascii="Times New Roman" w:hAnsi="Times New Roman"/>
                <w:sz w:val="18"/>
              </w:rPr>
              <w:t>Overall solution consistency</w:t>
            </w:r>
          </w:p>
        </w:tc>
        <w:tc>
          <w:tcPr>
            <w:tcW w:type="dxa" w:w="4680"/>
          </w:tcPr>
          <w:p>
            <w:r/>
            <w:r>
              <w:rPr>
                <w:rFonts w:ascii="Times New Roman" w:hAnsi="Times New Roman"/>
                <w:sz w:val="18"/>
              </w:rPr>
              <w:t>0.857</w:t>
            </w:r>
          </w:p>
        </w:tc>
      </w:tr>
    </w:tbl>
    <w:p>
      <w:pPr>
        <w:spacing w:after="40"/>
      </w:pPr>
    </w:p>
    <w:p>
      <w:pPr>
        <w:jc w:val="both"/>
      </w:pPr>
      <w:r>
        <w:rPr>
          <w:rFonts w:ascii="Times New Roman" w:hAnsi="Times New Roman"/>
          <w:sz w:val="22"/>
        </w:rPr>
        <w:t>Notation: ● = core causal condition (present in both the parsimonious and the intermediate solution); blank = absent or “don't care”. Frequency threshold = 4 cases; raw-consistency threshold = 0.80; PRI threshold = 0.70.</w:t>
      </w:r>
    </w:p>
    <w:p>
      <w:pPr>
        <w:spacing w:before="160" w:after="60"/>
      </w:pPr>
      <w:r>
        <w:rPr>
          <w:rFonts w:ascii="Times New Roman" w:hAnsi="Times New Roman"/>
          <w:b/>
          <w:i/>
          <w:color w:val="2E5496"/>
          <w:sz w:val="23"/>
        </w:rPr>
        <w:t>4.4 Causal asymmetry (negated outcome)</w:t>
      </w:r>
    </w:p>
    <w:p>
      <w:pPr>
        <w:jc w:val="both"/>
      </w:pPr>
      <w:r>
        <w:rPr>
          <w:rFonts w:ascii="Times New Roman" w:hAnsi="Times New Roman"/>
          <w:sz w:val="22"/>
        </w:rPr>
        <w:t>A separate sufficiency analysis for low continuance (~BSUC) returns the mirror-absence configuration ~UE·~UX·~BSAT (coverage = 0.492, consistency = 0.861). Because this is not a simple algebraic negation of the high-continuance recipe, the data demonstrate causal asymmetry: the conditions that produce continuance and those that produce abandonment are not perfect opposites. This asymmetric insight is unavailable from the symmetric PLS-SEM (Figure 13).</w:t>
      </w:r>
    </w:p>
    <w:p>
      <w:pPr>
        <w:spacing w:before="120"/>
        <w:jc w:val="center"/>
      </w:pPr>
      <w:r>
        <w:drawing>
          <wp:inline xmlns:a="http://schemas.openxmlformats.org/drawingml/2006/main" xmlns:pic="http://schemas.openxmlformats.org/drawingml/2006/picture">
            <wp:extent cx="5303520" cy="4209495"/>
            <wp:docPr id="13" name="Picture 13"/>
            <wp:cNvGraphicFramePr>
              <a:graphicFrameLocks noChangeAspect="1"/>
            </wp:cNvGraphicFramePr>
            <a:graphic>
              <a:graphicData uri="http://schemas.openxmlformats.org/drawingml/2006/picture">
                <pic:pic>
                  <pic:nvPicPr>
                    <pic:cNvPr id="0" name="img_100.png"/>
                    <pic:cNvPicPr/>
                  </pic:nvPicPr>
                  <pic:blipFill>
                    <a:blip r:embed="rId21"/>
                    <a:stretch>
                      <a:fillRect/>
                    </a:stretch>
                  </pic:blipFill>
                  <pic:spPr>
                    <a:xfrm>
                      <a:off x="0" y="0"/>
                      <a:ext cx="5303520" cy="4209495"/>
                    </a:xfrm>
                    <a:prstGeom prst="rect"/>
                  </pic:spPr>
                </pic:pic>
              </a:graphicData>
            </a:graphic>
          </wp:inline>
        </w:drawing>
      </w:r>
    </w:p>
    <w:p>
      <w:pPr>
        <w:spacing w:after="200"/>
        <w:jc w:val="center"/>
      </w:pPr>
      <w:r>
        <w:rPr>
          <w:rFonts w:ascii="Times New Roman" w:hAnsi="Times New Roman"/>
          <w:b/>
          <w:sz w:val="19"/>
        </w:rPr>
        <w:t>Figure 13.</w:t>
      </w:r>
      <w:r>
        <w:rPr>
          <w:rFonts w:ascii="Times New Roman" w:hAnsi="Times New Roman"/>
          <w:sz w:val="19"/>
        </w:rPr>
        <w:t xml:space="preserve"> Configurations for high vs. low BSUC (causal asymmetry; large circles = core conditions).</w:t>
      </w:r>
    </w:p>
    <w:p>
      <w:pPr>
        <w:spacing w:before="160" w:after="60"/>
      </w:pPr>
      <w:r>
        <w:rPr>
          <w:rFonts w:ascii="Times New Roman" w:hAnsi="Times New Roman"/>
          <w:b/>
          <w:i/>
          <w:color w:val="2E5496"/>
          <w:sz w:val="23"/>
        </w:rPr>
        <w:t>4.5 Robustness of the fsQCA</w:t>
      </w:r>
    </w:p>
    <w:p>
      <w:pPr>
        <w:jc w:val="both"/>
      </w:pPr>
      <w:r>
        <w:rPr>
          <w:rFonts w:ascii="Times New Roman" w:hAnsi="Times New Roman"/>
          <w:sz w:val="22"/>
        </w:rPr>
        <w:t>The configurational solution is stable under perturbations of the analytical choices (Table 18). Varying the calibration anchors (P90/P50/P10), raising the raw-consistency threshold to 0.85, and raising the frequency threshold to 6 all reproduce the identical UE·UX·BSAT solution with essentially unchanged coverage and consistency. Only fixed substantive anchors (6/4/2) simplify the recipe to UE·BSAT, consistent with UX being the weakest necessity condition.</w:t>
      </w:r>
    </w:p>
    <w:p>
      <w:pPr>
        <w:spacing w:before="120" w:after="60"/>
      </w:pPr>
      <w:r>
        <w:rPr>
          <w:rFonts w:ascii="Times New Roman" w:hAnsi="Times New Roman"/>
          <w:b/>
          <w:sz w:val="20"/>
        </w:rPr>
        <w:t>Table 18.</w:t>
      </w:r>
      <w:r>
        <w:rPr>
          <w:rFonts w:ascii="Times New Roman" w:hAnsi="Times New Roman"/>
          <w:sz w:val="20"/>
        </w:rPr>
        <w:t xml:space="preserve"> fsQCA robustness checks.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5496"/>
          </w:tcPr>
          <w:p>
            <w:pPr>
              <w:jc w:val="center"/>
            </w:pPr>
            <w:r/>
            <w:r>
              <w:rPr>
                <w:rFonts w:ascii="Times New Roman" w:hAnsi="Times New Roman"/>
                <w:b/>
                <w:color w:val="FFFFFF"/>
                <w:sz w:val="18"/>
              </w:rPr>
              <w:t>Scenario</w:t>
            </w:r>
          </w:p>
        </w:tc>
        <w:tc>
          <w:tcPr>
            <w:tcW w:type="dxa" w:w="1872"/>
            <w:shd w:val="clear" w:color="auto" w:fill="2E5496"/>
          </w:tcPr>
          <w:p>
            <w:pPr>
              <w:jc w:val="center"/>
            </w:pPr>
            <w:r/>
            <w:r>
              <w:rPr>
                <w:rFonts w:ascii="Times New Roman" w:hAnsi="Times New Roman"/>
                <w:b/>
                <w:color w:val="FFFFFF"/>
                <w:sz w:val="18"/>
              </w:rPr>
              <w:t># configs</w:t>
            </w:r>
          </w:p>
        </w:tc>
        <w:tc>
          <w:tcPr>
            <w:tcW w:type="dxa" w:w="1872"/>
            <w:shd w:val="clear" w:color="auto" w:fill="2E5496"/>
          </w:tcPr>
          <w:p>
            <w:pPr>
              <w:jc w:val="center"/>
            </w:pPr>
            <w:r/>
            <w:r>
              <w:rPr>
                <w:rFonts w:ascii="Times New Roman" w:hAnsi="Times New Roman"/>
                <w:b/>
                <w:color w:val="FFFFFF"/>
                <w:sz w:val="18"/>
              </w:rPr>
              <w:t>Sol. coverage</w:t>
            </w:r>
          </w:p>
        </w:tc>
        <w:tc>
          <w:tcPr>
            <w:tcW w:type="dxa" w:w="1872"/>
            <w:shd w:val="clear" w:color="auto" w:fill="2E5496"/>
          </w:tcPr>
          <w:p>
            <w:pPr>
              <w:jc w:val="center"/>
            </w:pPr>
            <w:r/>
            <w:r>
              <w:rPr>
                <w:rFonts w:ascii="Times New Roman" w:hAnsi="Times New Roman"/>
                <w:b/>
                <w:color w:val="FFFFFF"/>
                <w:sz w:val="18"/>
              </w:rPr>
              <w:t>Sol. consistency</w:t>
            </w:r>
          </w:p>
        </w:tc>
        <w:tc>
          <w:tcPr>
            <w:tcW w:type="dxa" w:w="1872"/>
            <w:shd w:val="clear" w:color="auto" w:fill="2E5496"/>
          </w:tcPr>
          <w:p>
            <w:pPr>
              <w:jc w:val="center"/>
            </w:pPr>
            <w:r/>
            <w:r>
              <w:rPr>
                <w:rFonts w:ascii="Times New Roman" w:hAnsi="Times New Roman"/>
                <w:b/>
                <w:color w:val="FFFFFF"/>
                <w:sz w:val="18"/>
              </w:rPr>
              <w:t>Configuration(s)</w:t>
            </w:r>
          </w:p>
        </w:tc>
      </w:tr>
      <w:tr>
        <w:tc>
          <w:tcPr>
            <w:tcW w:type="dxa" w:w="1872"/>
          </w:tcPr>
          <w:p>
            <w:r/>
            <w:r>
              <w:rPr>
                <w:rFonts w:ascii="Times New Roman" w:hAnsi="Times New Roman"/>
                <w:sz w:val="18"/>
              </w:rPr>
              <w:t>Percentile 95/50/5 (main)</w:t>
            </w:r>
          </w:p>
        </w:tc>
        <w:tc>
          <w:tcPr>
            <w:tcW w:type="dxa" w:w="1872"/>
          </w:tcPr>
          <w:p>
            <w:r/>
            <w:r>
              <w:rPr>
                <w:rFonts w:ascii="Times New Roman" w:hAnsi="Times New Roman"/>
                <w:sz w:val="18"/>
              </w:rPr>
              <w:t>1</w:t>
            </w:r>
          </w:p>
        </w:tc>
        <w:tc>
          <w:tcPr>
            <w:tcW w:type="dxa" w:w="1872"/>
          </w:tcPr>
          <w:p>
            <w:r/>
            <w:r>
              <w:rPr>
                <w:rFonts w:ascii="Times New Roman" w:hAnsi="Times New Roman"/>
                <w:sz w:val="18"/>
              </w:rPr>
              <w:t>0.497</w:t>
            </w:r>
          </w:p>
        </w:tc>
        <w:tc>
          <w:tcPr>
            <w:tcW w:type="dxa" w:w="1872"/>
          </w:tcPr>
          <w:p>
            <w:r/>
            <w:r>
              <w:rPr>
                <w:rFonts w:ascii="Times New Roman" w:hAnsi="Times New Roman"/>
                <w:sz w:val="18"/>
              </w:rPr>
              <w:t>0.857</w:t>
            </w:r>
          </w:p>
        </w:tc>
        <w:tc>
          <w:tcPr>
            <w:tcW w:type="dxa" w:w="1872"/>
          </w:tcPr>
          <w:p>
            <w:r/>
            <w:r>
              <w:rPr>
                <w:rFonts w:ascii="Times New Roman" w:hAnsi="Times New Roman"/>
                <w:sz w:val="18"/>
              </w:rPr>
              <w:t>UE·UX·BSAT</w:t>
            </w:r>
          </w:p>
        </w:tc>
      </w:tr>
      <w:tr>
        <w:tc>
          <w:tcPr>
            <w:tcW w:type="dxa" w:w="1872"/>
          </w:tcPr>
          <w:p>
            <w:r/>
            <w:r>
              <w:rPr>
                <w:rFonts w:ascii="Times New Roman" w:hAnsi="Times New Roman"/>
                <w:sz w:val="18"/>
              </w:rPr>
              <w:t>Percentile 90/50/10</w:t>
            </w:r>
          </w:p>
        </w:tc>
        <w:tc>
          <w:tcPr>
            <w:tcW w:type="dxa" w:w="1872"/>
          </w:tcPr>
          <w:p>
            <w:r/>
            <w:r>
              <w:rPr>
                <w:rFonts w:ascii="Times New Roman" w:hAnsi="Times New Roman"/>
                <w:sz w:val="18"/>
              </w:rPr>
              <w:t>1</w:t>
            </w:r>
          </w:p>
        </w:tc>
        <w:tc>
          <w:tcPr>
            <w:tcW w:type="dxa" w:w="1872"/>
          </w:tcPr>
          <w:p>
            <w:r/>
            <w:r>
              <w:rPr>
                <w:rFonts w:ascii="Times New Roman" w:hAnsi="Times New Roman"/>
                <w:sz w:val="18"/>
              </w:rPr>
              <w:t>0.476</w:t>
            </w:r>
          </w:p>
        </w:tc>
        <w:tc>
          <w:tcPr>
            <w:tcW w:type="dxa" w:w="1872"/>
          </w:tcPr>
          <w:p>
            <w:r/>
            <w:r>
              <w:rPr>
                <w:rFonts w:ascii="Times New Roman" w:hAnsi="Times New Roman"/>
                <w:sz w:val="18"/>
              </w:rPr>
              <w:t>0.833</w:t>
            </w:r>
          </w:p>
        </w:tc>
        <w:tc>
          <w:tcPr>
            <w:tcW w:type="dxa" w:w="1872"/>
          </w:tcPr>
          <w:p>
            <w:r/>
            <w:r>
              <w:rPr>
                <w:rFonts w:ascii="Times New Roman" w:hAnsi="Times New Roman"/>
                <w:sz w:val="18"/>
              </w:rPr>
              <w:t>UE·UX·BSAT</w:t>
            </w:r>
          </w:p>
        </w:tc>
      </w:tr>
      <w:tr>
        <w:tc>
          <w:tcPr>
            <w:tcW w:type="dxa" w:w="1872"/>
          </w:tcPr>
          <w:p>
            <w:r/>
            <w:r>
              <w:rPr>
                <w:rFonts w:ascii="Times New Roman" w:hAnsi="Times New Roman"/>
                <w:sz w:val="18"/>
              </w:rPr>
              <w:t>Raw consistency ≥ 0.85</w:t>
            </w:r>
          </w:p>
        </w:tc>
        <w:tc>
          <w:tcPr>
            <w:tcW w:type="dxa" w:w="1872"/>
          </w:tcPr>
          <w:p>
            <w:r/>
            <w:r>
              <w:rPr>
                <w:rFonts w:ascii="Times New Roman" w:hAnsi="Times New Roman"/>
                <w:sz w:val="18"/>
              </w:rPr>
              <w:t>1</w:t>
            </w:r>
          </w:p>
        </w:tc>
        <w:tc>
          <w:tcPr>
            <w:tcW w:type="dxa" w:w="1872"/>
          </w:tcPr>
          <w:p>
            <w:r/>
            <w:r>
              <w:rPr>
                <w:rFonts w:ascii="Times New Roman" w:hAnsi="Times New Roman"/>
                <w:sz w:val="18"/>
              </w:rPr>
              <w:t>0.497</w:t>
            </w:r>
          </w:p>
        </w:tc>
        <w:tc>
          <w:tcPr>
            <w:tcW w:type="dxa" w:w="1872"/>
          </w:tcPr>
          <w:p>
            <w:r/>
            <w:r>
              <w:rPr>
                <w:rFonts w:ascii="Times New Roman" w:hAnsi="Times New Roman"/>
                <w:sz w:val="18"/>
              </w:rPr>
              <w:t>0.857</w:t>
            </w:r>
          </w:p>
        </w:tc>
        <w:tc>
          <w:tcPr>
            <w:tcW w:type="dxa" w:w="1872"/>
          </w:tcPr>
          <w:p>
            <w:r/>
            <w:r>
              <w:rPr>
                <w:rFonts w:ascii="Times New Roman" w:hAnsi="Times New Roman"/>
                <w:sz w:val="18"/>
              </w:rPr>
              <w:t>UE·UX·BSAT</w:t>
            </w:r>
          </w:p>
        </w:tc>
      </w:tr>
      <w:tr>
        <w:tc>
          <w:tcPr>
            <w:tcW w:type="dxa" w:w="1872"/>
          </w:tcPr>
          <w:p>
            <w:r/>
            <w:r>
              <w:rPr>
                <w:rFonts w:ascii="Times New Roman" w:hAnsi="Times New Roman"/>
                <w:sz w:val="18"/>
              </w:rPr>
              <w:t>Frequency ≥ 6</w:t>
            </w:r>
          </w:p>
        </w:tc>
        <w:tc>
          <w:tcPr>
            <w:tcW w:type="dxa" w:w="1872"/>
          </w:tcPr>
          <w:p>
            <w:r/>
            <w:r>
              <w:rPr>
                <w:rFonts w:ascii="Times New Roman" w:hAnsi="Times New Roman"/>
                <w:sz w:val="18"/>
              </w:rPr>
              <w:t>1</w:t>
            </w:r>
          </w:p>
        </w:tc>
        <w:tc>
          <w:tcPr>
            <w:tcW w:type="dxa" w:w="1872"/>
          </w:tcPr>
          <w:p>
            <w:r/>
            <w:r>
              <w:rPr>
                <w:rFonts w:ascii="Times New Roman" w:hAnsi="Times New Roman"/>
                <w:sz w:val="18"/>
              </w:rPr>
              <w:t>0.497</w:t>
            </w:r>
          </w:p>
        </w:tc>
        <w:tc>
          <w:tcPr>
            <w:tcW w:type="dxa" w:w="1872"/>
          </w:tcPr>
          <w:p>
            <w:r/>
            <w:r>
              <w:rPr>
                <w:rFonts w:ascii="Times New Roman" w:hAnsi="Times New Roman"/>
                <w:sz w:val="18"/>
              </w:rPr>
              <w:t>0.857</w:t>
            </w:r>
          </w:p>
        </w:tc>
        <w:tc>
          <w:tcPr>
            <w:tcW w:type="dxa" w:w="1872"/>
          </w:tcPr>
          <w:p>
            <w:r/>
            <w:r>
              <w:rPr>
                <w:rFonts w:ascii="Times New Roman" w:hAnsi="Times New Roman"/>
                <w:sz w:val="18"/>
              </w:rPr>
              <w:t>UE·UX·BSAT</w:t>
            </w:r>
          </w:p>
        </w:tc>
      </w:tr>
      <w:tr>
        <w:tc>
          <w:tcPr>
            <w:tcW w:type="dxa" w:w="1872"/>
          </w:tcPr>
          <w:p>
            <w:r/>
            <w:r>
              <w:rPr>
                <w:rFonts w:ascii="Times New Roman" w:hAnsi="Times New Roman"/>
                <w:sz w:val="18"/>
              </w:rPr>
              <w:t>Substantive anchors 6/4/2</w:t>
            </w:r>
          </w:p>
        </w:tc>
        <w:tc>
          <w:tcPr>
            <w:tcW w:type="dxa" w:w="1872"/>
          </w:tcPr>
          <w:p>
            <w:r/>
            <w:r>
              <w:rPr>
                <w:rFonts w:ascii="Times New Roman" w:hAnsi="Times New Roman"/>
                <w:sz w:val="18"/>
              </w:rPr>
              <w:t>1</w:t>
            </w:r>
          </w:p>
        </w:tc>
        <w:tc>
          <w:tcPr>
            <w:tcW w:type="dxa" w:w="1872"/>
          </w:tcPr>
          <w:p>
            <w:r/>
            <w:r>
              <w:rPr>
                <w:rFonts w:ascii="Times New Roman" w:hAnsi="Times New Roman"/>
                <w:sz w:val="18"/>
              </w:rPr>
              <w:t>0.533</w:t>
            </w:r>
          </w:p>
        </w:tc>
        <w:tc>
          <w:tcPr>
            <w:tcW w:type="dxa" w:w="1872"/>
          </w:tcPr>
          <w:p>
            <w:r/>
            <w:r>
              <w:rPr>
                <w:rFonts w:ascii="Times New Roman" w:hAnsi="Times New Roman"/>
                <w:sz w:val="18"/>
              </w:rPr>
              <w:t>0.805</w:t>
            </w:r>
          </w:p>
        </w:tc>
        <w:tc>
          <w:tcPr>
            <w:tcW w:type="dxa" w:w="1872"/>
          </w:tcPr>
          <w:p>
            <w:r/>
            <w:r>
              <w:rPr>
                <w:rFonts w:ascii="Times New Roman" w:hAnsi="Times New Roman"/>
                <w:sz w:val="18"/>
              </w:rPr>
              <w:t>UE·BSAT</w:t>
            </w:r>
          </w:p>
        </w:tc>
      </w:tr>
    </w:tbl>
    <w:p>
      <w:pPr>
        <w:spacing w:after="40"/>
      </w:pPr>
    </w:p>
    <w:p>
      <w:pPr>
        <w:spacing w:before="240" w:after="120"/>
      </w:pPr>
      <w:r>
        <w:rPr>
          <w:rFonts w:ascii="Times New Roman" w:hAnsi="Times New Roman"/>
          <w:b/>
          <w:color w:val="1F3864"/>
          <w:sz w:val="26"/>
        </w:rPr>
        <w:t>5. Synthesis: convergence and complementarity of PLS-SEM and fsQCA</w:t>
      </w:r>
    </w:p>
    <w:p>
      <w:pPr>
        <w:jc w:val="both"/>
      </w:pPr>
      <w:r>
        <w:rPr>
          <w:rFonts w:ascii="Times New Roman" w:hAnsi="Times New Roman"/>
          <w:sz w:val="22"/>
        </w:rPr>
        <w:t>The two methods tell a coherent and mutually reinforcing story (Table 19). Convergence: both place satisfaction (BSAT) at the centre of continuance—in PLS-SEM it is the strongest path and the full mediator of UE and UX; in fsQCA it has the highest single-condition necessity consistency and is a core element of the sole sufficient recipe. Both also agree that experience matters more than engagement upstream.</w:t>
      </w:r>
    </w:p>
    <w:p>
      <w:pPr>
        <w:jc w:val="both"/>
      </w:pPr>
      <w:r>
        <w:rPr>
          <w:rFonts w:ascii="Times New Roman" w:hAnsi="Times New Roman"/>
          <w:sz w:val="22"/>
        </w:rPr>
        <w:t>Complementarity 1 (equifinality / conjunction): PLS-SEM finds the direct effects of UE and UX non-significant, but fsQCA clarifies that UE and UX are jointly required as part of the sufficient configuration—the antecedents are complements, not substitutes. Complementarity 2 (asymmetry): fsQCA shows the recipe for low continuance is not the inverse of the recipe for high continuance, revealing causal asymmetry of managerial relevance.</w:t>
      </w:r>
    </w:p>
    <w:p>
      <w:pPr>
        <w:spacing w:before="120" w:after="60"/>
      </w:pPr>
      <w:r>
        <w:rPr>
          <w:rFonts w:ascii="Times New Roman" w:hAnsi="Times New Roman"/>
          <w:b/>
          <w:sz w:val="20"/>
        </w:rPr>
        <w:t>Table 19.</w:t>
      </w:r>
      <w:r>
        <w:rPr>
          <w:rFonts w:ascii="Times New Roman" w:hAnsi="Times New Roman"/>
          <w:sz w:val="20"/>
        </w:rPr>
        <w:t xml:space="preserve"> Summary of findings across methods.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E5496"/>
          </w:tcPr>
          <w:p>
            <w:pPr>
              <w:jc w:val="center"/>
            </w:pPr>
            <w:r/>
            <w:r>
              <w:rPr>
                <w:rFonts w:ascii="Times New Roman" w:hAnsi="Times New Roman"/>
                <w:b/>
                <w:color w:val="FFFFFF"/>
                <w:sz w:val="18"/>
              </w:rPr>
              <w:t>Question</w:t>
            </w:r>
          </w:p>
        </w:tc>
        <w:tc>
          <w:tcPr>
            <w:tcW w:type="dxa" w:w="3120"/>
            <w:shd w:val="clear" w:color="auto" w:fill="2E5496"/>
          </w:tcPr>
          <w:p>
            <w:pPr>
              <w:jc w:val="center"/>
            </w:pPr>
            <w:r/>
            <w:r>
              <w:rPr>
                <w:rFonts w:ascii="Times New Roman" w:hAnsi="Times New Roman"/>
                <w:b/>
                <w:color w:val="FFFFFF"/>
                <w:sz w:val="18"/>
              </w:rPr>
              <w:t>PLS-SEM answer</w:t>
            </w:r>
          </w:p>
        </w:tc>
        <w:tc>
          <w:tcPr>
            <w:tcW w:type="dxa" w:w="3120"/>
            <w:shd w:val="clear" w:color="auto" w:fill="2E5496"/>
          </w:tcPr>
          <w:p>
            <w:pPr>
              <w:jc w:val="center"/>
            </w:pPr>
            <w:r/>
            <w:r>
              <w:rPr>
                <w:rFonts w:ascii="Times New Roman" w:hAnsi="Times New Roman"/>
                <w:b/>
                <w:color w:val="FFFFFF"/>
                <w:sz w:val="18"/>
              </w:rPr>
              <w:t>fsQCA answer</w:t>
            </w:r>
          </w:p>
        </w:tc>
      </w:tr>
      <w:tr>
        <w:tc>
          <w:tcPr>
            <w:tcW w:type="dxa" w:w="3120"/>
          </w:tcPr>
          <w:p>
            <w:r/>
            <w:r>
              <w:rPr>
                <w:rFonts w:ascii="Times New Roman" w:hAnsi="Times New Roman"/>
                <w:sz w:val="18"/>
              </w:rPr>
              <w:t>What drives continuance on average?</w:t>
            </w:r>
          </w:p>
        </w:tc>
        <w:tc>
          <w:tcPr>
            <w:tcW w:type="dxa" w:w="3120"/>
          </w:tcPr>
          <w:p>
            <w:r/>
            <w:r>
              <w:rPr>
                <w:rFonts w:ascii="Times New Roman" w:hAnsi="Times New Roman"/>
                <w:sz w:val="18"/>
              </w:rPr>
              <w:t>BSAT (β=.476***); UE/UX only indirectly</w:t>
            </w:r>
          </w:p>
        </w:tc>
        <w:tc>
          <w:tcPr>
            <w:tcW w:type="dxa" w:w="3120"/>
          </w:tcPr>
          <w:p>
            <w:r/>
            <w:r>
              <w:rPr>
                <w:rFonts w:ascii="Times New Roman" w:hAnsi="Times New Roman"/>
                <w:sz w:val="18"/>
              </w:rPr>
              <w:t>BSAT highest necessity; core in recipe</w:t>
            </w:r>
          </w:p>
        </w:tc>
      </w:tr>
      <w:tr>
        <w:tc>
          <w:tcPr>
            <w:tcW w:type="dxa" w:w="3120"/>
          </w:tcPr>
          <w:p>
            <w:r/>
            <w:r>
              <w:rPr>
                <w:rFonts w:ascii="Times New Roman" w:hAnsi="Times New Roman"/>
                <w:sz w:val="18"/>
              </w:rPr>
              <w:t>Are UE/UX effects direct?</w:t>
            </w:r>
          </w:p>
        </w:tc>
        <w:tc>
          <w:tcPr>
            <w:tcW w:type="dxa" w:w="3120"/>
          </w:tcPr>
          <w:p>
            <w:r/>
            <w:r>
              <w:rPr>
                <w:rFonts w:ascii="Times New Roman" w:hAnsi="Times New Roman"/>
                <w:sz w:val="18"/>
              </w:rPr>
              <w:t>No — fully mediated by BSAT</w:t>
            </w:r>
          </w:p>
        </w:tc>
        <w:tc>
          <w:tcPr>
            <w:tcW w:type="dxa" w:w="3120"/>
          </w:tcPr>
          <w:p>
            <w:r/>
            <w:r>
              <w:rPr>
                <w:rFonts w:ascii="Times New Roman" w:hAnsi="Times New Roman"/>
                <w:sz w:val="18"/>
              </w:rPr>
              <w:t>Required jointly, with BSAT</w:t>
            </w:r>
          </w:p>
        </w:tc>
      </w:tr>
      <w:tr>
        <w:tc>
          <w:tcPr>
            <w:tcW w:type="dxa" w:w="3120"/>
          </w:tcPr>
          <w:p>
            <w:r/>
            <w:r>
              <w:rPr>
                <w:rFonts w:ascii="Times New Roman" w:hAnsi="Times New Roman"/>
                <w:sz w:val="18"/>
              </w:rPr>
              <w:t>Which combination yields high continuance?</w:t>
            </w:r>
          </w:p>
        </w:tc>
        <w:tc>
          <w:tcPr>
            <w:tcW w:type="dxa" w:w="3120"/>
          </w:tcPr>
          <w:p>
            <w:r/>
            <w:r>
              <w:rPr>
                <w:rFonts w:ascii="Times New Roman" w:hAnsi="Times New Roman"/>
                <w:sz w:val="18"/>
              </w:rPr>
              <w:t>(not addressable)</w:t>
            </w:r>
          </w:p>
        </w:tc>
        <w:tc>
          <w:tcPr>
            <w:tcW w:type="dxa" w:w="3120"/>
          </w:tcPr>
          <w:p>
            <w:r/>
            <w:r>
              <w:rPr>
                <w:rFonts w:ascii="Times New Roman" w:hAnsi="Times New Roman"/>
                <w:sz w:val="18"/>
              </w:rPr>
              <w:t>UE·UX·BSAT (cons.=.857, cov.=.497)</w:t>
            </w:r>
          </w:p>
        </w:tc>
      </w:tr>
      <w:tr>
        <w:tc>
          <w:tcPr>
            <w:tcW w:type="dxa" w:w="3120"/>
          </w:tcPr>
          <w:p>
            <w:r/>
            <w:r>
              <w:rPr>
                <w:rFonts w:ascii="Times New Roman" w:hAnsi="Times New Roman"/>
                <w:sz w:val="18"/>
              </w:rPr>
              <w:t>Is low continuance the mirror image?</w:t>
            </w:r>
          </w:p>
        </w:tc>
        <w:tc>
          <w:tcPr>
            <w:tcW w:type="dxa" w:w="3120"/>
          </w:tcPr>
          <w:p>
            <w:r/>
            <w:r>
              <w:rPr>
                <w:rFonts w:ascii="Times New Roman" w:hAnsi="Times New Roman"/>
                <w:sz w:val="18"/>
              </w:rPr>
              <w:t>(not addressable)</w:t>
            </w:r>
          </w:p>
        </w:tc>
        <w:tc>
          <w:tcPr>
            <w:tcW w:type="dxa" w:w="3120"/>
          </w:tcPr>
          <w:p>
            <w:r/>
            <w:r>
              <w:rPr>
                <w:rFonts w:ascii="Times New Roman" w:hAnsi="Times New Roman"/>
                <w:sz w:val="18"/>
              </w:rPr>
              <w:t>No — ~UE·~UX·~BSAT (asymmetry)</w:t>
            </w:r>
          </w:p>
        </w:tc>
      </w:tr>
      <w:tr>
        <w:tc>
          <w:tcPr>
            <w:tcW w:type="dxa" w:w="3120"/>
          </w:tcPr>
          <w:p>
            <w:r/>
            <w:r>
              <w:rPr>
                <w:rFonts w:ascii="Times New Roman" w:hAnsi="Times New Roman"/>
                <w:sz w:val="18"/>
              </w:rPr>
              <w:t>Predictive validity?</w:t>
            </w:r>
          </w:p>
        </w:tc>
        <w:tc>
          <w:tcPr>
            <w:tcW w:type="dxa" w:w="3120"/>
          </w:tcPr>
          <w:p>
            <w:r/>
            <w:r>
              <w:rPr>
                <w:rFonts w:ascii="Times New Roman" w:hAnsi="Times New Roman"/>
                <w:sz w:val="18"/>
              </w:rPr>
              <w:t>Q²&gt;0; PLS&lt;LM on 3/4 indicators</w:t>
            </w:r>
          </w:p>
        </w:tc>
        <w:tc>
          <w:tcPr>
            <w:tcW w:type="dxa" w:w="3120"/>
          </w:tcPr>
          <w:p>
            <w:r/>
            <w:r>
              <w:rPr>
                <w:rFonts w:ascii="Times New Roman" w:hAnsi="Times New Roman"/>
                <w:sz w:val="18"/>
              </w:rPr>
              <w:t>Solution stable across robustness checks</w:t>
            </w:r>
          </w:p>
        </w:tc>
      </w:tr>
    </w:tbl>
    <w:p>
      <w:pPr>
        <w:spacing w:after="40"/>
      </w:pPr>
    </w:p>
    <w:p>
      <w:pPr>
        <w:jc w:val="both"/>
      </w:pPr>
      <w:r>
        <w:rPr>
          <w:rFonts w:ascii="Times New Roman" w:hAnsi="Times New Roman"/>
          <w:sz w:val="22"/>
        </w:rPr>
        <w:t>In sum, satisfaction is the proximal engine of brand-system continuance, user experience is its dominant upstream antecedent, and the highest levels of continuance are reached only when engagement, experience and satisfaction are present in combination—while the route to abandonment follows its own, asymmetric logic.</w:t>
      </w:r>
    </w:p>
    <w:p>
      <w:pPr>
        <w:spacing w:before="240" w:after="120"/>
      </w:pPr>
      <w:r>
        <w:rPr>
          <w:rFonts w:ascii="Times New Roman" w:hAnsi="Times New Roman"/>
          <w:b/>
          <w:color w:val="1F3864"/>
          <w:sz w:val="26"/>
        </w:rPr>
        <w:t>Appendix A. Supplementary figure</w:t>
      </w:r>
    </w:p>
    <w:p>
      <w:pPr>
        <w:spacing w:before="120"/>
        <w:jc w:val="center"/>
      </w:pPr>
      <w:r>
        <w:drawing>
          <wp:inline xmlns:a="http://schemas.openxmlformats.org/drawingml/2006/main" xmlns:pic="http://schemas.openxmlformats.org/drawingml/2006/picture">
            <wp:extent cx="4754880" cy="4121245"/>
            <wp:docPr id="14" name="Picture 14"/>
            <wp:cNvGraphicFramePr>
              <a:graphicFrameLocks noChangeAspect="1"/>
            </wp:cNvGraphicFramePr>
            <a:graphic>
              <a:graphicData uri="http://schemas.openxmlformats.org/drawingml/2006/picture">
                <pic:pic>
                  <pic:nvPicPr>
                    <pic:cNvPr id="0" name="img_113.png"/>
                    <pic:cNvPicPr/>
                  </pic:nvPicPr>
                  <pic:blipFill>
                    <a:blip r:embed="rId22"/>
                    <a:stretch>
                      <a:fillRect/>
                    </a:stretch>
                  </pic:blipFill>
                  <pic:spPr>
                    <a:xfrm>
                      <a:off x="0" y="0"/>
                      <a:ext cx="4754880" cy="4121245"/>
                    </a:xfrm>
                    <a:prstGeom prst="rect"/>
                  </pic:spPr>
                </pic:pic>
              </a:graphicData>
            </a:graphic>
          </wp:inline>
        </w:drawing>
      </w:r>
    </w:p>
    <w:p>
      <w:pPr>
        <w:spacing w:after="200"/>
        <w:jc w:val="center"/>
      </w:pPr>
      <w:r>
        <w:rPr>
          <w:rFonts w:ascii="Times New Roman" w:hAnsi="Times New Roman"/>
          <w:b/>
          <w:sz w:val="19"/>
        </w:rPr>
        <w:t>Figure A1.</w:t>
      </w:r>
      <w:r>
        <w:rPr>
          <w:rFonts w:ascii="Times New Roman" w:hAnsi="Times New Roman"/>
          <w:sz w:val="19"/>
        </w:rPr>
        <w:t xml:space="preserve"> Item-level correlation matrix.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