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Results</w:t>
      </w:r>
    </w:p>
    <w:p>
      <w:pPr>
        <w:pStyle w:val="Heading1"/>
      </w:pPr>
      <w:r>
        <w:rPr>
          <w:rFonts w:ascii="Times New Roman" w:hAnsi="Times New Roman"/>
          <w:color w:val="000000"/>
        </w:rPr>
        <w:t>Sample characteristics</w:t>
      </w:r>
    </w:p>
    <w:p>
      <w:pPr>
        <w:spacing w:after="160"/>
        <w:jc w:val="both"/>
        <w:shd w:val="clear" w:color="auto" w:fill="FFF2CC"/>
      </w:pPr>
      <w:r>
        <w:rPr>
          <w:rFonts w:ascii="Times New Roman" w:hAnsi="Times New Roman"/>
          <w:i/>
          <w:sz w:val="24"/>
        </w:rPr>
        <w:t>Data note (to be populated from your sampling records). The dataset provided (Responses.xlsx) contains only the reflective indicators for the four constructs (UE, UX, BSAT, BSUC) and the two attention-check items; it does not include demographic or platform-usage variables. The descriptive profile below is therefore supplied as a template to be completed from your own sampling records. The bracketed figures must be replaced with the actual sample statistics; they are not derived from the analysed data file and should not be reported until verified.</w:t>
      </w:r>
    </w:p>
    <w:p>
      <w:pPr>
        <w:spacing w:after="160"/>
        <w:jc w:val="both"/>
      </w:pPr>
      <w:r>
        <w:rPr>
          <w:rFonts w:ascii="Times New Roman" w:hAnsi="Times New Roman"/>
          <w:i w:val="0"/>
          <w:sz w:val="24"/>
        </w:rPr>
        <w:t>The final sample comprised 312 complete responses from active users of avatar-mediated platforms in India. [The sample was approximately balanced by gender (XX% women, XX% men), spanned young-adult to middle-aged cohorts (XX% aged 18–24, XX% 25–34, XX% 35+), and included students (XX%), salaried employees (XX%), and business professionals (XX%) across varied income bands.] In terms of immersive-platform use, [a majority (XX%) reported engaging with metaverse-type environments at least weekly, with substantial participation in NFT trading (XX%), social interaction and content creation (XX%), and virtual events (XX%)], confirming that respondents possessed meaningful experience with brand-related activities in these environments. All 312 cases were retained: there were no missing values across the 20 items and no straight-line response patterns.</w:t>
      </w:r>
    </w:p>
    <w:p>
      <w:pPr>
        <w:pStyle w:val="Heading1"/>
      </w:pPr>
      <w:r>
        <w:rPr>
          <w:rFonts w:ascii="Times New Roman" w:hAnsi="Times New Roman"/>
          <w:color w:val="000000"/>
        </w:rPr>
        <w:t>Measurement model</w:t>
      </w:r>
    </w:p>
    <w:p>
      <w:pPr>
        <w:spacing w:after="160"/>
        <w:jc w:val="both"/>
      </w:pPr>
      <w:r>
        <w:rPr>
          <w:rFonts w:ascii="Times New Roman" w:hAnsi="Times New Roman"/>
          <w:i w:val="0"/>
          <w:sz w:val="24"/>
        </w:rPr>
        <w:t>We first assessed the reliability and validity of the reflective measurement model using PLS-SEM (Mode A; path-weighting scheme). Standardized factor loadings for all indicators were positive and statistically significant, ranging from 0.812 to 0.879—comfortably above the 0.708 benchmark and well clear of the more lenient 0.66 floor—indicating strong indicator reliability (Table 2; Figure 7). Internal consistency was satisfactory and non-redundant: Cronbach's alpha ranged from 0.885 to 0.892, the Dijkstra–Henseler ρ_A from 0.887 to 0.895, and composite reliability (ρ_c) from 0.918 to 0.922, all comfortably exceeding the 0.70 threshold while remaining below 0.95. Average variance extracted (AVE) values ranged from 0.692 to 0.747, exceeding the 0.50 guideline and indicating that each construct captures a substantial majority of the variance in its indicators relative to measurement error.</w:t>
      </w:r>
    </w:p>
    <w:p>
      <w:pPr>
        <w:spacing w:after="160"/>
        <w:jc w:val="both"/>
      </w:pPr>
      <w:r>
        <w:rPr>
          <w:rFonts w:ascii="Times New Roman" w:hAnsi="Times New Roman"/>
          <w:i w:val="0"/>
          <w:sz w:val="24"/>
        </w:rPr>
        <w:t>Discriminant validity was evaluated using the heterotrait–monotrait (HTMT) ratio of correlations. All HTMT values among UE, UX, BSAT, and BSUC were below the conservative 0.85 cut-off (range 0.30–0.62), with the highest value observed for the BSAT–BSUC pair (0.615) and the lowest for the UE–BSUC pair (0.298), indicating that each construct is empirically distinguishable from the others (Table 4; Figure 5). The Fornell–Larcker criterion corroborated this: for every construct, the square root of the AVE exceeded its correlations with all other constructs, and the inter-construct correlations were moderate (0.27–0.55) and below the respective reliability estimates (Table 3; Figure 6). The cross-loading matrix showed each indicator loading highest on its intended construct by a margin of at least 0.40.</w:t>
      </w:r>
    </w:p>
    <w:p>
      <w:pPr>
        <w:spacing w:after="160"/>
        <w:jc w:val="both"/>
      </w:pPr>
      <w:r>
        <w:rPr>
          <w:rFonts w:ascii="Times New Roman" w:hAnsi="Times New Roman"/>
          <w:i w:val="0"/>
          <w:sz w:val="24"/>
        </w:rPr>
        <w:t>To assess common method bias, we complemented procedural remedies with statistical diagnostics. Harman's single-factor test attributed only 34.4% of the variance to the first unrotated factor, below the 50% threshold. A full collinearity assessment confirmed this: variance inflation factor (VIF) values for all latent variables were well below the recommended 3.3 cut-off (maximum inner VIF = 1.35; maximum outer VIF = 2.46), suggesting that common method variance is unlikely to pose a serious threat (Kock, 2015). Taken together, these results support the adequacy of the measurement model.</w:t>
      </w:r>
    </w:p>
    <w:p>
      <w:pPr>
        <w:pStyle w:val="Heading1"/>
      </w:pPr>
      <w:r>
        <w:rPr>
          <w:rFonts w:ascii="Times New Roman" w:hAnsi="Times New Roman"/>
          <w:color w:val="000000"/>
        </w:rPr>
        <w:t>Structural model</w:t>
      </w:r>
    </w:p>
    <w:p>
      <w:pPr>
        <w:spacing w:after="160"/>
        <w:jc w:val="both"/>
      </w:pPr>
      <w:r>
        <w:rPr>
          <w:rFonts w:ascii="Times New Roman" w:hAnsi="Times New Roman"/>
          <w:i w:val="0"/>
          <w:sz w:val="24"/>
        </w:rPr>
        <w:t>We next examined the structural model to test H1–H3, assessing path significance via bootstrapping with 5,000 resamples. Because H1–H3 are directional hypotheses, one-tailed tests were used for the hypothesised paths, consistent with standard PLS-SEM practice (Hair et al., 2022). The model explained meaningful variance in the endogenous constructs (R² = 0.224 for BSAT and R² = 0.315 for BSUC) and demonstrated predictive relevance (Q² = 0.160 and 0.228, respectively; SRMR = 0.047), with out-of-sample validity confirmed by PLSpredict.</w:t>
      </w:r>
    </w:p>
    <w:p>
      <w:pPr>
        <w:spacing w:after="160"/>
        <w:jc w:val="both"/>
      </w:pPr>
      <w:r>
        <w:rPr>
          <w:rFonts w:ascii="Times New Roman" w:hAnsi="Times New Roman"/>
          <w:i w:val="0"/>
          <w:sz w:val="24"/>
        </w:rPr>
        <w:t>User engagement (UE) and user experience (UX) both showed positive, statistically significant direct relationships with brand success (BSUC) (UE → BSUC: β = 0.088, t = 1.82, one-tailed p = .035; UX → BSUC: β = 0.095, t = 1.78, one-tailed p = .038), supporting H1 and H2 (Table 8; Figure 1). Users who reported higher cognitive, emotional, and behavioural involvement with brands in avatar-mediated environments, and who rated their interaction experiences as more immersive, enjoyable, and usable, also reported stronger continuance, purchase, and advocacy intentions toward those brands.</w:t>
      </w:r>
    </w:p>
    <w:p>
      <w:pPr>
        <w:spacing w:after="160"/>
        <w:jc w:val="both"/>
      </w:pPr>
      <w:r>
        <w:rPr>
          <w:rFonts w:ascii="Times New Roman" w:hAnsi="Times New Roman"/>
          <w:i w:val="0"/>
          <w:sz w:val="24"/>
        </w:rPr>
        <w:t>Brand satisfaction (BSAT) was strongly and positively associated with BSUC (β = 0.476, t = 10.15, p &lt; .001), and both UE and UX were positively associated with BSAT (UE → BSAT: β = 0.157, t = 2.89, p = .004; UX → BSAT: β = 0.393, t = 7.59, p &lt; .001), indicating that more engaging and higher-quality avatar-mediated experiences translate into more favourable overall evaluations of the brand. Bootstrapped indirect effects from UE and UX to BSUC via BSAT were both positive and significant (UE → BSAT → BSUC: 0.075, 95% CI [0.024, 0.132]; UX → BSAT → BSUC: 0.187, 95% CI [0.131, 0.251]), supporting H3 and indicating that brand satisfaction mediates the influence of engagement and experience on brand success (Table 9). Because the direct effects of UE and UX on BSUC remained significant when BSAT was included, and because each direct effect and its corresponding indirect effect carry the same (positive) sign, the data point to complementary partial mediation (Zhao et al., 2010; Nitzl et al., 2016) rather than full mediation. The total effects on brand success ranked the antecedents as BSAT (0.476) &gt; UX (0.282) &gt; UE (0.162).</w:t>
      </w:r>
    </w:p>
    <w:p>
      <w:pPr>
        <w:spacing w:after="160"/>
        <w:jc w:val="both"/>
      </w:pPr>
      <w:r>
        <w:rPr>
          <w:rFonts w:ascii="Times New Roman" w:hAnsi="Times New Roman"/>
          <w:i w:val="0"/>
          <w:sz w:val="24"/>
        </w:rPr>
        <w:t>Overall, the structural model provides evidence that SDT-consistent manifestations of need satisfaction at the interaction level—captured through UE and UX—shape brand-level outcomes both directly and through users' satisfaction with the brand's immersive presence.</w:t>
      </w:r>
    </w:p>
    <w:p>
      <w:pPr>
        <w:pStyle w:val="Heading1"/>
      </w:pPr>
      <w:r>
        <w:rPr>
          <w:rFonts w:ascii="Times New Roman" w:hAnsi="Times New Roman"/>
          <w:color w:val="000000"/>
        </w:rPr>
        <w:t>Configurational analysis (fsQCA)</w:t>
      </w:r>
    </w:p>
    <w:p>
      <w:pPr>
        <w:spacing w:after="160"/>
        <w:jc w:val="both"/>
      </w:pPr>
      <w:r>
        <w:rPr>
          <w:rFonts w:ascii="Times New Roman" w:hAnsi="Times New Roman"/>
          <w:i w:val="0"/>
          <w:sz w:val="24"/>
        </w:rPr>
        <w:t>To explore whether different combinations of UE, UX, and BSAT can lead to high brand success, we applied fuzzy-set qualitative comparative analysis. Composite scores for the three conditions (UE, UX, BSAT) and the outcome (BSUC) were calibrated into fuzzy sets using the direct method with theoretically informed, percentile-based anchors—full membership at the 95th percentile, the cross-over at the 50th percentile, and full non-membership at the 5th percentile (Table 10; Figure 9). The resulting truth table was analysed using standard thresholds (frequency ≥ 4 cases; raw consistency ≥ 0.80; PRI ≥ 0.70) to identify configurations sufficient for high BSUC (Table 12).</w:t>
      </w:r>
    </w:p>
    <w:p>
      <w:pPr>
        <w:spacing w:after="160"/>
        <w:jc w:val="both"/>
      </w:pPr>
      <w:r>
        <w:rPr>
          <w:rFonts w:ascii="Times New Roman" w:hAnsi="Times New Roman"/>
          <w:i w:val="0"/>
          <w:sz w:val="24"/>
        </w:rPr>
        <w:t>Analysis of necessary conditions. The fsQCA results show that no single condition is necessary for high brand success: high UE, high UX, and high BSAT each fell below the 0.90 necessity-consistency threshold (maximum = 0.751 for BSAT), consistent with the SDT-based view that different patterns of need satisfaction can sustain favourable outcomes (Table 11; Figure 11).</w:t>
      </w:r>
    </w:p>
    <w:p>
      <w:pPr>
        <w:spacing w:after="160"/>
        <w:jc w:val="both"/>
      </w:pPr>
      <w:r>
        <w:rPr>
          <w:rFonts w:ascii="Times New Roman" w:hAnsi="Times New Roman"/>
          <w:i w:val="0"/>
          <w:sz w:val="24"/>
        </w:rPr>
        <w:t>Analysis of sufficient configurations. The minimisation identified a single, highly consistent sufficient configuration for high brand success—the simultaneous presence of high UE, high UX, and high BSAT (raw consistency = 0.857, PRI = 0.737, raw coverage = 0.497; Table 13b; Figure 10). All three conditions are core because they appear in both the parsimonious and the intermediate solution (Fiss, 2011). This “full recipe” captures scenarios in which avatar-mediated environments strongly satisfy autonomy, competence, and relatedness needs, producing high engagement, rich experiences, and strong satisfaction and, consequently, the strongest brand-relevant outcomes.</w:t>
      </w:r>
    </w:p>
    <w:p>
      <w:pPr>
        <w:spacing w:after="160"/>
        <w:jc w:val="both"/>
      </w:pPr>
      <w:r>
        <w:rPr>
          <w:rFonts w:ascii="Times New Roman" w:hAnsi="Times New Roman"/>
          <w:i w:val="0"/>
          <w:sz w:val="24"/>
        </w:rPr>
        <w:t>An extended subset–superset analysis (Table 13a) clarifies this result by ordering all candidate sufficient terms. It reveals the canonical consistency–coverage trade-off: the triadic term UE · UX · BSAT attains the highest solution consistency (0.857), while less restrictive supersets achieve broader coverage at the cost of consistency—satisfaction alone (BSAT) reaches the highest coverage (0.751) but a sub-threshold PRI (0.661), and the two-condition terms UE · BSAT (consistency 0.839) and UX · BSAT (consistency 0.829) sit in between. Thus, although satisfaction is the empirically dominant ingredient, it is the conjunction of engagement, experience, and satisfaction that constitutes the most trustworthy recipe for high brand success.</w:t>
      </w:r>
    </w:p>
    <w:p>
      <w:pPr>
        <w:spacing w:after="160"/>
        <w:jc w:val="both"/>
      </w:pPr>
      <w:r>
        <w:rPr>
          <w:rFonts w:ascii="Times New Roman" w:hAnsi="Times New Roman"/>
          <w:i w:val="0"/>
          <w:sz w:val="24"/>
        </w:rPr>
        <w:t>Causal asymmetry. A separate analysis of the negated outcome returned the mirror-absence configuration ~UE · ~UX · ~BSAT (consistency = 0.861, coverage = 0.492; Figure 13), demonstrating that the recipe for low brand success is not the simple inverse of the recipe for high success.</w:t>
      </w:r>
    </w:p>
    <w:p>
      <w:pPr>
        <w:spacing w:after="160"/>
        <w:jc w:val="both"/>
      </w:pPr>
      <w:r>
        <w:rPr>
          <w:rFonts w:ascii="Times New Roman" w:hAnsi="Times New Roman"/>
          <w:i w:val="0"/>
          <w:sz w:val="24"/>
        </w:rPr>
        <w:t>Taken together, the configurational analysis complements the PLS-SEM results by showing that, while brand success in avatar-mediated environments is driven proximally by satisfaction, the highest and most consistent levels of success arise from the joint, SDT-consistent combination of engagement, experience, and satisfaction operating together, with abandonment following its own asymmetric logic.</w:t>
      </w:r>
    </w:p>
    <w:p>
      <w:pPr>
        <w:spacing w:after="160"/>
        <w:jc w:val="both"/>
        <w:shd w:val="clear" w:color="auto" w:fill="FFF2CC"/>
      </w:pPr>
      <w:r>
        <w:rPr>
          <w:rFonts w:ascii="Times New Roman" w:hAnsi="Times New Roman"/>
          <w:i/>
          <w:sz w:val="24"/>
        </w:rPr>
        <w:t>Divergence from the supplied draft narrative (fsQCA). The draft provided described three sufficient configurations (BSAT·UX with moderate UE; BSAT·UE; and UE·UX in the absence of high BSAT). The truth table derived from Responses.xlsx does not reproduce these under standard thresholds: the UE·UX·~BSAT corner has raw consistency 0.764 (&lt; 0.80) and PRI 0.443 (&lt; 0.70), so it is not sufficient; and minimising the BSAT-present corners collapses them to a single term. Under any defensible threshold set, the data yield one core “full-recipe” configuration (UE·UX·BSAT). If a multi-configuration solution is required, it would need to come from a different dataset/run or from deliberately relaxed thresholds (which would lower solution validity and should be justified explicitly). The result reported here is the one the current data actually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cs="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