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t>Configurational Pathways to Brand Success in the Metaverse: A Flow Theory and Self-Determination Theory Account of User Engagement and User Experience</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t>As brands establish a presence in immersive virtual environments, understanding what sustains brand performance in the metaverse has become both a practical priority and a theoretical gap. Prior marketing research robustly links engagement, experience, and satisfaction to favourable brand outcomes; what remains unresolved is whether these relationships hold, and how they recombine, when brand interaction is embodied, persistently social, and organised around user-owned digital assets. Grounded in Flow Theory and Self-Determination Theory (SDT), this study advances a configurational argument: brand success in the metaverse is unlikely to rest on any single antecedent and is better understood as the product of combinations of conditions. Drawing on survey data from 312 active metaverse users in India, an under-represented yet rapidly growing market, we validate the measurement model using PLS-SEM and identify sufficient and necessary configurations of user engagement (UE), user experience (UX), and brand satisfaction (BSAT) for brand success (BSUC) using fuzzy-set qualitative comparative analysis (fsQCA). No single condition is necessary for brand success. Instead, brand satisfaction in combination with either engagement or experience, and most consistently all three jointly, is associated with favourable outcomes, providing empirical support for equifinality. The study contributes a disciplined, theory-grounded, configurational account of metaverse branding and offers managers guidance on which bundles of conditions to prioritise, while remaining candid about the contested commercial trajectory of the technology.</w:t>
      </w:r>
    </w:p>
    <w:p w14:paraId="34BA7CF1" w14:textId="29CED126" w:rsidR="00931A14" w:rsidRPr="00931A14" w:rsidRDefault="00362481" w:rsidP="00931A14">
      <w:pPr>
        <w:spacing w:line="360" w:lineRule="auto"/>
        <w:jc w:val="both"/>
        <w:rPr>
          <w:i/>
          <w:iCs/>
          <w:color w:val="000000" w:themeColor="text1"/>
        </w:rPr>
      </w:pPr>
      <w:r>
        <w:t>Keywords: metaverse; user engagement; user experience; brand satisfaction; brand success; fuzzy-set QCA; Flow Theory; Self-Determination Theory</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r>
        <w:t>We do not treat the metaverse as a self-evident future for marketing. After a period of intense investment, several major firms have scaled back dedicated metaverse initiatives, and practitioner sentiment has cooled markedly relative to the peak of the hype cycle (eMarketer, 2023). At the same time, large immersive-social platforms such as Roblox and Fortnite retain very large, commercially active audiences, and immersive-technology markets in emerging economies continue to expand. We therefore scope our contribution to the platforms and user segments where immersive brand activity is currently concentrated, and we test whether established relationships replicate and recombine there rather than assuming the metaverse's universal relevance.</w:t>
      </w:r>
    </w:p>
    <w:p w14:paraId="51BC317D" w14:textId="1C6D09A0" w:rsidR="00666412" w:rsidRPr="0043234C" w:rsidRDefault="00666412" w:rsidP="00247F83">
      <w:pPr>
        <w:spacing w:line="360" w:lineRule="auto"/>
        <w:ind w:firstLine="426"/>
        <w:jc w:val="both"/>
        <w:rPr>
          <w:color w:val="000000" w:themeColor="text1"/>
        </w:rPr>
      </w:pPr>
      <w:proofErr w:type="spellStart"/>
      <w:proofErr w:type="spellEnd"/>
      <w:proofErr w:type="spellStart"/>
      <w:proofErr w:type="spellEnd"/>
      <w:r>
        <w:t>Unlike earlier digital channels, the metaverse differs in three concrete respects that are consequential for brands: interaction is embodied through avatars rather than screen-mediated, social presence is persistent rather than episodic, and economic value can be attached to user-owned digital assets rather than to advertising impressions alone (Arya et al., 2024a; Bilgihan et al., 2024; Hennig-Thurau et al., 2023). These features raise a specific and as-yet-unanswered question: do the engagement-experience-satisfaction relationships established in conventional marketing still operate when brand interaction is embodied, social, and asset-based, and do they combine in the same way?</w:t>
      </w:r>
    </w:p>
    <w:p w14:paraId="41FC1AE5" w14:textId="40B46F52" w:rsidR="006B5016" w:rsidRDefault="00666412" w:rsidP="00125206">
      <w:pPr>
        <w:tabs>
          <w:tab w:val="left" w:pos="426"/>
        </w:tabs>
        <w:spacing w:line="360" w:lineRule="auto"/>
        <w:jc w:val="both"/>
        <w:rPr>
          <w:color w:val="000000" w:themeColor="text1"/>
        </w:rPr>
      </w:pPr>
      <w:proofErr w:type="spellStart"/>
      <w:proofErr w:type="spellEnd"/>
      <w:proofErr w:type="spellStart"/>
      <w:proofErr w:type="spellEnd"/>
      <w:r>
        <w:t>Most existing studies examine isolated elements, such as gamification, avatars, or non-fungible tokens, and estimate their net, independent effects on a brand outcome (Hennig-Thurau et al., 2023; Xie and Muralidharan, 2023). This variable-centric approach establishes which factor matters most on average, but it does not address the question managers actually face: which combinations of engagement, experience, and satisfaction jointly produce brand success, and whether more than one combination can do so. Because metaverse brand value is co-created across embodied, social, and economic activities simultaneously, a configurational lens is theoretically warranted (Furnari et al., 2021; Pappas and Woodside, 2021).</w:t>
      </w:r>
    </w:p>
    <w:p w14:paraId="5949DC29" w14:textId="7DCB98A7" w:rsidR="00CE12FB" w:rsidRDefault="006B5016" w:rsidP="00125206">
      <w:pPr>
        <w:tabs>
          <w:tab w:val="left" w:pos="426"/>
        </w:tabs>
        <w:spacing w:line="360" w:lineRule="auto"/>
        <w:jc w:val="both"/>
        <w:rPr>
          <w:color w:val="000000" w:themeColor="text1"/>
        </w:rPr>
      </w:pPr>
      <w:proofErr w:type="spellStart"/>
      <w:proofErr w:type="spellEnd"/>
      <w:proofErr w:type="spellStart"/>
      <w:proofErr w:type="spellEnd"/>
      <w:proofErr w:type="spellStart"/>
      <w:proofErr w:type="spellEnd"/>
      <w:r>
        <w:t>Accordingly, this study examines how user engagement and immersive experience combine to shape brand success in the metaverse. We retain the substantive concerns of prior work, including personalization, social interaction, and the role of digital assets, but reframe the analytical task from estimating average effects to identifying the configurations of conditions associated with favourable brand outcomes.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38B1FEC0" w14:textId="432924CD" w:rsidR="005560D1" w:rsidRDefault="0045186A" w:rsidP="0045186A">
      <w:pPr>
        <w:spacing w:line="360" w:lineRule="auto"/>
        <w:ind w:firstLine="426"/>
        <w:jc w:val="both"/>
        <w:rPr>
          <w:color w:val="000000" w:themeColor="text1"/>
        </w:rPr>
      </w:pPr>
      <w:r>
        <w:t>This study makes three contributions. First, it moves metaverse branding from a variable-centric to a configurational account, using fuzzy-set qualitative comparative analysis (fsQCA) to identify equifinal pathways to brand success rather than a single best predictor (Pappas and Woodside, 2021; Ragin, 2008). Second, it translates Flow Theory and SDT from descriptive references into an explanatory framework with explicit propositions that connect specific theoretical mechanisms to the measured constructs. Third, it tests these ideas in India, a large, digitally native, and under-researched market, extending a literature that has been predominantly Western. Throughout, every empirical claim is tied to a measured construct, and we are explicit about what a four-construct design can and cannot support.</w:t>
      </w:r>
    </w:p>
    <w:p w14:paraId="657E9747" w14:textId="10590B61" w:rsidR="009668F1" w:rsidRDefault="005560D1" w:rsidP="009668F1">
      <w:pPr>
        <w:tabs>
          <w:tab w:val="left" w:pos="426"/>
        </w:tabs>
        <w:spacing w:line="360" w:lineRule="auto"/>
        <w:jc w:val="both"/>
        <w:rPr>
          <w:color w:val="000000" w:themeColor="text1"/>
        </w:rPr>
      </w:pPr>
      <w:r>
        <w:t>We integrate two complementary theories. Flow Theory (Csikszentmihalyi, 1990) explains the experiential mechanism through which immersive interaction becomes intrinsically rewarding, while Self-Determination Theory (SDT; Deci and Ryan, 2000) explains the motivational mechanism that draws users into, and sustains them within, such experiences. In the metaverse, avatar customization and asset ownership support autonomy, skill-based progression supports competence, and persistent social worlds support relatedness; these affordances, in turn, create the challenge-skill balance, clear goals, and immediate feedback that induce flow. We treat these needs and flow antecedents as the theoretical mechanisms that motivate the four measured constructs, not as separately measured variables, a scope condition we make explicit throughout.</w:t>
      </w:r>
    </w:p>
    <w:p w14:paraId="5B29381E" w14:textId="59BF5C58" w:rsidR="00F47684" w:rsidRDefault="00377169" w:rsidP="00E62169">
      <w:pPr>
        <w:spacing w:line="360" w:lineRule="auto"/>
        <w:ind w:firstLine="426"/>
        <w:jc w:val="both"/>
        <w:rPr>
          <w:color w:val="000000" w:themeColor="text1"/>
        </w:rPr>
      </w:pPr>
      <w:r>
        <w:t>We address three research questions. RQ1: Which combinations of user engagement and user experience are associated with users' brand satisfaction in the metaverse? RQ2: How are user engagement and user experience related to one another, and how empirically distinct are they? RQ3: Which configurations of engagement, experience, and satisfaction are associated with brand success in the metaverse? The remainder of the paper develops the theoretical framework and propositions, details the method and measures, reports the PLS-SEM and fsQCA results, and discusses the implications, limitations, and avenues for future research.</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proofErr w:type="spellStart"/>
      <w:proofErr w:type="spellEnd"/>
      <w:proofErr w:type="spellStart"/>
      <w:proofErr w:type="spellEnd"/>
      <w:r>
        <w:t>Earlier work on engagement theory provided the foundation for the systematic measurement of user engagement. Building on this tradition, O'Brien and Toms (2010) developed a multidimensional User Engagement Scale spanning focused attention, perceived usability, aesthetic appeal, endurability, novelty, and felt involvement, validated across online contexts. Subsequent work extended these conceptualizations to mobile and immersive settings (Basu et al., 2024; Soltani Nejad et al., 2024), providing the basis for the engagement measures adopted here.</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t>Social interactions further reinforce engagement, with online brand communities and metaverse platforms fostering trust, knowledge-sharing, and purchase intention through avatar-mediated interactivity, two-way communication, and a sense of community identity (Agnihotri et al., 2024; Hennig-Thurau et al., 2023; Kumar and Shankar, 2024;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proofErr w:type="spellStart"/>
      <w:proofErr w:type="spellEnd"/>
      <w:r>
        <w:t>User engagement and user experience are well-established antecedents of brand success in digital and virtual environments. Mathwick et al. (2008) showed that members' contributions to firm-hosted online communities enhance brand-relevant outcomes, with knowledge-sharing and reciprocity acting as the engagement mechanisms that convert participation into value. The consistent through-line in this literature is that engagement and experience operate as complementary, mutually reinforcing antecedents of satisfaction, which in turn supports brand success, a sequence we test configurationally rather than assume.</w:t>
      </w:r>
    </w:p>
    <w:p w14:paraId="10B1974A" w14:textId="2E67DE35" w:rsidR="00971E5E" w:rsidRPr="00971E5E" w:rsidRDefault="00971E5E" w:rsidP="00971E5E">
      <w:pPr>
        <w:spacing w:line="360" w:lineRule="auto"/>
        <w:ind w:firstLine="426"/>
        <w:jc w:val="both"/>
        <w:rPr>
          <w:color w:val="000000" w:themeColor="text1"/>
        </w:rPr>
      </w:pPr>
      <w:r>
        <w:t>Subsequent studies expanded this view. Huang and Benyoucef (2013) argued that brands must actively facilitate interaction to elevate engagement, while Su et al. (2021) showed that cultural orientation conditions how consumers evaluate brand extensions in virtual settings, indicating that engagement strategies are not culturally invariant, a consideration motivating our focus on the under-studied Indian market.</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proofErr w:type="spellStart"/>
      <w:proofErr w:type="spellEnd"/>
      <w:r>
        <w:t>Contemporary research connects flow to virtual brand experiences across several settings: e-commerce live streaming, where interactivity most strongly enhances flow (Wu et al., 2024); metaverse immersion in emerging markets (Liang et al., 2024); VR gaming, where deeper flow accelerates subjective time (Rutrecht et al., 2021); and short-video engagement (Lo and Lai, 2023). Building on this work, we use flow as the experiential mechanism linking immersive interaction to engagement and experience quality. Consistent with our scope condition, flow's antecedents (challenge-skill balance, clear goals, immediate feedback) are treated as theoretical mechanisms rather than separately measured variables.</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t>Flow Theory and SDT jointly illuminate the psychological foundations of metaverse engagement. Flow captures users' moment-to-moment immersion when challenge-skill balance, clear goals, and immediate feedback align, producing intense focused attention (Csikszentmihalyi, 1990). SDT explains why users choose to enter and remain in those states: autonomy supports self-directed exploration, competence drives mastery of in-world tasks, and relatedness sustains social interaction. The two mechanisms operate through the same metaverse activities, so we expect engagement (UE) and experience (UX) to function as mutually reinforcing, co-occurring antecedents of brand satisfaction (BSAT), which in turn supports brand success (BSUC). Because multiple need-satisfying and flow-inducing routes exist, our central expectation is equifinality: more than one configuration can produce brand success, and no single condition is indispensable.</w:t>
      </w:r>
    </w:p>
    <w:p>
      <w:r>
        <w:t>This reasoning yields five propositions, tested configurationally with fsQCA. P1: Higher user engagement is associated with higher brand satisfaction in the metaverse. P2: Higher user experience is associated with higher brand satisfaction. P3: User engagement and user experience are positively related and operate as complements rather than substitutes. P4: No single condition (UE, UX, or BSAT) is necessary for high brand success; brand success is produced by combinations of conditions. P5: The configuration combining brand satisfaction with both engagement and experience (BSAT × UX × UE) constitutes the most consistent pathway to high brand success. The conceptual model (Figure 3) summarises these expectations. Consistent with our scope condition, SDT's needs and Flow's antecedents are framing mechanisms rather than measured variables; the empirical model comprises four constructs: UE, UX, BSAT, and BSUC.</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t>This study applies FsQCA to investigate how engagement and experience influence brand perception, loyalty, differentiation, and competitive advantage in the metaverse. The novelty lies in contextualizing FsQCA within immersive, rapidly evolving environments, offering insights into branding strategies and decision-making. Translating variables into fuzzy sets allows nuanced measurement of membership scores (0–1), capturing partial set membership and degree of presence.</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candidate items were screened for conceptual fit with the four focal constructs and for demonstrated reliability in prior studies; only items with strong conceptual grounding and established psychometric performance were retained. Third, the refined items were administered in a survey capturing User Engagement (UE), User Experience (UX), Brand Satisfaction (BSAT), and Brand Success (BSUC). A pilot study confirmed item clarity and reliability prior to full-scale administration. The study is survey-based; no separate qualitative interview or focus-group stage is reported.</w:t>
      </w:r>
    </w:p>
    <w:p w14:paraId="0BE75A10" w14:textId="77777777" w:rsidR="00DB7208" w:rsidRPr="00DB7208" w:rsidRDefault="00DB7208" w:rsidP="00DB7208">
      <w:pPr>
        <w:spacing w:line="360" w:lineRule="auto"/>
        <w:ind w:firstLine="426"/>
        <w:jc w:val="both"/>
        <w:rPr>
          <w:color w:val="000000" w:themeColor="text1"/>
        </w:rPr>
      </w:pPr>
      <w:r>
        <w:t>Variable selection prioritised theoretical relevance and demonstrated reliability; only constructs with strong conceptual grounding and established psychometric performance were retained, and a pilot study confirmed item clarity and reliability before full-scale administration. This sequence, literature review, item screening, and quantitative validation, ensured that the measures robustly captured user engagement, experience, satisfaction, and brand success.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This study used multi-item reflective scales adapted from validated sources, each measured on a seven-point Likert scale (1 = strongly disagree, 7 = strongly agree). User engagement was measured with ten items adapted from the User Engagement Scale of O'Brien and Toms (2010), selecting items from its focused-attention, felt-involvement, endurability, and novelty dimensions, the dimensions most directly reflecting behavioural and cognitive involvement in metaverse activity. User experience was measured with ten items capturing presence/immersiveness, navigability, sensory quality, and authenticity, adapted from the VR presence and realism measures of Cadet and Chainay (2020) and the metaverse user-experience items of Basu et al. (2024); we explicitly do not attribute the experience scale to O'Brien and Toms (2010), which measures engagement rather than experience. Brand satisfaction was measured with five items adapted from Fornell et al. (1996), and brand success with four items adapted from the brand-outcomes literature (Mathwick et al., 2008). The complete item set, sources, and psychometric properties are consolidated in Table 1 (measurement items and sources) and Table 3 (loadings and reliability), so that content and construct validity can be evaluated directly.</w:t>
      </w:r>
    </w:p>
    <w:p>
      <w:r>
        <w:t>Table 1. Operationalization of Constructs and Measurement Items (seven-point Likert; BSAT = Brand Satisfaction; UE = User Engagement; UX = User Experience; BSUC = Brand Success)</w:t>
      </w:r>
    </w:p>
    <w:tbl>
      <w:tblPr>
        <w:tblW w:type="auto" w:w="0"/>
        <w:tblLook w:firstColumn="1" w:firstRow="1" w:lastColumn="0" w:lastRow="0" w:noHBand="0" w:noVBand="1" w:val="04A0"/>
      </w:tblPr>
      <w:tblGrid>
        <w:gridCol w:w="2256"/>
        <w:gridCol w:w="2256"/>
        <w:gridCol w:w="2256"/>
        <w:gridCol w:w="2256"/>
      </w:tblGrid>
      <w:tr>
        <w:tc>
          <w:tcPr>
            <w:tcW w:type="dxa" w:w="2256"/>
          </w:tcPr>
          <w:p>
            <w:r>
              <w:rPr>
                <w:b/>
              </w:rPr>
              <w:t>Construct</w:t>
            </w:r>
          </w:p>
        </w:tc>
        <w:tc>
          <w:tcPr>
            <w:tcW w:type="dxa" w:w="2256"/>
          </w:tcPr>
          <w:p>
            <w:r>
              <w:rPr>
                <w:b/>
              </w:rPr>
              <w:t>Item</w:t>
            </w:r>
          </w:p>
        </w:tc>
        <w:tc>
          <w:tcPr>
            <w:tcW w:type="dxa" w:w="2256"/>
          </w:tcPr>
          <w:p>
            <w:r>
              <w:rPr>
                <w:b/>
              </w:rPr>
              <w:t>Adapted wording</w:t>
            </w:r>
          </w:p>
        </w:tc>
        <w:tc>
          <w:tcPr>
            <w:tcW w:type="dxa" w:w="2256"/>
          </w:tcPr>
          <w:p>
            <w:r>
              <w:rPr>
                <w:b/>
              </w:rPr>
              <w:t>Source</w:t>
            </w:r>
          </w:p>
        </w:tc>
      </w:tr>
      <w:tr>
        <w:tc>
          <w:tcPr>
            <w:tcW w:type="dxa" w:w="2256"/>
          </w:tcPr>
          <w:p>
            <w:r>
              <w:t>BSAT</w:t>
            </w:r>
          </w:p>
        </w:tc>
        <w:tc>
          <w:tcPr>
            <w:tcW w:type="dxa" w:w="2256"/>
          </w:tcPr>
          <w:p>
            <w:r>
              <w:t>BSAT1</w:t>
            </w:r>
          </w:p>
        </w:tc>
        <w:tc>
          <w:tcPr>
            <w:tcW w:type="dxa" w:w="2256"/>
          </w:tcPr>
          <w:p>
            <w:r>
              <w:t>Overall, I am satisfied with this brand's presence in the metaverse.</w:t>
            </w:r>
          </w:p>
        </w:tc>
        <w:tc>
          <w:tcPr>
            <w:tcW w:type="dxa" w:w="2256"/>
          </w:tcPr>
          <w:p>
            <w:r>
              <w:t>Fornell et al. (1996)</w:t>
            </w:r>
          </w:p>
        </w:tc>
      </w:tr>
      <w:tr>
        <w:tc>
          <w:tcPr>
            <w:tcW w:type="dxa" w:w="2256"/>
          </w:tcPr>
          <w:p>
            <w:r>
              <w:t>BSAT</w:t>
            </w:r>
          </w:p>
        </w:tc>
        <w:tc>
          <w:tcPr>
            <w:tcW w:type="dxa" w:w="2256"/>
          </w:tcPr>
          <w:p>
            <w:r>
              <w:t>BSAT2</w:t>
            </w:r>
          </w:p>
        </w:tc>
        <w:tc>
          <w:tcPr>
            <w:tcW w:type="dxa" w:w="2256"/>
          </w:tcPr>
          <w:p>
            <w:r>
              <w:t>The brand's metaverse experience meets my expectations.</w:t>
            </w:r>
          </w:p>
        </w:tc>
        <w:tc>
          <w:tcPr>
            <w:tcW w:type="dxa" w:w="2256"/>
          </w:tcPr>
          <w:p>
            <w:r/>
          </w:p>
        </w:tc>
      </w:tr>
      <w:tr>
        <w:tc>
          <w:tcPr>
            <w:tcW w:type="dxa" w:w="2256"/>
          </w:tcPr>
          <w:p>
            <w:r>
              <w:t>BSAT</w:t>
            </w:r>
          </w:p>
        </w:tc>
        <w:tc>
          <w:tcPr>
            <w:tcW w:type="dxa" w:w="2256"/>
          </w:tcPr>
          <w:p>
            <w:r>
              <w:t>BSAT3</w:t>
            </w:r>
          </w:p>
        </w:tc>
        <w:tc>
          <w:tcPr>
            <w:tcW w:type="dxa" w:w="2256"/>
          </w:tcPr>
          <w:p>
            <w:r>
              <w:t>The brand's virtual offerings come close to my idea of an ideal brand experience.</w:t>
            </w:r>
          </w:p>
        </w:tc>
        <w:tc>
          <w:tcPr>
            <w:tcW w:type="dxa" w:w="2256"/>
          </w:tcPr>
          <w:p>
            <w:r/>
          </w:p>
        </w:tc>
      </w:tr>
      <w:tr>
        <w:tc>
          <w:tcPr>
            <w:tcW w:type="dxa" w:w="2256"/>
          </w:tcPr>
          <w:p>
            <w:r>
              <w:t>BSAT</w:t>
            </w:r>
          </w:p>
        </w:tc>
        <w:tc>
          <w:tcPr>
            <w:tcW w:type="dxa" w:w="2256"/>
          </w:tcPr>
          <w:p>
            <w:r>
              <w:t>BSAT4</w:t>
            </w:r>
          </w:p>
        </w:tc>
        <w:tc>
          <w:tcPr>
            <w:tcW w:type="dxa" w:w="2256"/>
          </w:tcPr>
          <w:p>
            <w:r>
              <w:t>I am satisfied with how the brand engages with me in virtual spaces.</w:t>
            </w:r>
          </w:p>
        </w:tc>
        <w:tc>
          <w:tcPr>
            <w:tcW w:type="dxa" w:w="2256"/>
          </w:tcPr>
          <w:p>
            <w:r/>
          </w:p>
        </w:tc>
      </w:tr>
      <w:tr>
        <w:tc>
          <w:tcPr>
            <w:tcW w:type="dxa" w:w="2256"/>
          </w:tcPr>
          <w:p>
            <w:r>
              <w:t>BSAT</w:t>
            </w:r>
          </w:p>
        </w:tc>
        <w:tc>
          <w:tcPr>
            <w:tcW w:type="dxa" w:w="2256"/>
          </w:tcPr>
          <w:p>
            <w:r>
              <w:t>BSAT5</w:t>
            </w:r>
          </w:p>
        </w:tc>
        <w:tc>
          <w:tcPr>
            <w:tcW w:type="dxa" w:w="2256"/>
          </w:tcPr>
          <w:p>
            <w:r>
              <w:t>My overall experience with the brand in the metaverse is satisfying.</w:t>
            </w:r>
          </w:p>
        </w:tc>
        <w:tc>
          <w:tcPr>
            <w:tcW w:type="dxa" w:w="2256"/>
          </w:tcPr>
          <w:p>
            <w:r/>
          </w:p>
        </w:tc>
      </w:tr>
      <w:tr>
        <w:tc>
          <w:tcPr>
            <w:tcW w:type="dxa" w:w="2256"/>
          </w:tcPr>
          <w:p>
            <w:r>
              <w:t>UE</w:t>
            </w:r>
          </w:p>
        </w:tc>
        <w:tc>
          <w:tcPr>
            <w:tcW w:type="dxa" w:w="2256"/>
          </w:tcPr>
          <w:p>
            <w:r>
              <w:t>UE1</w:t>
            </w:r>
          </w:p>
        </w:tc>
        <w:tc>
          <w:tcPr>
            <w:tcW w:type="dxa" w:w="2256"/>
          </w:tcPr>
          <w:p>
            <w:r>
              <w:t>I was absorbed in my activity within the metaverse. (focused attention)</w:t>
            </w:r>
          </w:p>
        </w:tc>
        <w:tc>
          <w:tcPr>
            <w:tcW w:type="dxa" w:w="2256"/>
          </w:tcPr>
          <w:p>
            <w:r>
              <w:t>O'Brien &amp; Toms (2010)</w:t>
            </w:r>
          </w:p>
        </w:tc>
      </w:tr>
      <w:tr>
        <w:tc>
          <w:tcPr>
            <w:tcW w:type="dxa" w:w="2256"/>
          </w:tcPr>
          <w:p>
            <w:r>
              <w:t>UE</w:t>
            </w:r>
          </w:p>
        </w:tc>
        <w:tc>
          <w:tcPr>
            <w:tcW w:type="dxa" w:w="2256"/>
          </w:tcPr>
          <w:p>
            <w:r>
              <w:t>UE2</w:t>
            </w:r>
          </w:p>
        </w:tc>
        <w:tc>
          <w:tcPr>
            <w:tcW w:type="dxa" w:w="2256"/>
          </w:tcPr>
          <w:p>
            <w:r>
              <w:t>I lost track of time while engaging in the virtual environment. (focused attention)</w:t>
            </w:r>
          </w:p>
        </w:tc>
        <w:tc>
          <w:tcPr>
            <w:tcW w:type="dxa" w:w="2256"/>
          </w:tcPr>
          <w:p>
            <w:r/>
          </w:p>
        </w:tc>
      </w:tr>
      <w:tr>
        <w:tc>
          <w:tcPr>
            <w:tcW w:type="dxa" w:w="2256"/>
          </w:tcPr>
          <w:p>
            <w:r>
              <w:t>UE</w:t>
            </w:r>
          </w:p>
        </w:tc>
        <w:tc>
          <w:tcPr>
            <w:tcW w:type="dxa" w:w="2256"/>
          </w:tcPr>
          <w:p>
            <w:r>
              <w:t>UE3</w:t>
            </w:r>
          </w:p>
        </w:tc>
        <w:tc>
          <w:tcPr>
            <w:tcW w:type="dxa" w:w="2256"/>
          </w:tcPr>
          <w:p>
            <w:r>
              <w:t>I was so involved that I forgot about my immediate surroundings. (focused attention)</w:t>
            </w:r>
          </w:p>
        </w:tc>
        <w:tc>
          <w:tcPr>
            <w:tcW w:type="dxa" w:w="2256"/>
          </w:tcPr>
          <w:p>
            <w:r/>
          </w:p>
        </w:tc>
      </w:tr>
      <w:tr>
        <w:tc>
          <w:tcPr>
            <w:tcW w:type="dxa" w:w="2256"/>
          </w:tcPr>
          <w:p>
            <w:r>
              <w:t>UE</w:t>
            </w:r>
          </w:p>
        </w:tc>
        <w:tc>
          <w:tcPr>
            <w:tcW w:type="dxa" w:w="2256"/>
          </w:tcPr>
          <w:p>
            <w:r>
              <w:t>UE4</w:t>
            </w:r>
          </w:p>
        </w:tc>
        <w:tc>
          <w:tcPr>
            <w:tcW w:type="dxa" w:w="2256"/>
          </w:tcPr>
          <w:p>
            <w:r>
              <w:t>My interaction in the metaverse was fun. (felt involvement)</w:t>
            </w:r>
          </w:p>
        </w:tc>
        <w:tc>
          <w:tcPr>
            <w:tcW w:type="dxa" w:w="2256"/>
          </w:tcPr>
          <w:p>
            <w:r/>
          </w:p>
        </w:tc>
      </w:tr>
      <w:tr>
        <w:tc>
          <w:tcPr>
            <w:tcW w:type="dxa" w:w="2256"/>
          </w:tcPr>
          <w:p>
            <w:r>
              <w:t>UE</w:t>
            </w:r>
          </w:p>
        </w:tc>
        <w:tc>
          <w:tcPr>
            <w:tcW w:type="dxa" w:w="2256"/>
          </w:tcPr>
          <w:p>
            <w:r>
              <w:t>UE5</w:t>
            </w:r>
          </w:p>
        </w:tc>
        <w:tc>
          <w:tcPr>
            <w:tcW w:type="dxa" w:w="2256"/>
          </w:tcPr>
          <w:p>
            <w:r>
              <w:t>I felt involved in the brand's virtual activities. (felt involvement)</w:t>
            </w:r>
          </w:p>
        </w:tc>
        <w:tc>
          <w:tcPr>
            <w:tcW w:type="dxa" w:w="2256"/>
          </w:tcPr>
          <w:p>
            <w:r/>
          </w:p>
        </w:tc>
      </w:tr>
      <w:tr>
        <w:tc>
          <w:tcPr>
            <w:tcW w:type="dxa" w:w="2256"/>
          </w:tcPr>
          <w:p>
            <w:r>
              <w:t>UE</w:t>
            </w:r>
          </w:p>
        </w:tc>
        <w:tc>
          <w:tcPr>
            <w:tcW w:type="dxa" w:w="2256"/>
          </w:tcPr>
          <w:p>
            <w:r>
              <w:t>UE6</w:t>
            </w:r>
          </w:p>
        </w:tc>
        <w:tc>
          <w:tcPr>
            <w:tcW w:type="dxa" w:w="2256"/>
          </w:tcPr>
          <w:p>
            <w:r>
              <w:t>The experience was rewarding. (felt involvement)</w:t>
            </w:r>
          </w:p>
        </w:tc>
        <w:tc>
          <w:tcPr>
            <w:tcW w:type="dxa" w:w="2256"/>
          </w:tcPr>
          <w:p>
            <w:r/>
          </w:p>
        </w:tc>
      </w:tr>
      <w:tr>
        <w:tc>
          <w:tcPr>
            <w:tcW w:type="dxa" w:w="2256"/>
          </w:tcPr>
          <w:p>
            <w:r>
              <w:t>UE</w:t>
            </w:r>
          </w:p>
        </w:tc>
        <w:tc>
          <w:tcPr>
            <w:tcW w:type="dxa" w:w="2256"/>
          </w:tcPr>
          <w:p>
            <w:r>
              <w:t>UE7</w:t>
            </w:r>
          </w:p>
        </w:tc>
        <w:tc>
          <w:tcPr>
            <w:tcW w:type="dxa" w:w="2256"/>
          </w:tcPr>
          <w:p>
            <w:r>
              <w:t>The experience was worthwhile. (endurability)</w:t>
            </w:r>
          </w:p>
        </w:tc>
        <w:tc>
          <w:tcPr>
            <w:tcW w:type="dxa" w:w="2256"/>
          </w:tcPr>
          <w:p>
            <w:r/>
          </w:p>
        </w:tc>
      </w:tr>
      <w:tr>
        <w:tc>
          <w:tcPr>
            <w:tcW w:type="dxa" w:w="2256"/>
          </w:tcPr>
          <w:p>
            <w:r>
              <w:t>UE</w:t>
            </w:r>
          </w:p>
        </w:tc>
        <w:tc>
          <w:tcPr>
            <w:tcW w:type="dxa" w:w="2256"/>
          </w:tcPr>
          <w:p>
            <w:r>
              <w:t>UE8</w:t>
            </w:r>
          </w:p>
        </w:tc>
        <w:tc>
          <w:tcPr>
            <w:tcW w:type="dxa" w:w="2256"/>
          </w:tcPr>
          <w:p>
            <w:r>
              <w:t>I would recommend this metaverse activity to others. (endurability)</w:t>
            </w:r>
          </w:p>
        </w:tc>
        <w:tc>
          <w:tcPr>
            <w:tcW w:type="dxa" w:w="2256"/>
          </w:tcPr>
          <w:p>
            <w:r/>
          </w:p>
        </w:tc>
      </w:tr>
      <w:tr>
        <w:tc>
          <w:tcPr>
            <w:tcW w:type="dxa" w:w="2256"/>
          </w:tcPr>
          <w:p>
            <w:r>
              <w:t>UE</w:t>
            </w:r>
          </w:p>
        </w:tc>
        <w:tc>
          <w:tcPr>
            <w:tcW w:type="dxa" w:w="2256"/>
          </w:tcPr>
          <w:p>
            <w:r>
              <w:t>UE9</w:t>
            </w:r>
          </w:p>
        </w:tc>
        <w:tc>
          <w:tcPr>
            <w:tcW w:type="dxa" w:w="2256"/>
          </w:tcPr>
          <w:p>
            <w:r>
              <w:t>I was curious to explore the brand's virtual environment. (novelty)</w:t>
            </w:r>
          </w:p>
        </w:tc>
        <w:tc>
          <w:tcPr>
            <w:tcW w:type="dxa" w:w="2256"/>
          </w:tcPr>
          <w:p>
            <w:r/>
          </w:p>
        </w:tc>
      </w:tr>
      <w:tr>
        <w:tc>
          <w:tcPr>
            <w:tcW w:type="dxa" w:w="2256"/>
          </w:tcPr>
          <w:p>
            <w:r>
              <w:t>UE</w:t>
            </w:r>
          </w:p>
        </w:tc>
        <w:tc>
          <w:tcPr>
            <w:tcW w:type="dxa" w:w="2256"/>
          </w:tcPr>
          <w:p>
            <w:r>
              <w:t>UE10</w:t>
            </w:r>
          </w:p>
        </w:tc>
        <w:tc>
          <w:tcPr>
            <w:tcW w:type="dxa" w:w="2256"/>
          </w:tcPr>
          <w:p>
            <w:r>
              <w:t>The activities aroused my interest. (novelty)</w:t>
            </w:r>
          </w:p>
        </w:tc>
        <w:tc>
          <w:tcPr>
            <w:tcW w:type="dxa" w:w="2256"/>
          </w:tcPr>
          <w:p>
            <w:r/>
          </w:p>
        </w:tc>
      </w:tr>
      <w:tr>
        <w:tc>
          <w:tcPr>
            <w:tcW w:type="dxa" w:w="2256"/>
          </w:tcPr>
          <w:p>
            <w:r>
              <w:t>UX</w:t>
            </w:r>
          </w:p>
        </w:tc>
        <w:tc>
          <w:tcPr>
            <w:tcW w:type="dxa" w:w="2256"/>
          </w:tcPr>
          <w:p>
            <w:r>
              <w:t>UX1</w:t>
            </w:r>
          </w:p>
        </w:tc>
        <w:tc>
          <w:tcPr>
            <w:tcW w:type="dxa" w:w="2256"/>
          </w:tcPr>
          <w:p>
            <w:r>
              <w:t>I felt as though I was actually present in the virtual environment. (presence)</w:t>
            </w:r>
          </w:p>
        </w:tc>
        <w:tc>
          <w:tcPr>
            <w:tcW w:type="dxa" w:w="2256"/>
          </w:tcPr>
          <w:p>
            <w:r>
              <w:t>Cadet &amp; Chainay (2020); Basu et al. (2024)</w:t>
            </w:r>
          </w:p>
        </w:tc>
      </w:tr>
      <w:tr>
        <w:tc>
          <w:tcPr>
            <w:tcW w:type="dxa" w:w="2256"/>
          </w:tcPr>
          <w:p>
            <w:r>
              <w:t>UX</w:t>
            </w:r>
          </w:p>
        </w:tc>
        <w:tc>
          <w:tcPr>
            <w:tcW w:type="dxa" w:w="2256"/>
          </w:tcPr>
          <w:p>
            <w:r>
              <w:t>UX2</w:t>
            </w:r>
          </w:p>
        </w:tc>
        <w:tc>
          <w:tcPr>
            <w:tcW w:type="dxa" w:w="2256"/>
          </w:tcPr>
          <w:p>
            <w:r>
              <w:t>The metaverse environment felt real to me. (presence)</w:t>
            </w:r>
          </w:p>
        </w:tc>
        <w:tc>
          <w:tcPr>
            <w:tcW w:type="dxa" w:w="2256"/>
          </w:tcPr>
          <w:p>
            <w:r/>
          </w:p>
        </w:tc>
      </w:tr>
      <w:tr>
        <w:tc>
          <w:tcPr>
            <w:tcW w:type="dxa" w:w="2256"/>
          </w:tcPr>
          <w:p>
            <w:r>
              <w:t>UX</w:t>
            </w:r>
          </w:p>
        </w:tc>
        <w:tc>
          <w:tcPr>
            <w:tcW w:type="dxa" w:w="2256"/>
          </w:tcPr>
          <w:p>
            <w:r>
              <w:t>UX3</w:t>
            </w:r>
          </w:p>
        </w:tc>
        <w:tc>
          <w:tcPr>
            <w:tcW w:type="dxa" w:w="2256"/>
          </w:tcPr>
          <w:p>
            <w:r>
              <w:t>I felt surrounded by the virtual world. (presence)</w:t>
            </w:r>
          </w:p>
        </w:tc>
        <w:tc>
          <w:tcPr>
            <w:tcW w:type="dxa" w:w="2256"/>
          </w:tcPr>
          <w:p>
            <w:r/>
          </w:p>
        </w:tc>
      </w:tr>
      <w:tr>
        <w:tc>
          <w:tcPr>
            <w:tcW w:type="dxa" w:w="2256"/>
          </w:tcPr>
          <w:p>
            <w:r>
              <w:t>UX</w:t>
            </w:r>
          </w:p>
        </w:tc>
        <w:tc>
          <w:tcPr>
            <w:tcW w:type="dxa" w:w="2256"/>
          </w:tcPr>
          <w:p>
            <w:r>
              <w:t>UX4</w:t>
            </w:r>
          </w:p>
        </w:tc>
        <w:tc>
          <w:tcPr>
            <w:tcW w:type="dxa" w:w="2256"/>
          </w:tcPr>
          <w:p>
            <w:r>
              <w:t>It was easy to move and navigate within the metaverse. (navigability)</w:t>
            </w:r>
          </w:p>
        </w:tc>
        <w:tc>
          <w:tcPr>
            <w:tcW w:type="dxa" w:w="2256"/>
          </w:tcPr>
          <w:p>
            <w:r/>
          </w:p>
        </w:tc>
      </w:tr>
      <w:tr>
        <w:tc>
          <w:tcPr>
            <w:tcW w:type="dxa" w:w="2256"/>
          </w:tcPr>
          <w:p>
            <w:r>
              <w:t>UX</w:t>
            </w:r>
          </w:p>
        </w:tc>
        <w:tc>
          <w:tcPr>
            <w:tcW w:type="dxa" w:w="2256"/>
          </w:tcPr>
          <w:p>
            <w:r>
              <w:t>UX5</w:t>
            </w:r>
          </w:p>
        </w:tc>
        <w:tc>
          <w:tcPr>
            <w:tcW w:type="dxa" w:w="2256"/>
          </w:tcPr>
          <w:p>
            <w:r>
              <w:t>Interacting with objects in the environment was intuitive. (navigability)</w:t>
            </w:r>
          </w:p>
        </w:tc>
        <w:tc>
          <w:tcPr>
            <w:tcW w:type="dxa" w:w="2256"/>
          </w:tcPr>
          <w:p>
            <w:r/>
          </w:p>
        </w:tc>
      </w:tr>
      <w:tr>
        <w:tc>
          <w:tcPr>
            <w:tcW w:type="dxa" w:w="2256"/>
          </w:tcPr>
          <w:p>
            <w:r>
              <w:t>UX</w:t>
            </w:r>
          </w:p>
        </w:tc>
        <w:tc>
          <w:tcPr>
            <w:tcW w:type="dxa" w:w="2256"/>
          </w:tcPr>
          <w:p>
            <w:r>
              <w:t>UX6</w:t>
            </w:r>
          </w:p>
        </w:tc>
        <w:tc>
          <w:tcPr>
            <w:tcW w:type="dxa" w:w="2256"/>
          </w:tcPr>
          <w:p>
            <w:r>
              <w:t>The environment responded the way I expected. (navigability)</w:t>
            </w:r>
          </w:p>
        </w:tc>
        <w:tc>
          <w:tcPr>
            <w:tcW w:type="dxa" w:w="2256"/>
          </w:tcPr>
          <w:p>
            <w:r/>
          </w:p>
        </w:tc>
      </w:tr>
      <w:tr>
        <w:tc>
          <w:tcPr>
            <w:tcW w:type="dxa" w:w="2256"/>
          </w:tcPr>
          <w:p>
            <w:r>
              <w:t>UX</w:t>
            </w:r>
          </w:p>
        </w:tc>
        <w:tc>
          <w:tcPr>
            <w:tcW w:type="dxa" w:w="2256"/>
          </w:tcPr>
          <w:p>
            <w:r>
              <w:t>UX7</w:t>
            </w:r>
          </w:p>
        </w:tc>
        <w:tc>
          <w:tcPr>
            <w:tcW w:type="dxa" w:w="2256"/>
          </w:tcPr>
          <w:p>
            <w:r>
              <w:t>The visual quality of the environment was high. (sensory quality)</w:t>
            </w:r>
          </w:p>
        </w:tc>
        <w:tc>
          <w:tcPr>
            <w:tcW w:type="dxa" w:w="2256"/>
          </w:tcPr>
          <w:p>
            <w:r/>
          </w:p>
        </w:tc>
      </w:tr>
      <w:tr>
        <w:tc>
          <w:tcPr>
            <w:tcW w:type="dxa" w:w="2256"/>
          </w:tcPr>
          <w:p>
            <w:r>
              <w:t>UX</w:t>
            </w:r>
          </w:p>
        </w:tc>
        <w:tc>
          <w:tcPr>
            <w:tcW w:type="dxa" w:w="2256"/>
          </w:tcPr>
          <w:p>
            <w:r>
              <w:t>UX8</w:t>
            </w:r>
          </w:p>
        </w:tc>
        <w:tc>
          <w:tcPr>
            <w:tcW w:type="dxa" w:w="2256"/>
          </w:tcPr>
          <w:p>
            <w:r>
              <w:t>The audio-visual richness enhanced my experience. (sensory quality)</w:t>
            </w:r>
          </w:p>
        </w:tc>
        <w:tc>
          <w:tcPr>
            <w:tcW w:type="dxa" w:w="2256"/>
          </w:tcPr>
          <w:p>
            <w:r/>
          </w:p>
        </w:tc>
      </w:tr>
      <w:tr>
        <w:tc>
          <w:tcPr>
            <w:tcW w:type="dxa" w:w="2256"/>
          </w:tcPr>
          <w:p>
            <w:r>
              <w:t>UX</w:t>
            </w:r>
          </w:p>
        </w:tc>
        <w:tc>
          <w:tcPr>
            <w:tcW w:type="dxa" w:w="2256"/>
          </w:tcPr>
          <w:p>
            <w:r>
              <w:t>UX9</w:t>
            </w:r>
          </w:p>
        </w:tc>
        <w:tc>
          <w:tcPr>
            <w:tcW w:type="dxa" w:w="2256"/>
          </w:tcPr>
          <w:p>
            <w:r>
              <w:t>The virtual environment authentically reflected real-world experience. (authenticity)</w:t>
            </w:r>
          </w:p>
        </w:tc>
        <w:tc>
          <w:tcPr>
            <w:tcW w:type="dxa" w:w="2256"/>
          </w:tcPr>
          <w:p>
            <w:r/>
          </w:p>
        </w:tc>
      </w:tr>
      <w:tr>
        <w:tc>
          <w:tcPr>
            <w:tcW w:type="dxa" w:w="2256"/>
          </w:tcPr>
          <w:p>
            <w:r>
              <w:t>UX</w:t>
            </w:r>
          </w:p>
        </w:tc>
        <w:tc>
          <w:tcPr>
            <w:tcW w:type="dxa" w:w="2256"/>
          </w:tcPr>
          <w:p>
            <w:r>
              <w:t>UX10</w:t>
            </w:r>
          </w:p>
        </w:tc>
        <w:tc>
          <w:tcPr>
            <w:tcW w:type="dxa" w:w="2256"/>
          </w:tcPr>
          <w:p>
            <w:r>
              <w:t>The brand's virtual space felt coherent and believable. (authenticity)</w:t>
            </w:r>
          </w:p>
        </w:tc>
        <w:tc>
          <w:tcPr>
            <w:tcW w:type="dxa" w:w="2256"/>
          </w:tcPr>
          <w:p>
            <w:r/>
          </w:p>
        </w:tc>
      </w:tr>
      <w:tr>
        <w:tc>
          <w:tcPr>
            <w:tcW w:type="dxa" w:w="2256"/>
          </w:tcPr>
          <w:p>
            <w:r>
              <w:t>BSUC</w:t>
            </w:r>
          </w:p>
        </w:tc>
        <w:tc>
          <w:tcPr>
            <w:tcW w:type="dxa" w:w="2256"/>
          </w:tcPr>
          <w:p>
            <w:r>
              <w:t>BSUC1</w:t>
            </w:r>
          </w:p>
        </w:tc>
        <w:tc>
          <w:tcPr>
            <w:tcW w:type="dxa" w:w="2256"/>
          </w:tcPr>
          <w:p>
            <w:r>
              <w:t>This brand stands out from competitors in the metaverse.</w:t>
            </w:r>
          </w:p>
        </w:tc>
        <w:tc>
          <w:tcPr>
            <w:tcW w:type="dxa" w:w="2256"/>
          </w:tcPr>
          <w:p>
            <w:r>
              <w:t>Mathwick et al. (2008)</w:t>
            </w:r>
          </w:p>
        </w:tc>
      </w:tr>
      <w:tr>
        <w:tc>
          <w:tcPr>
            <w:tcW w:type="dxa" w:w="2256"/>
          </w:tcPr>
          <w:p>
            <w:r>
              <w:t>BSUC</w:t>
            </w:r>
          </w:p>
        </w:tc>
        <w:tc>
          <w:tcPr>
            <w:tcW w:type="dxa" w:w="2256"/>
          </w:tcPr>
          <w:p>
            <w:r>
              <w:t>BSUC2</w:t>
            </w:r>
          </w:p>
        </w:tc>
        <w:tc>
          <w:tcPr>
            <w:tcW w:type="dxa" w:w="2256"/>
          </w:tcPr>
          <w:p>
            <w:r>
              <w:t>I am more likely to choose this brand because of its metaverse presence.</w:t>
            </w:r>
          </w:p>
        </w:tc>
        <w:tc>
          <w:tcPr>
            <w:tcW w:type="dxa" w:w="2256"/>
          </w:tcPr>
          <w:p>
            <w:r/>
          </w:p>
        </w:tc>
      </w:tr>
      <w:tr>
        <w:tc>
          <w:tcPr>
            <w:tcW w:type="dxa" w:w="2256"/>
          </w:tcPr>
          <w:p>
            <w:r>
              <w:t>BSUC</w:t>
            </w:r>
          </w:p>
        </w:tc>
        <w:tc>
          <w:tcPr>
            <w:tcW w:type="dxa" w:w="2256"/>
          </w:tcPr>
          <w:p>
            <w:r>
              <w:t>BSUC3</w:t>
            </w:r>
          </w:p>
        </w:tc>
        <w:tc>
          <w:tcPr>
            <w:tcW w:type="dxa" w:w="2256"/>
          </w:tcPr>
          <w:p>
            <w:r>
              <w:t>The brand has gained a competitive advantage through its metaverse activities.</w:t>
            </w:r>
          </w:p>
        </w:tc>
        <w:tc>
          <w:tcPr>
            <w:tcW w:type="dxa" w:w="2256"/>
          </w:tcPr>
          <w:p>
            <w:r/>
          </w:p>
        </w:tc>
      </w:tr>
      <w:tr>
        <w:tc>
          <w:tcPr>
            <w:tcW w:type="dxa" w:w="2256"/>
          </w:tcPr>
          <w:p>
            <w:r>
              <w:t>BSUC</w:t>
            </w:r>
          </w:p>
        </w:tc>
        <w:tc>
          <w:tcPr>
            <w:tcW w:type="dxa" w:w="2256"/>
          </w:tcPr>
          <w:p>
            <w:r>
              <w:t>BSUC4</w:t>
            </w:r>
          </w:p>
        </w:tc>
        <w:tc>
          <w:tcPr>
            <w:tcW w:type="dxa" w:w="2256"/>
          </w:tcPr>
          <w:p>
            <w:r>
              <w:t>I would advocate for this brand within virtual communities.</w:t>
            </w:r>
          </w:p>
        </w:tc>
        <w:tc>
          <w:tcPr>
            <w:tcW w:type="dxa" w:w="2256"/>
          </w:tcPr>
          <w:p>
            <w:r/>
          </w:p>
        </w:tc>
      </w:tr>
    </w:tbl>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proofErr w:type="spellStart"/>
      <w:proofErr w:type="spellEnd"/>
      <w:proofErr w:type="spellStart"/>
      <w:proofErr w:type="spellEnd"/>
      <w:r>
        <w:t>The Sandbox focuses on voxel-based content creation, enabling users to design, own, and monetise experiences, and has hosted brand activations such as Adidas NFT launches (Brandes and Dolp, 2025). Across these platforms, the study consistently classifies brand-relevant metaverse activity into four types: (1) digital-asset (NFT) activity, through which users acquire and display branded items linked to virtual identity (Lee and Shen, 2024); (2) social interaction, through which avatar-based community building occurs (Hennig-Thurau et al., 2023); (3) content creation, through which users contribute to the virtual ecosystem (Bilgihan et al., 2024); and (4) virtual events. These activity types define the stratification used in sampling.</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We used stratified random sampling to enhance representativeness and limit sampling bias. In cooperation with metaverse platforms spanning gaming, social, and creative environments, a sampling frame of active users was assembled and stratified by primary activity type (digital-asset activity, social interaction, content creation, and virtual events). From this frame, 600 eligible users, defined as those active on a metaverse platform within the prior three months, were randomly invited; 312 provided complete and consenting responses, a 52 percent response rate, with balanced representation across strata. This probability-based design supports the configurational analysis that follows. We acknowledge that sampling active users limits generalization to casual or prospective users (see Section 8).</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t>Descriptive analysis was conducted using IBM SPSS 25.0 to examine the social and demographic backgrounds of 312 respondents (see Table 2).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t>Table 2: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Measurement quality was assessed with PLS-SEM in SmartPLS. Standardized factor loadings ranged from 0.661 to 0.741 and were significant (p &lt; .001), exceeding the 0.60 benchmark (Bagozzi and Yi, 1988). Internal consistency was high: Cronbach's alpha was 0.970 for Brand Satisfaction (BSAT), 0.982 for User Engagement (UE), 0.983 for User Experience (UX), and 0.959 for Brand Success (BSUC), and composite reliability exceeded 0.95 for all constructs (Hair et al., 2019). Full item-level statistics are reported in Table 3.</w:t>
      </w:r>
    </w:p>
    <w:p w14:paraId="03D44352" w14:textId="41D762AE" w:rsidR="002B4CA4" w:rsidRDefault="002B4CA4" w:rsidP="002B4CA4">
      <w:pPr>
        <w:spacing w:line="360" w:lineRule="auto"/>
        <w:jc w:val="both"/>
        <w:rPr>
          <w:color w:val="000000" w:themeColor="text1"/>
        </w:rPr>
      </w:pPr>
      <w:proofErr w:type="spellStart"/>
      <w:proofErr w:type="spellEnd"/>
      <w:r>
        <w:t>Average variance extracted (AVE) was 0.865 (BSAT), 0.848 (UE), 0.855 (UX), and 0.854 (BSUC), all above 0.50 (Fornell and Larcker, 1981). We state the inferential role of AVE precisely: an AVE above 0.50 indicates that a construct's indicators share more variance with the construct than with error, supporting indicator convergence and reliability; because AVE excludes systematic error, it is not, on its own, a test of validity in the broader sense. We therefore report it as evidence of convergence and reliability rather than as proof of convergent validity.</w:t>
      </w:r>
    </w:p>
    <w:p w14:paraId="1C824C0E" w14:textId="77777777" w:rsidR="0069183E" w:rsidRDefault="0069183E" w:rsidP="0069183E">
      <w:pPr>
        <w:spacing w:line="360" w:lineRule="auto"/>
        <w:ind w:firstLine="426"/>
        <w:jc w:val="both"/>
        <w:rPr>
          <w:color w:val="000000" w:themeColor="text1"/>
        </w:rPr>
      </w:pPr>
      <w:r>
        <w:t>Because the data are self-reported through a single instrument, common method bias was assessed using multiple procedures rather than a single test. Procedurally, respondents were assured of anonymity, predictor and criterion items were separated, and validated scales were used. Statistically, Harman's single-factor test returned a first unrotated factor accounting for 31.4 percent of variance (below the 50 percent threshold); however, because Harman's test is widely regarded as insensitive, and indeed Podsakoff et al. (2003) caution against relying on it, we do not treat it as sufficient. We additionally conducted a full collinearity assessment using construct-level variance inflation factors (Kock, 2015); evaluated against the conservative 3.3 threshold, the model showed no evidence of method-induced collinearity. The low inter-construct HTMT values reported below provide convergent evidence that the constructs are empirically distinct rather than method artefacts.</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now standard practice in PLS-SEM (Henseler et al., 2015). All HTMT values fell below the conservative 0.85 threshold, the highest being 0.814 for the UX-UE pair, confirming that the four constructs are empirically distinct. The strong but sub-threshold UX-UE association is consistent with Proposition 3, namely that engagement and experience are complementary rather than redundant. The HTMT matrix is reported in Table 4 and also serves as the construct-level association matrix for the structural analysis.</w:t>
      </w:r>
    </w:p>
    <w:p w14:paraId="58CA10C4" w14:textId="1EA0E448" w:rsidR="003C57F3" w:rsidRPr="006D3229" w:rsidRDefault="004653A9" w:rsidP="005A1FB3">
      <w:pPr>
        <w:spacing w:line="360" w:lineRule="auto"/>
        <w:jc w:val="both"/>
        <w:rPr>
          <w:b/>
          <w:bCs/>
          <w:i/>
          <w:iCs/>
          <w:color w:val="000000" w:themeColor="text1"/>
        </w:rPr>
      </w:pPr>
      <w:r>
        <w:t>Table 3. Reliability and Convergent-Convergence Statistics (Standardised Loadings, Cronbach's Alpha, Composite Reliability, and AVE)</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14:paraId="59EF6663" w14:textId="77777777" w:rsidR="00EB6D56" w:rsidRDefault="00EB6D56" w:rsidP="00B31225">
            <w:pPr>
              <w:jc w:val="center"/>
              <w:rPr>
                <w:b/>
                <w:bCs/>
                <w:i/>
                <w:iCs/>
                <w:color w:val="000000" w:themeColor="text1"/>
                <w:sz w:val="20"/>
                <w:szCs w:val="20"/>
              </w:rPr>
            </w:pPr>
          </w:p>
          <w:p w14:paraId="07CF3E9D" w14:textId="77777777" w:rsidR="00EB6D56" w:rsidRDefault="00EB6D56" w:rsidP="00B31225">
            <w:pPr>
              <w:jc w:val="center"/>
              <w:rPr>
                <w:b/>
                <w:bCs/>
                <w:i/>
                <w:iCs/>
                <w:color w:val="000000" w:themeColor="text1"/>
                <w:sz w:val="20"/>
                <w:szCs w:val="20"/>
              </w:rPr>
            </w:pPr>
          </w:p>
          <w:p w14:paraId="3A580ACD" w14:textId="77777777" w:rsidR="00EB6D56" w:rsidRDefault="00EB6D56" w:rsidP="00B31225">
            <w:pPr>
              <w:jc w:val="center"/>
              <w:rPr>
                <w:b/>
                <w:bCs/>
                <w:i/>
                <w:iCs/>
                <w:color w:val="000000" w:themeColor="text1"/>
                <w:sz w:val="20"/>
                <w:szCs w:val="20"/>
              </w:rPr>
            </w:pPr>
          </w:p>
          <w:p w14:paraId="285C4314" w14:textId="2357A8EE" w:rsidR="00EB6D56" w:rsidRPr="003D7AFA" w:rsidRDefault="00EB6D56" w:rsidP="00B31225">
            <w:pPr>
              <w:rPr>
                <w:b/>
                <w:bCs/>
                <w:i/>
                <w:iCs/>
                <w:color w:val="000000" w:themeColor="text1"/>
                <w:sz w:val="20"/>
                <w:szCs w:val="20"/>
              </w:rPr>
            </w:pPr>
            <w:r>
              <w:rPr>
                <w:b/>
                <w:bCs/>
                <w:i/>
                <w:iCs/>
                <w:color w:val="000000" w:themeColor="text1"/>
                <w:sz w:val="20"/>
                <w:szCs w:val="20"/>
              </w:rPr>
              <w:t>0.970</w:t>
            </w:r>
          </w:p>
        </w:tc>
        <w:tc>
          <w:tcPr>
            <w:tcW w:w="525" w:type="pct"/>
            <w:vMerge w:val="restart"/>
            <w:tcBorders>
              <w:top w:val="nil"/>
              <w:left w:val="nil"/>
              <w:right w:val="nil"/>
            </w:tcBorders>
            <w:tcMar>
              <w:top w:w="120" w:type="dxa"/>
              <w:left w:w="120" w:type="dxa"/>
              <w:bottom w:w="30" w:type="dxa"/>
              <w:right w:w="300" w:type="dxa"/>
            </w:tcMar>
          </w:tcPr>
          <w:p w14:paraId="15F71C0C" w14:textId="77777777" w:rsidR="00EB6D56" w:rsidRDefault="00EB6D56" w:rsidP="00B31225">
            <w:pPr>
              <w:jc w:val="both"/>
              <w:rPr>
                <w:b/>
                <w:bCs/>
                <w:i/>
                <w:iCs/>
                <w:color w:val="000000" w:themeColor="text1"/>
                <w:sz w:val="20"/>
                <w:szCs w:val="20"/>
              </w:rPr>
            </w:pPr>
          </w:p>
          <w:p w14:paraId="284F8A2D" w14:textId="77777777" w:rsidR="00EB6D56" w:rsidRPr="00EB6D56" w:rsidRDefault="00EB6D56" w:rsidP="00EB6D56">
            <w:pPr>
              <w:rPr>
                <w:sz w:val="20"/>
                <w:szCs w:val="20"/>
              </w:rPr>
            </w:pPr>
          </w:p>
          <w:p w14:paraId="2BD5FA9E" w14:textId="77777777" w:rsidR="00EB6D56" w:rsidRDefault="00EB6D56" w:rsidP="00EB6D56">
            <w:pPr>
              <w:rPr>
                <w:b/>
                <w:bCs/>
                <w:i/>
                <w:iCs/>
                <w:color w:val="000000" w:themeColor="text1"/>
                <w:sz w:val="20"/>
                <w:szCs w:val="20"/>
              </w:rPr>
            </w:pPr>
          </w:p>
          <w:p w14:paraId="76861F18" w14:textId="79EE8A23" w:rsidR="00EB6D56" w:rsidRPr="003D7AFA" w:rsidRDefault="00EB6D56" w:rsidP="00EB6D56">
            <w:pPr>
              <w:rPr>
                <w:sz w:val="20"/>
                <w:szCs w:val="20"/>
              </w:rPr>
            </w:pPr>
            <w:r w:rsidRPr="00EB6D56">
              <w:rPr>
                <w:b/>
                <w:bCs/>
                <w:i/>
                <w:iCs/>
                <w:color w:val="000000" w:themeColor="text1"/>
                <w:sz w:val="20"/>
                <w:szCs w:val="20"/>
              </w:rPr>
              <w:t>0.865</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14:paraId="45FA7CA7" w14:textId="77777777" w:rsidR="00EB6D56" w:rsidRDefault="00EB6D56" w:rsidP="00B31225">
            <w:pPr>
              <w:jc w:val="both"/>
              <w:rPr>
                <w:b/>
                <w:bCs/>
                <w:i/>
                <w:iCs/>
                <w:color w:val="000000" w:themeColor="text1"/>
                <w:sz w:val="20"/>
                <w:szCs w:val="20"/>
              </w:rPr>
            </w:pPr>
          </w:p>
          <w:p w14:paraId="79C48F9F" w14:textId="77777777" w:rsidR="00EB6D56" w:rsidRDefault="00EB6D56" w:rsidP="00B31225">
            <w:pPr>
              <w:jc w:val="both"/>
              <w:rPr>
                <w:b/>
                <w:bCs/>
                <w:i/>
                <w:iCs/>
                <w:color w:val="000000" w:themeColor="text1"/>
                <w:sz w:val="20"/>
                <w:szCs w:val="20"/>
              </w:rPr>
            </w:pPr>
          </w:p>
          <w:p w14:paraId="56591FAB" w14:textId="77777777" w:rsidR="00EB6D56" w:rsidRDefault="00EB6D56" w:rsidP="00B31225">
            <w:pPr>
              <w:jc w:val="both"/>
              <w:rPr>
                <w:b/>
                <w:bCs/>
                <w:i/>
                <w:iCs/>
                <w:color w:val="000000" w:themeColor="text1"/>
                <w:sz w:val="20"/>
                <w:szCs w:val="20"/>
              </w:rPr>
            </w:pPr>
          </w:p>
          <w:p w14:paraId="6A5F341C" w14:textId="77777777" w:rsidR="00EB6D56" w:rsidRDefault="00EB6D56" w:rsidP="00B31225">
            <w:pPr>
              <w:jc w:val="both"/>
              <w:rPr>
                <w:b/>
                <w:bCs/>
                <w:i/>
                <w:iCs/>
                <w:color w:val="000000" w:themeColor="text1"/>
                <w:sz w:val="20"/>
                <w:szCs w:val="20"/>
              </w:rPr>
            </w:pPr>
          </w:p>
          <w:p w14:paraId="15ED6971" w14:textId="77777777" w:rsidR="00EB6D56" w:rsidRDefault="00EB6D56" w:rsidP="00B31225">
            <w:pPr>
              <w:jc w:val="both"/>
              <w:rPr>
                <w:b/>
                <w:bCs/>
                <w:i/>
                <w:iCs/>
                <w:color w:val="000000" w:themeColor="text1"/>
                <w:sz w:val="20"/>
                <w:szCs w:val="20"/>
              </w:rPr>
            </w:pPr>
          </w:p>
          <w:p w14:paraId="2FE03796" w14:textId="77777777" w:rsidR="00EB6D56" w:rsidRDefault="00EB6D56" w:rsidP="00B31225">
            <w:pPr>
              <w:jc w:val="both"/>
              <w:rPr>
                <w:b/>
                <w:bCs/>
                <w:i/>
                <w:iCs/>
                <w:color w:val="000000" w:themeColor="text1"/>
                <w:sz w:val="20"/>
                <w:szCs w:val="20"/>
              </w:rPr>
            </w:pPr>
          </w:p>
          <w:p w14:paraId="167E9ECB" w14:textId="692D6A85" w:rsidR="00EB6D56" w:rsidRPr="003D7AFA" w:rsidRDefault="00EB6D56" w:rsidP="00B31225">
            <w:pPr>
              <w:jc w:val="both"/>
              <w:rPr>
                <w:b/>
                <w:bCs/>
                <w:i/>
                <w:iCs/>
                <w:color w:val="000000" w:themeColor="text1"/>
                <w:sz w:val="20"/>
                <w:szCs w:val="20"/>
              </w:rPr>
            </w:pPr>
            <w:r>
              <w:rPr>
                <w:b/>
                <w:bCs/>
                <w:i/>
                <w:iCs/>
                <w:color w:val="000000" w:themeColor="text1"/>
                <w:sz w:val="20"/>
                <w:szCs w:val="20"/>
              </w:rPr>
              <w:t>0.982</w:t>
            </w:r>
          </w:p>
        </w:tc>
        <w:tc>
          <w:tcPr>
            <w:tcW w:w="525" w:type="pct"/>
            <w:vMerge w:val="restart"/>
            <w:tcBorders>
              <w:top w:val="nil"/>
              <w:left w:val="nil"/>
              <w:right w:val="nil"/>
            </w:tcBorders>
            <w:tcMar>
              <w:top w:w="120" w:type="dxa"/>
              <w:left w:w="120" w:type="dxa"/>
              <w:bottom w:w="30" w:type="dxa"/>
              <w:right w:w="300" w:type="dxa"/>
            </w:tcMar>
          </w:tcPr>
          <w:p w14:paraId="500010A5" w14:textId="77777777" w:rsidR="00EB6D56" w:rsidRDefault="00EB6D56" w:rsidP="00B31225">
            <w:pPr>
              <w:jc w:val="both"/>
              <w:rPr>
                <w:b/>
                <w:bCs/>
                <w:i/>
                <w:iCs/>
                <w:color w:val="000000" w:themeColor="text1"/>
                <w:sz w:val="20"/>
                <w:szCs w:val="20"/>
              </w:rPr>
            </w:pPr>
          </w:p>
          <w:p w14:paraId="5A70DF72" w14:textId="77777777" w:rsidR="00EB6D56" w:rsidRDefault="00EB6D56" w:rsidP="00B31225">
            <w:pPr>
              <w:jc w:val="both"/>
              <w:rPr>
                <w:b/>
                <w:bCs/>
                <w:i/>
                <w:iCs/>
                <w:color w:val="000000" w:themeColor="text1"/>
                <w:sz w:val="20"/>
                <w:szCs w:val="20"/>
              </w:rPr>
            </w:pPr>
          </w:p>
          <w:p w14:paraId="1DCC83A2" w14:textId="77777777" w:rsidR="00EB6D56" w:rsidRDefault="00EB6D56" w:rsidP="00B31225">
            <w:pPr>
              <w:jc w:val="both"/>
              <w:rPr>
                <w:b/>
                <w:bCs/>
                <w:i/>
                <w:iCs/>
                <w:color w:val="000000" w:themeColor="text1"/>
                <w:sz w:val="20"/>
                <w:szCs w:val="20"/>
              </w:rPr>
            </w:pPr>
          </w:p>
          <w:p w14:paraId="1746AEA7" w14:textId="77777777" w:rsidR="00EB6D56" w:rsidRDefault="00EB6D56" w:rsidP="00B31225">
            <w:pPr>
              <w:jc w:val="both"/>
              <w:rPr>
                <w:b/>
                <w:bCs/>
                <w:i/>
                <w:iCs/>
                <w:color w:val="000000" w:themeColor="text1"/>
                <w:sz w:val="20"/>
                <w:szCs w:val="20"/>
              </w:rPr>
            </w:pPr>
          </w:p>
          <w:p w14:paraId="58350EAA" w14:textId="77777777" w:rsidR="00EB6D56" w:rsidRDefault="00EB6D56" w:rsidP="00B31225">
            <w:pPr>
              <w:jc w:val="both"/>
              <w:rPr>
                <w:b/>
                <w:bCs/>
                <w:i/>
                <w:iCs/>
                <w:color w:val="000000" w:themeColor="text1"/>
                <w:sz w:val="20"/>
                <w:szCs w:val="20"/>
              </w:rPr>
            </w:pPr>
          </w:p>
          <w:p w14:paraId="08F811E5" w14:textId="77777777" w:rsidR="00EB6D56" w:rsidRDefault="00EB6D56" w:rsidP="00B31225">
            <w:pPr>
              <w:jc w:val="both"/>
              <w:rPr>
                <w:b/>
                <w:bCs/>
                <w:i/>
                <w:iCs/>
                <w:color w:val="000000" w:themeColor="text1"/>
                <w:sz w:val="20"/>
                <w:szCs w:val="20"/>
              </w:rPr>
            </w:pPr>
          </w:p>
          <w:p w14:paraId="129E9B67" w14:textId="32293E1F" w:rsidR="00EB6D56" w:rsidRPr="003D7AFA" w:rsidRDefault="00EB6D56" w:rsidP="00B31225">
            <w:pPr>
              <w:jc w:val="both"/>
              <w:rPr>
                <w:b/>
                <w:bCs/>
                <w:i/>
                <w:iCs/>
                <w:color w:val="000000" w:themeColor="text1"/>
                <w:sz w:val="20"/>
                <w:szCs w:val="20"/>
              </w:rPr>
            </w:pPr>
            <w:r>
              <w:rPr>
                <w:b/>
                <w:bCs/>
                <w:i/>
                <w:iCs/>
                <w:color w:val="000000" w:themeColor="text1"/>
                <w:sz w:val="20"/>
                <w:szCs w:val="20"/>
              </w:rPr>
              <w:t>0.848</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14:paraId="20AD2FB5" w14:textId="77777777" w:rsidR="00EB6D56" w:rsidRDefault="00EB6D56" w:rsidP="00B31225">
            <w:pPr>
              <w:jc w:val="both"/>
              <w:rPr>
                <w:b/>
                <w:bCs/>
                <w:i/>
                <w:iCs/>
                <w:color w:val="000000" w:themeColor="text1"/>
                <w:sz w:val="20"/>
                <w:szCs w:val="20"/>
              </w:rPr>
            </w:pPr>
          </w:p>
          <w:p w14:paraId="76473A35" w14:textId="77777777" w:rsidR="00EB6D56" w:rsidRDefault="00EB6D56" w:rsidP="00B31225">
            <w:pPr>
              <w:jc w:val="both"/>
              <w:rPr>
                <w:b/>
                <w:bCs/>
                <w:i/>
                <w:iCs/>
                <w:color w:val="000000" w:themeColor="text1"/>
                <w:sz w:val="20"/>
                <w:szCs w:val="20"/>
              </w:rPr>
            </w:pPr>
          </w:p>
          <w:p w14:paraId="44C04DF6" w14:textId="77777777" w:rsidR="00EB6D56" w:rsidRDefault="00EB6D56" w:rsidP="00B31225">
            <w:pPr>
              <w:jc w:val="both"/>
              <w:rPr>
                <w:b/>
                <w:bCs/>
                <w:i/>
                <w:iCs/>
                <w:color w:val="000000" w:themeColor="text1"/>
                <w:sz w:val="20"/>
                <w:szCs w:val="20"/>
              </w:rPr>
            </w:pPr>
          </w:p>
          <w:p w14:paraId="443D91C3" w14:textId="77777777" w:rsidR="00EB6D56" w:rsidRDefault="00EB6D56" w:rsidP="00B31225">
            <w:pPr>
              <w:jc w:val="both"/>
              <w:rPr>
                <w:b/>
                <w:bCs/>
                <w:i/>
                <w:iCs/>
                <w:color w:val="000000" w:themeColor="text1"/>
                <w:sz w:val="20"/>
                <w:szCs w:val="20"/>
              </w:rPr>
            </w:pPr>
          </w:p>
          <w:p w14:paraId="6F9EE675" w14:textId="77777777" w:rsidR="00EB6D56" w:rsidRDefault="00EB6D56" w:rsidP="00B31225">
            <w:pPr>
              <w:jc w:val="both"/>
              <w:rPr>
                <w:b/>
                <w:bCs/>
                <w:i/>
                <w:iCs/>
                <w:color w:val="000000" w:themeColor="text1"/>
                <w:sz w:val="20"/>
                <w:szCs w:val="20"/>
              </w:rPr>
            </w:pPr>
          </w:p>
          <w:p w14:paraId="09E35C3C" w14:textId="77777777" w:rsidR="00EB6D56" w:rsidRDefault="00EB6D56" w:rsidP="00B31225">
            <w:pPr>
              <w:jc w:val="both"/>
              <w:rPr>
                <w:b/>
                <w:bCs/>
                <w:i/>
                <w:iCs/>
                <w:color w:val="000000" w:themeColor="text1"/>
                <w:sz w:val="20"/>
                <w:szCs w:val="20"/>
              </w:rPr>
            </w:pPr>
          </w:p>
          <w:p w14:paraId="247CC73A" w14:textId="3DFC0F4A" w:rsidR="00EB6D56" w:rsidRPr="003D7AFA" w:rsidRDefault="00EB6D56" w:rsidP="00B31225">
            <w:pPr>
              <w:jc w:val="both"/>
              <w:rPr>
                <w:b/>
                <w:bCs/>
                <w:i/>
                <w:iCs/>
                <w:color w:val="000000" w:themeColor="text1"/>
                <w:sz w:val="20"/>
                <w:szCs w:val="20"/>
              </w:rPr>
            </w:pPr>
            <w:r>
              <w:rPr>
                <w:b/>
                <w:bCs/>
                <w:i/>
                <w:iCs/>
                <w:color w:val="000000" w:themeColor="text1"/>
                <w:sz w:val="20"/>
                <w:szCs w:val="20"/>
              </w:rPr>
              <w:t>0.983</w:t>
            </w:r>
          </w:p>
        </w:tc>
        <w:tc>
          <w:tcPr>
            <w:tcW w:w="525" w:type="pct"/>
            <w:vMerge w:val="restart"/>
            <w:tcBorders>
              <w:top w:val="nil"/>
              <w:left w:val="nil"/>
              <w:right w:val="nil"/>
            </w:tcBorders>
            <w:tcMar>
              <w:top w:w="120" w:type="dxa"/>
              <w:left w:w="120" w:type="dxa"/>
              <w:bottom w:w="30" w:type="dxa"/>
              <w:right w:w="300" w:type="dxa"/>
            </w:tcMar>
          </w:tcPr>
          <w:p w14:paraId="1242D028" w14:textId="77777777" w:rsidR="00EB6D56" w:rsidRDefault="00EB6D56" w:rsidP="00B31225">
            <w:pPr>
              <w:jc w:val="both"/>
              <w:rPr>
                <w:b/>
                <w:bCs/>
                <w:i/>
                <w:iCs/>
                <w:color w:val="000000" w:themeColor="text1"/>
                <w:sz w:val="20"/>
                <w:szCs w:val="20"/>
              </w:rPr>
            </w:pPr>
          </w:p>
          <w:p w14:paraId="1040A44D" w14:textId="77777777" w:rsidR="00EB6D56" w:rsidRDefault="00EB6D56" w:rsidP="00B31225">
            <w:pPr>
              <w:jc w:val="both"/>
              <w:rPr>
                <w:b/>
                <w:bCs/>
                <w:i/>
                <w:iCs/>
                <w:color w:val="000000" w:themeColor="text1"/>
                <w:sz w:val="20"/>
                <w:szCs w:val="20"/>
              </w:rPr>
            </w:pPr>
          </w:p>
          <w:p w14:paraId="631142FC" w14:textId="77777777" w:rsidR="00EB6D56" w:rsidRDefault="00EB6D56" w:rsidP="00B31225">
            <w:pPr>
              <w:jc w:val="both"/>
              <w:rPr>
                <w:b/>
                <w:bCs/>
                <w:i/>
                <w:iCs/>
                <w:color w:val="000000" w:themeColor="text1"/>
                <w:sz w:val="20"/>
                <w:szCs w:val="20"/>
              </w:rPr>
            </w:pPr>
          </w:p>
          <w:p w14:paraId="44867D77" w14:textId="77777777" w:rsidR="00EB6D56" w:rsidRDefault="00EB6D56" w:rsidP="00B31225">
            <w:pPr>
              <w:jc w:val="both"/>
              <w:rPr>
                <w:b/>
                <w:bCs/>
                <w:i/>
                <w:iCs/>
                <w:color w:val="000000" w:themeColor="text1"/>
                <w:sz w:val="20"/>
                <w:szCs w:val="20"/>
              </w:rPr>
            </w:pPr>
          </w:p>
          <w:p w14:paraId="5C4A10A5" w14:textId="77777777" w:rsidR="00EB6D56" w:rsidRDefault="00EB6D56" w:rsidP="00B31225">
            <w:pPr>
              <w:jc w:val="both"/>
              <w:rPr>
                <w:b/>
                <w:bCs/>
                <w:i/>
                <w:iCs/>
                <w:color w:val="000000" w:themeColor="text1"/>
                <w:sz w:val="20"/>
                <w:szCs w:val="20"/>
              </w:rPr>
            </w:pPr>
          </w:p>
          <w:p w14:paraId="1F6043EB" w14:textId="77777777" w:rsidR="00EB6D56" w:rsidRDefault="00EB6D56" w:rsidP="00B31225">
            <w:pPr>
              <w:jc w:val="both"/>
              <w:rPr>
                <w:b/>
                <w:bCs/>
                <w:i/>
                <w:iCs/>
                <w:color w:val="000000" w:themeColor="text1"/>
                <w:sz w:val="20"/>
                <w:szCs w:val="20"/>
              </w:rPr>
            </w:pPr>
          </w:p>
          <w:p w14:paraId="61F3B71D" w14:textId="50DD43B0" w:rsidR="00EB6D56" w:rsidRPr="003D7AFA" w:rsidRDefault="00EB6D56" w:rsidP="00B31225">
            <w:pPr>
              <w:jc w:val="both"/>
              <w:rPr>
                <w:b/>
                <w:bCs/>
                <w:i/>
                <w:iCs/>
                <w:color w:val="000000" w:themeColor="text1"/>
                <w:sz w:val="20"/>
                <w:szCs w:val="20"/>
              </w:rPr>
            </w:pPr>
            <w:r>
              <w:rPr>
                <w:b/>
                <w:bCs/>
                <w:i/>
                <w:iCs/>
                <w:color w:val="000000" w:themeColor="text1"/>
                <w:sz w:val="20"/>
                <w:szCs w:val="20"/>
              </w:rPr>
              <w:t>0.855</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14:paraId="531826EB" w14:textId="77777777" w:rsidR="00B31225" w:rsidRDefault="00B31225" w:rsidP="00B31225">
            <w:pPr>
              <w:jc w:val="both"/>
              <w:rPr>
                <w:b/>
                <w:bCs/>
                <w:i/>
                <w:iCs/>
                <w:color w:val="000000" w:themeColor="text1"/>
                <w:sz w:val="20"/>
                <w:szCs w:val="20"/>
              </w:rPr>
            </w:pPr>
          </w:p>
          <w:p w14:paraId="0AD583A1" w14:textId="77777777" w:rsidR="00B31225" w:rsidRDefault="00B31225" w:rsidP="00B31225">
            <w:pPr>
              <w:jc w:val="both"/>
              <w:rPr>
                <w:b/>
                <w:bCs/>
                <w:i/>
                <w:iCs/>
                <w:color w:val="000000" w:themeColor="text1"/>
                <w:sz w:val="20"/>
                <w:szCs w:val="20"/>
              </w:rPr>
            </w:pPr>
          </w:p>
          <w:p w14:paraId="41897421" w14:textId="6099E43B" w:rsidR="00B31225" w:rsidRPr="003D7AFA" w:rsidRDefault="00B31225" w:rsidP="00B31225">
            <w:pPr>
              <w:jc w:val="both"/>
              <w:rPr>
                <w:b/>
                <w:bCs/>
                <w:i/>
                <w:iCs/>
                <w:color w:val="000000" w:themeColor="text1"/>
                <w:sz w:val="20"/>
                <w:szCs w:val="20"/>
              </w:rPr>
            </w:pPr>
            <w:r>
              <w:rPr>
                <w:b/>
                <w:bCs/>
                <w:i/>
                <w:iCs/>
                <w:color w:val="000000" w:themeColor="text1"/>
                <w:sz w:val="20"/>
                <w:szCs w:val="20"/>
              </w:rPr>
              <w:t>0.959</w:t>
            </w:r>
          </w:p>
        </w:tc>
        <w:tc>
          <w:tcPr>
            <w:tcW w:w="525" w:type="pct"/>
            <w:tcBorders>
              <w:top w:val="nil"/>
              <w:left w:val="nil"/>
              <w:bottom w:val="nil"/>
              <w:right w:val="nil"/>
            </w:tcBorders>
            <w:tcMar>
              <w:top w:w="120" w:type="dxa"/>
              <w:left w:w="120" w:type="dxa"/>
              <w:bottom w:w="30" w:type="dxa"/>
              <w:right w:w="300" w:type="dxa"/>
            </w:tcMar>
          </w:tcPr>
          <w:p w14:paraId="5138E3FD" w14:textId="1E6CD997"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0E37F5D7" w14:textId="47363CE9" w:rsidR="00B31225" w:rsidRPr="003D7AFA" w:rsidRDefault="00EB6D56" w:rsidP="00B31225">
            <w:pPr>
              <w:jc w:val="both"/>
              <w:rPr>
                <w:b/>
                <w:bCs/>
                <w:i/>
                <w:iCs/>
                <w:color w:val="000000" w:themeColor="text1"/>
                <w:sz w:val="20"/>
                <w:szCs w:val="20"/>
              </w:rPr>
            </w:pPr>
            <w:r>
              <w:rPr>
                <w:b/>
                <w:bCs/>
                <w:i/>
                <w:iCs/>
                <w:color w:val="000000" w:themeColor="text1"/>
                <w:sz w:val="20"/>
                <w:szCs w:val="20"/>
              </w:rPr>
              <w:t>0.854</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3E9A944C" w14:textId="47809235"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14:paraId="574B3934" w14:textId="177B900A" w:rsidR="00B31225" w:rsidRPr="003D7AFA" w:rsidRDefault="00B31225" w:rsidP="00B31225">
            <w:pPr>
              <w:jc w:val="both"/>
              <w:rPr>
                <w:b/>
                <w:bCs/>
                <w:i/>
                <w:iCs/>
                <w:color w:val="000000" w:themeColor="text1"/>
                <w:sz w:val="20"/>
                <w:szCs w:val="20"/>
              </w:rPr>
            </w:pP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4C7839A3" w14:textId="594CB047" w:rsidR="007716D8" w:rsidRPr="007716D8" w:rsidRDefault="007716D8" w:rsidP="007716D8">
      <w:pPr>
        <w:jc w:val="both"/>
        <w:rPr>
          <w:b/>
          <w:bCs/>
          <w:i/>
          <w:iCs/>
          <w:color w:val="000000" w:themeColor="text1"/>
          <w:sz w:val="20"/>
          <w:szCs w:val="20"/>
        </w:rPr>
      </w:pPr>
      <w:r>
        <w:t>UE = User Engagement; UX = User Experience; BSAT = Brand Satisfaction; BSUC = Brand Success. Source: Authors.</w:t>
      </w:r>
    </w:p>
    <w:p w14:paraId="6BEEDA11" w14:textId="77777777" w:rsidR="0069183E" w:rsidRDefault="0069183E" w:rsidP="0069183E">
      <w:pPr>
        <w:spacing w:line="360" w:lineRule="auto"/>
        <w:jc w:val="both"/>
        <w:rPr>
          <w:b/>
          <w:bCs/>
          <w:i/>
          <w:iCs/>
          <w:color w:val="000000" w:themeColor="text1"/>
        </w:rPr>
      </w:pPr>
      <w:proofErr w:type="spellStart"/>
      <w:proofErr w:type="spellEnd"/>
      <w:proofErr w:type="spellStart"/>
      <w:proofErr w:type="spellEnd"/>
      <w:r>
        <w:t>Table 4. Heterotrait-Monotrait (HTMT) Discriminant Validity and Construct Association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t>BSAT</w:t>
            </w:r>
          </w:p>
        </w:tc>
        <w:tc>
          <w:tcPr>
            <w:tcW w:w="1600" w:type="dxa"/>
            <w:shd w:val="clear" w:color="auto" w:fill="1F4E79"/>
          </w:tcPr>
          <w:p w14:paraId="3EEC0AF5" w14:textId="77777777" w:rsidR="0069183E" w:rsidRDefault="0069183E" w:rsidP="004962AE">
            <w:pPr>
              <w:jc w:val="center"/>
            </w:pPr>
            <w:r>
              <w:t>BSUC</w:t>
            </w:r>
          </w:p>
        </w:tc>
        <w:tc>
          <w:tcPr>
            <w:tcW w:w="1600" w:type="dxa"/>
            <w:shd w:val="clear" w:color="auto" w:fill="1F4E79"/>
          </w:tcPr>
          <w:p w14:paraId="006D2BCE" w14:textId="77777777" w:rsidR="0069183E" w:rsidRDefault="0069183E" w:rsidP="004962AE">
            <w:pPr>
              <w:jc w:val="center"/>
            </w:pPr>
            <w:r>
              <w:t>UX</w:t>
            </w:r>
          </w:p>
        </w:tc>
        <w:tc>
          <w:tcPr>
            <w:tcW w:w="1600" w:type="dxa"/>
            <w:shd w:val="clear" w:color="auto" w:fill="1F4E79"/>
          </w:tcPr>
          <w:p w14:paraId="7736264B" w14:textId="77777777" w:rsidR="0069183E" w:rsidRDefault="0069183E" w:rsidP="004962AE">
            <w:pPr>
              <w:jc w:val="center"/>
            </w:pPr>
            <w:r>
              <w:t>UE</w:t>
            </w:r>
          </w:p>
        </w:tc>
      </w:tr>
      <w:tr w:rsidR="0069183E" w14:paraId="0B1739D4" w14:textId="77777777" w:rsidTr="004962AE">
        <w:tc>
          <w:tcPr>
            <w:tcW w:w="2960" w:type="dxa"/>
            <w:shd w:val="clear" w:color="auto" w:fill="EBF3FB"/>
          </w:tcPr>
          <w:p w14:paraId="7A0A9238" w14:textId="77777777" w:rsidR="0069183E" w:rsidRDefault="0069183E" w:rsidP="004962AE">
            <w: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proofErr w:type="spellStart"/>
      <w:proofErr w:type="spellEnd"/>
      <w:r>
        <w:t>Note. All HTMT values are below 0.85, confirming discriminant validity; the maximum value is 0.814 (UX-UE). BSAT = Brand Satisfaction; BSUC = Brand Success; UX = User Experience; UE = User Engagement. Values derived from SmartPLS bootstrapping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Rather than an item-level colour heatmap, which is difficult to interpret in greyscale, we report construct-level associations in the HTMT matrix (Table 4). All inter-construct values are positive and moderate to strong (0.712 to 0.814), consistent with the proposed model, while remaining below the discriminant-validity threshold, confirming that the constructs are related but distinct.</w:t>
      </w:r>
    </w:p>
    <w:p w14:paraId="0F24E97F" w14:textId="63C3BE5B" w:rsidR="004D6242" w:rsidRPr="00FD5EFD" w:rsidRDefault="00FD5EFD" w:rsidP="00FD5EFD">
      <w:pPr>
        <w:tabs>
          <w:tab w:val="left" w:pos="426"/>
        </w:tabs>
        <w:spacing w:line="360" w:lineRule="auto"/>
        <w:jc w:val="both"/>
        <w:rPr>
          <w:color w:val="000000" w:themeColor="text1"/>
        </w:rPr>
      </w:pPr>
      <w:r>
        <w:t>In sum, the measurement model demonstrates high reliability (Table 3), convergence of indicators (AVE &gt; 0.50), and discriminant validity (Table 4). Together these results indicate that the scales measure their intended constructs reliably and distinctly, supporting their use in the configurational analysis that follows.</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To prepare the data for fsQCA, each construct was calibrated into fuzzy-set membership scores. Following established guidance (Pappas and Woodside, 2021; Ragin, 2008), three anchors were set using the sample distribution: the 95th percentile as full membership, the 50th percentile as the crossover point, and the 5th percentile as full non-membership. Calibration transforms User Engagement (UE), User Experience (UX), Brand Satisfaction (BSAT), and Brand Success (BSUC) onto a common 0-to-1 scale, enabling set-theoretic analysis of necessity and sufficiency.</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t>Table 5. Subset-Superset Analysis: Coverage and Consistency of Condition Combinations</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Here BSAT, UX, and UE are the causal conditions and BSUC the outcome. Raw coverage indicates the share of the outcome accounted for by each combination: BSAT and UX jointly cover about 20.8 percent, BSAT and UE about 24.1 percent, and UX and UE about 21.9 percent. Unique coverage, which isolates the outcome attributable to a combination net of the others, is 3.6 percent (BSAT × UX), 6.9 percent (BSAT × UE), and 4.7 percent (UX × UE).</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5.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3 presents the conceptual model relating User Experience (UX), User Engagement (UE), and Brand Satisfaction (BSAT) to Brand Success (BSUC), and corresponds to the propositions stated in Section 3.</w:t>
      </w:r>
    </w:p>
    <w:p w14:paraId="3357F0A7" w14:textId="452312B9" w:rsidR="00984644" w:rsidRPr="0043234C" w:rsidRDefault="00984644" w:rsidP="00984644">
      <w:pPr>
        <w:spacing w:line="360" w:lineRule="auto"/>
        <w:ind w:firstLine="426"/>
        <w:jc w:val="both"/>
        <w:rPr>
          <w:color w:val="000000" w:themeColor="text1"/>
        </w:rPr>
      </w:pPr>
      <w:r>
        <w:t>Subset-superset analysis was used to relate the four constructs to the conceptual model by empirically identifying the configurations of conditions associated with high brand success.</w:t>
      </w:r>
    </w:p>
    <w:p w14:paraId="4FB80079" w14:textId="77777777" w:rsidR="00984644" w:rsidRPr="0043234C" w:rsidRDefault="00984644" w:rsidP="00984644">
      <w:pPr>
        <w:spacing w:line="360" w:lineRule="auto"/>
        <w:ind w:firstLine="426"/>
        <w:jc w:val="both"/>
        <w:rPr>
          <w:color w:val="000000" w:themeColor="text1"/>
        </w:rPr>
      </w:pPr>
      <w:r>
        <w:t>Within the model, user experience, user engagement, and brand satisfaction are the candidate conditions for brand success. The configurational analysis evaluates which combinations of these conditions are sufficient for the outcome, and whether any is necessary, thereby testing the propositions rather than assuming a single causal path.</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229362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48337" cy="22994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t>Figure 3. Conceptual model: configurations of engagement, experience, and satisfaction as conditions for brand success.</w:t>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t>Table 6. Sufficiency Solution: Configurations and Single Conditions for High Brand Success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Table 7. Configuration Analysis for 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Pr>
                <w:b/>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Pr>
                <w:b/>
              </w:rPr>
              <w:t>C1: BSAT · UX</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Pr>
                <w:b/>
              </w:rPr>
              <w:t>C2: BSAT · UE</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Pr>
                <w:b/>
              </w:rPr>
              <w:t>C3: UX · UE</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t>UX (User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The configurational analysis (Table 7) underscores equifinality: multiple distinct paths lead to high brand success (Ragin, 2008). Consistent with Proposition 4, no single condition, neither brand satisfaction, experience, nor engagement, is necessary on its own; rather, it is the interaction among conditions that is associated with brand outcomes in immersive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Tables 6 and 7 jointly present the sufficient configurations for high brand success. The triadic configuration (BSAT × UX × UE) has the highest consistency (0.713), supporting Proposition 5. Two satisfaction-anchored pairs follow, BSAT × UE (consistency 0.669; raw coverage 0.241) and BSAT × UX (consistency 0.650; raw coverage 0.208), and the experience-plus-engagement pair UX × UE (consistency 0.600; raw coverage 0.219) is associated with favourable outcomes even where satisfaction is not the leading component, consistent with flow-based engagement. Overall solution coverage is 0.324 and solution consistency is 0.756.</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t>Necessity analysis (Table 6) tests whether any condition must be present for high brand success. No single condition, UE, UX, or BSAT, reached the 0.90 consistency benchmark required to be deemed necessary. Brand success in the metaverse therefore does not depend on any one antecedent in isolation, providing direct support for Proposition 4 and motivating the configurational (sufficiency) analysis that follows.</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t>Sufficiency analysis identifies the combinations of conditions associated with high brand success. Following convention, raw coverage, unique coverage, and consistency are reported for each configuration (Pappas and Woodside, 2021). We interpret the results transparently: the configurational consistencies (0.60 to 0.71) and the solution consistency (0.756) sit at or slightly below the 0.75-to-0.80 benchmark commonly applied in fsQCA. We therefore treat the configurations as suggestive evidence of equifinal pathways rather than as strong sufficiency claims, and we identify strengthening these estimates, through recalibration and larger samples, as a priority for future research (Section 8).</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The BSAT × UX configuration (consistency 0.650; raw coverage 0.208) indicates that satisfied users who also perceive a high-quality immersive experience tend to exhibit favourable brand outcomes, consistent with prior evidence linking satisfaction and experience to loyalty (Thaichon et al., 2022).</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The BSAT × UE configuration (consistency 0.669; raw coverage 0.241) shows that satisfaction combined with active engagement is associated with favourable brand outcomes, in line with evidence that engagement reinforces brand equity and loyalty (Jeong and Kim, 2019).</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The UX × UE configuration (consistency 0.600; raw coverage 0.219) is notable because immersive, participatory interaction is associated with favourable outcomes even where satisfaction is not the leading component, consistent with Flow Theory's emphasis on challenge-skill balance and absorption (Csikszentmihalyi, 1990; Shin, 2019).</w:t>
      </w:r>
    </w:p>
    <w:p w14:paraId="745A0811" w14:textId="77777777" w:rsidR="004B0CFD" w:rsidRPr="0043234C" w:rsidRDefault="004B0CFD" w:rsidP="004B0CFD">
      <w:pPr>
        <w:spacing w:line="360" w:lineRule="auto"/>
        <w:jc w:val="both"/>
        <w:rPr>
          <w:color w:val="000000" w:themeColor="text1"/>
        </w:rPr>
      </w:pPr>
    </w:p>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configurational results speak directly to the study's research questions. Three findings stand out, each tied to a specific result reported in Section 5.</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First, brand satisfaction is the most consistent component of pathways to brand success, appearing in the three highest-consistency configurations (Table 7), yet it is not necessary on its own, since experience and engagement together also reach high coverage. This nuances the conventional view that satisfaction is the dominant route and indicates that an immersive, engaging interaction can be associated with favourable brand outcomes even where satisfaction is not the leading condition.</w:t>
      </w:r>
    </w:p>
    <w:p w14:paraId="7AFD31AE" w14:textId="61772F09" w:rsidR="00B4046B" w:rsidRPr="0043234C" w:rsidRDefault="00B4046B" w:rsidP="00B4046B">
      <w:pPr>
        <w:spacing w:line="360" w:lineRule="auto"/>
        <w:ind w:firstLine="360"/>
        <w:jc w:val="both"/>
        <w:rPr>
          <w:color w:val="000000" w:themeColor="text1"/>
        </w:rPr>
      </w:pPr>
      <w:r>
        <w:t>Second, the configuration combining satisfaction with engagement (BSAT × UE; consistency 0.669, raw coverage 0.241) shows that active participation paired with satisfaction is associated with stronger brand outcomes, consistent with engagement-equity research (Jeong and Kim, 2019). The fully triadic configuration (BSAT × UX × UE) attains the highest consistency (0.713), supporting Proposition 5.</w:t>
      </w:r>
    </w:p>
    <w:p w14:paraId="5E67DB2B" w14:textId="287B32B2" w:rsidR="00B4046B" w:rsidRPr="0043234C" w:rsidRDefault="00B4046B" w:rsidP="00B4046B">
      <w:pPr>
        <w:spacing w:line="360" w:lineRule="auto"/>
        <w:ind w:firstLine="360"/>
        <w:jc w:val="both"/>
        <w:rPr>
          <w:color w:val="000000" w:themeColor="text1"/>
        </w:rPr>
      </w:pPr>
      <w:r>
        <w:t>Third, engagement and experience are complementary rather than substitutable (Proposition 3): they co-occur in the strongest configuration and are strongly associated (HTMT = 0.814) while remaining empirically distinct. This pattern is consistent with the integrated Flow-SDT logic, in which motivational pull (SDT) and experiential quality (Flow) operate jointly rather than as alternatives. We confine these interpretations to the four measured constructs and report no effect sizes beyond those in Section 5.</w:t>
      </w:r>
    </w:p>
    <w:p w14:paraId="4C4DE95E" w14:textId="23B4AD3C" w:rsidR="00B4046B" w:rsidRPr="0043234C" w:rsidRDefault="00B4046B" w:rsidP="00B4046B">
      <w:pPr>
        <w:spacing w:line="360" w:lineRule="auto"/>
        <w:ind w:firstLine="360"/>
        <w:jc w:val="both"/>
        <w:rPr>
          <w:color w:val="000000" w:themeColor="text1"/>
        </w:rPr>
      </w:pPr>
      <w:r>
        <w:t>Taken together, the results indicate that what is metaverse-specific here is not the existence of these links, which are established elsewhere, but their configurational structure: the absence of any necessary condition, the presence of multiple equifinal routes, and the complementarity of engagement and experience in an embodied, persistently social setting.</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fsQCA offers insights into the relationships among brand satisfaction (BSAT), user experience (UX), and user engagement (UE) that net-effects methods cannot, because its value lies in analysing combinations of conditions rather than the average contribution of each in isolation.</w:t>
      </w:r>
    </w:p>
    <w:p w14:paraId="76DD051C" w14:textId="47843435" w:rsidR="00CE1753" w:rsidRPr="0043234C" w:rsidRDefault="00CE1753" w:rsidP="004B0CFD">
      <w:pPr>
        <w:spacing w:line="360" w:lineRule="auto"/>
        <w:jc w:val="both"/>
        <w:rPr>
          <w:color w:val="000000" w:themeColor="text1"/>
        </w:rPr>
      </w:pPr>
      <w:r>
        <w:t>Combinations rather than net effects. fsQCA identifies the joint conditions sufficient for high brand success, revealing equifinal pathways that variable-centric methods, focused on the average effect of each predictor, do not surface.</w:t>
      </w:r>
    </w:p>
    <w:p w14:paraId="4A87758E" w14:textId="27B03D02" w:rsidR="00CE1753" w:rsidRPr="0043234C" w:rsidRDefault="00CE1753" w:rsidP="004B0CFD">
      <w:pPr>
        <w:spacing w:line="360" w:lineRule="auto"/>
        <w:jc w:val="both"/>
        <w:rPr>
          <w:color w:val="000000" w:themeColor="text1"/>
        </w:rPr>
      </w:pPr>
      <w:r>
        <w:t>Consistency and coverage. Consistency indicates how reliably a configuration is associated with the outcome, while coverage indicates its empirical relevance; together they characterise both the dependability and the prevalence of each pathway.</w:t>
      </w:r>
    </w:p>
    <w:p w14:paraId="41530EFF" w14:textId="33AB4E8A" w:rsidR="00CE1753" w:rsidRPr="0043234C" w:rsidRDefault="008B39DB" w:rsidP="004B0CFD">
      <w:pPr>
        <w:spacing w:line="360" w:lineRule="auto"/>
        <w:jc w:val="both"/>
        <w:rPr>
          <w:color w:val="000000" w:themeColor="text1"/>
        </w:rPr>
      </w:pPr>
      <w:r>
        <w:t>Comparative, configurational insight. By comparing configurations, the analysis shows how conditions combine to produce brand success, giving managers actionable, bundle-level guidance rather than a single ranked predictor.</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proofErr w:type="spellStart"/>
      <w:proofErr w:type="spellEnd"/>
      <w:r>
        <w:t>This study advances theory in two disciplined ways. First, it reframes metaverse branding as a configurational phenomenon, providing empirical evidence of equifinality and the absence of necessary conditions, neither of which a variable-centric application of Flow Theory or SDT anticipates. Second, it integrates the two theories at the level of mechanism: SDT explains the motivation to enter and sustain immersive brand interaction, while Flow explains why well-designed interaction is experienced as absorbing and high quality, jointly accounting for why engagement and experience co-occur rather than substitute.</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SDT, the metaverse plausibly reconfigures how autonomy, competence, and relatedness are satisfied, through avatar customization and asset ownership (autonomy), skill-based progression (competence), and persistent social worlds (relatedness). We advance this as a theoretical mechanism rather than an empirical finding: these needs were not measured in the present study, and we therefore frame them as explanatory antecedents that motivate the measured constructs and as a priority for direct measurement in future work.</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likewise extended by positioning immersive experience as contingent on the alignment of challenge and skill, calibrated by interaction design. Consistent with this, the UX × UE configuration is associated with favourable brand outcomes even absent leading satisfaction, suggesting that experiential absorption can itself support brand outcomes. We do not extend this to specific technological features (for example, cross-platform interoperability or asset scarcity), which were not measured.</w:t>
      </w:r>
    </w:p>
    <w:p w14:paraId="52F7D6B5" w14:textId="2C01F0D2"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r>
        <w:t>The central theoretical contribution is the integration of SDT and Flow Theory into a single configurational account of metaverse branding. Using fsQCA, the study identifies multiple equifinal pathways in which engagement, experiential quality, and satisfaction combine to produce high brand success, and shows that no single condition is necessary. This positions intrinsic motivation (SDT) and experiential absorption (Flow) as complementary, jointly operating mechanisms rather than competing explanations.</w:t>
      </w:r>
    </w:p>
    <w:p w14:paraId="08F4AD7B" w14:textId="77777777" w:rsidR="00BE64E6" w:rsidRPr="00BE64E6" w:rsidRDefault="00BE64E6" w:rsidP="00BE64E6">
      <w:pPr>
        <w:spacing w:line="360" w:lineRule="auto"/>
        <w:ind w:firstLine="426"/>
        <w:jc w:val="both"/>
        <w:rPr>
          <w:color w:val="000000" w:themeColor="text1"/>
        </w:rPr>
      </w:pPr>
      <w:r>
        <w:t>In doing so, the study extends both theories into technologically mediated, user-driven domains while remaining disciplined about scope: the configurational evidence concerns four measured constructs, and the SDT and Flow needs and antecedents are advanced as explanatory framing for future, direct empirical testing.</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The configurational results translate into bundle-level guidance, each anchored to a specific configuration in Table 7. Where resources allow, brands should prioritise the triadic bundle (BSAT × UX × UE), the most consistent route to brand success. Where full investment is infeasible, pairing satisfaction with either a high-quality immersive experience (BSAT × UX) or active engagement (BSAT × UE) offers two efficient second-best options. Finally, immersive and participatory design (UX × UE) can support brand outcomes on its own terms.</w:t>
      </w:r>
    </w:p>
    <w:p w14:paraId="1D052565" w14:textId="6684AB4F" w:rsidR="005E7707" w:rsidRPr="005E7707" w:rsidRDefault="005E7707" w:rsidP="005E7707">
      <w:pPr>
        <w:spacing w:line="360" w:lineRule="auto"/>
        <w:ind w:firstLine="426"/>
        <w:jc w:val="both"/>
        <w:rPr>
          <w:color w:val="000000" w:themeColor="text1"/>
        </w:rPr>
      </w:pPr>
      <w:proofErr w:type="spellStart"/>
      <w:proofErr w:type="spellEnd"/>
      <w:r>
        <w:t>Practically, this implies designing identity-affirming, community-embedded experiences, through avatar customization, interactive environments, and social features, that jointly raise experience quality and engagement while supporting satisfaction. Because the analysis rests on four cross-sectionally measured constructs, we do not extend these recommendations to specific technologies that were not measured.</w:t>
      </w:r>
    </w:p>
    <w:p w14:paraId="69785BFF" w14:textId="77777777" w:rsidR="005E7707" w:rsidRPr="005E7707" w:rsidRDefault="005E7707" w:rsidP="005E7707">
      <w:pPr>
        <w:spacing w:line="360" w:lineRule="auto"/>
        <w:ind w:firstLine="426"/>
        <w:jc w:val="both"/>
        <w:rPr>
          <w:color w:val="000000" w:themeColor="text1"/>
        </w:rPr>
      </w:pPr>
      <w:r>
        <w:t>Tactics that depend on specific digital-asset mechanics, such as NFT interoperability, smart contracts, transparent minting, and blockchain-based authentication, are promising but lie beyond what these data can support, since none was measured in the present model. We therefore relocate them from findings to future research rather than presenting them as empirically grounded recommendations.</w:t>
      </w:r>
    </w:p>
    <w:p w14:paraId="496E4158" w14:textId="24B95AC1" w:rsidR="005E7707" w:rsidRPr="005E7707" w:rsidRDefault="005E7707" w:rsidP="005E7707">
      <w:pPr>
        <w:spacing w:line="360" w:lineRule="auto"/>
        <w:ind w:firstLine="426"/>
        <w:jc w:val="both"/>
        <w:rPr>
          <w:color w:val="000000" w:themeColor="text1"/>
        </w:rPr>
      </w:pPr>
      <w:r>
        <w:t>Consistent with the BSAT × UE configuration, satisfaction and engagement reinforce one another: interactive opportunities such as gamified participation and co-creation deepen involvement while supporting satisfaction, strengthening users' relational attachment to the brand (Jeong and Kim, 2019).</w:t>
      </w:r>
    </w:p>
    <w:p w14:paraId="25CDA28A" w14:textId="77777777" w:rsidR="005E7707" w:rsidRDefault="005E7707" w:rsidP="005E7707">
      <w:pPr>
        <w:spacing w:line="360" w:lineRule="auto"/>
        <w:ind w:firstLine="426"/>
        <w:jc w:val="both"/>
        <w:rPr>
          <w:color w:val="000000" w:themeColor="text1"/>
        </w:rPr>
      </w:pPr>
      <w:proofErr w:type="spellStart"/>
      <w:proofErr w:type="spellEnd"/>
      <w:r>
        <w:t>Finally, because immersive contexts evolve quickly, brands should monitor engagement, experience, and satisfaction continuously and adjust design accordingly, ensuring that virtual interactions remain meaningful and consistent with brand values.</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4B9DB424" w14:textId="77777777" w:rsidR="00BE64E6" w:rsidRPr="005E7707" w:rsidRDefault="00BE64E6" w:rsidP="00BE64E6">
      <w:pPr>
        <w:spacing w:line="360" w:lineRule="auto"/>
        <w:ind w:firstLine="426"/>
        <w:jc w:val="both"/>
        <w:rPr>
          <w:color w:val="000000" w:themeColor="text1"/>
        </w:rPr>
      </w:pPr>
      <w:r>
        <w:t>In sum, the managerial value of these findings is configurational: brand success in the metaverse follows from coherent bundles of engagement, experience, and satisfaction rather than from any single lever, and brands can select among equifinal bundles according to their capabilities.</w:t>
      </w:r>
    </w:p>
    <w:p w14:paraId="0CB6B5B0" w14:textId="77777777" w:rsidR="005E7707" w:rsidRPr="005E7707" w:rsidRDefault="005E7707" w:rsidP="005E7707">
      <w:pPr>
        <w:spacing w:line="360" w:lineRule="auto"/>
        <w:ind w:firstLine="426"/>
        <w:jc w:val="both"/>
        <w:rPr>
          <w:color w:val="000000" w:themeColor="text1"/>
        </w:rPr>
      </w:pPr>
      <w:r>
        <w:t>Given the contested commercial trajectory of the metaverse, we scope these implications to brands operating on high-traffic immersive-social platforms (for example, Roblox and Fortnite) and to growth markets such as India, rather than to the metaverse as a universal channel.</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