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Cover Letter and Response to Reviewers</w:t>
      </w:r>
    </w:p>
    <w:p>
      <w:r>
        <w:t>Target journal: Journal of Consumer Psychology (JCP) — an FT50 consumer-psychology journal.</w:t>
      </w:r>
    </w:p>
    <w:p>
      <w:r>
        <w:t>Manuscript: “Configuring Brand Success in the Metaverse: How User Engagement, User Experience and Brand Satisfaction Combine in Immersive, Avatar-Mediated Brand Environments.”</w:t>
      </w:r>
    </w:p>
    <w:p>
      <w:r>
        <w:rPr>
          <w:b/>
          <w:sz w:val="24"/>
        </w:rPr>
        <w:t>Dear Editor,</w:t>
      </w:r>
    </w:p>
    <w:p>
      <w:r>
        <w:t>Please find enclosed our manuscript for consideration at the Journal of Consumer Psychology. The paper examines a question of growing interest to consumer psychologists: how immersive, avatar-mediated metaverse interactions shape the psychological pathways — user engagement, user experience and brand satisfaction — that lead to brand success. Grounded in Flow Theory and Self-Determination Theory and analysed with fuzzy-set qualitative comparative analysis (fsQCA), the study identifies the specific configurations of engagement, experience and satisfaction that are sufficient for high brand success, providing evidence of equifinality in immersive brand environments. We believe the paper’s focus on the psychological mechanisms underlying consumer–brand relationships in emerging digital contexts fits the journal’s scope.</w:t>
      </w:r>
    </w:p>
    <w:p>
      <w:r>
        <w:t>We have substantially revised the manuscript in response to detailed developmental feedback. The summary and point-by-point table below describe the changes; all revisions are now fully integrated into clean prose in the manuscript.</w:t>
      </w:r>
    </w:p>
    <w:p>
      <w:r>
        <w:rPr>
          <w:b/>
          <w:sz w:val="24"/>
        </w:rPr>
        <w:t>Summary of major changes</w:t>
      </w:r>
    </w:p>
    <w:p>
      <w:pPr>
        <w:pStyle w:val="ListBullet"/>
      </w:pPr>
      <w:r>
        <w:t>Reframed the contribution and sharpened the research question around metaverse-specific features (persistent 3D spaces, avatar embodiment, synchronous social presence, user co-creation) and configurational equifinality, rather than re-confirming known effects.</w:t>
      </w:r>
    </w:p>
    <w:p>
      <w:pPr>
        <w:pStyle w:val="ListBullet"/>
      </w:pPr>
      <w:r>
        <w:t>Added a Constructs and Hypotheses section with formal definitions of UE, UX, BSAT and BSUC, explicit hypotheses (H1–H3) and a configurational proposition (P1); clarified that SDT needs and flow are explanatory mechanisms, not separately measured constructs.</w:t>
      </w:r>
    </w:p>
    <w:p>
      <w:pPr>
        <w:pStyle w:val="ListBullet"/>
      </w:pPr>
      <w:r>
        <w:t>Consolidated measurement reporting (item-level loadings, α, CR, AVE in Table 2; HTMT in Table 2a; √AVE discriminant-validity check) and corrected the AVE interpretation; added Appendix A with the full measurement items.</w:t>
      </w:r>
    </w:p>
    <w:p>
      <w:pPr>
        <w:pStyle w:val="ListBullet"/>
      </w:pPr>
      <w:r>
        <w:t>Reported common-method-bias diagnostics transparently and added procedural remedies; detailed the sampling protocol (eligibility, frame, randomisation, 52% response rate).</w:t>
      </w:r>
    </w:p>
    <w:p>
      <w:pPr>
        <w:pStyle w:val="ListBullet"/>
      </w:pPr>
      <w:r>
        <w:t>Added Section 5.4 evaluating H1–H3 using the study’s own fsQCA sufficiency results, and clarified the analytical alignment between configurational and mediation logic.</w:t>
      </w:r>
    </w:p>
    <w:p>
      <w:pPr>
        <w:pStyle w:val="ListBullet"/>
      </w:pPr>
      <w:r>
        <w:t>Disciplined all empirical claims: NFT, blockchain-interoperability and SDT-need statements are now framed as future opportunities rather than findings; theoretical claims are hedged to match the measured model.</w:t>
      </w:r>
    </w:p>
    <w:p>
      <w:pPr>
        <w:pStyle w:val="ListBullet"/>
      </w:pPr>
      <w:r>
        <w:t>Standardised construct abbreviations (UE/UX/BSAT/BSUC), corrected table/figure labels and cross-references, replaced the grandiose title, and added an honest acknowledgement of the current metaverse context (industry pullback and hype debate).</w:t>
      </w:r>
    </w:p>
    <w:p>
      <w:r>
        <w:rPr>
          <w:b/>
          <w:sz w:val="24"/>
        </w:rPr>
        <w:t>Point-by-point responses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Concern</w:t>
            </w:r>
          </w:p>
        </w:tc>
        <w:tc>
          <w:tcPr>
            <w:tcW w:type="dxa" w:w="2880"/>
          </w:tcPr>
          <w:p>
            <w:r>
              <w:rPr>
                <w:b/>
              </w:rPr>
              <w:t>Action taken (now in the manuscript)</w:t>
            </w:r>
          </w:p>
        </w:tc>
        <w:tc>
          <w:tcPr>
            <w:tcW w:type="dxa" w:w="2880"/>
          </w:tcPr>
          <w:p>
            <w:r>
              <w:rPr>
                <w:b/>
              </w:rPr>
              <w:t>Location</w:t>
            </w:r>
          </w:p>
        </w:tc>
      </w:tr>
      <w:tr>
        <w:tc>
          <w:tcPr>
            <w:tcW w:type="dxa" w:w="2880"/>
          </w:tcPr>
          <w:p>
            <w:r>
              <w:t>Contribution reads as re-confirming known effects.</w:t>
            </w:r>
          </w:p>
        </w:tc>
        <w:tc>
          <w:tcPr>
            <w:tcW w:type="dxa" w:w="2880"/>
          </w:tcPr>
          <w:p>
            <w:r>
              <w:t>Reframed contribution and sharpened the central research question around metaverse-specific features and equifinality.</w:t>
            </w:r>
          </w:p>
        </w:tc>
        <w:tc>
          <w:tcPr>
            <w:tcW w:type="dxa" w:w="2880"/>
          </w:tcPr>
          <w:p>
            <w:r>
              <w:t>Abstract; Introduction</w:t>
            </w:r>
          </w:p>
        </w:tc>
      </w:tr>
      <w:tr>
        <w:tc>
          <w:tcPr>
            <w:tcW w:type="dxa" w:w="2880"/>
          </w:tcPr>
          <w:p>
            <w:r>
              <w:t>Constructs undefined; theory not mapped to context; no hypotheses.</w:t>
            </w:r>
          </w:p>
        </w:tc>
        <w:tc>
          <w:tcPr>
            <w:tcW w:type="dxa" w:w="2880"/>
          </w:tcPr>
          <w:p>
            <w:r>
              <w:t>Added definitions of UE/UX/BSAT/BSUC, mapped SDT and Flow to the context, and stated H1–H3 and proposition P1.</w:t>
            </w:r>
          </w:p>
        </w:tc>
        <w:tc>
          <w:tcPr>
            <w:tcW w:type="dxa" w:w="2880"/>
          </w:tcPr>
          <w:p>
            <w:r>
              <w:t>Section 3.3</w:t>
            </w:r>
          </w:p>
        </w:tc>
      </w:tr>
      <w:tr>
        <w:tc>
          <w:tcPr>
            <w:tcW w:type="dxa" w:w="2880"/>
          </w:tcPr>
          <w:p>
            <w:r>
              <w:t>Items missing; content/construct validity not evaluable.</w:t>
            </w:r>
          </w:p>
        </w:tc>
        <w:tc>
          <w:tcPr>
            <w:tcW w:type="dxa" w:w="2880"/>
          </w:tcPr>
          <w:p>
            <w:r>
              <w:t>Reported per-item loadings/α/CR/AVE (Table 2) and added the full item set.</w:t>
            </w:r>
          </w:p>
        </w:tc>
        <w:tc>
          <w:tcPr>
            <w:tcW w:type="dxa" w:w="2880"/>
          </w:tcPr>
          <w:p>
            <w:r>
              <w:t>Section 4.3; Table 2; Appendix A</w:t>
            </w:r>
          </w:p>
        </w:tc>
      </w:tr>
      <w:tr>
        <w:tc>
          <w:tcPr>
            <w:tcW w:type="dxa" w:w="2880"/>
          </w:tcPr>
          <w:p>
            <w:r>
              <w:t>AVE misused as a direct convergent-validity test.</w:t>
            </w:r>
          </w:p>
        </w:tc>
        <w:tc>
          <w:tcPr>
            <w:tcW w:type="dxa" w:w="2880"/>
          </w:tcPr>
          <w:p>
            <w:r>
              <w:t>Reframed AVE as a reliability-related metric; convergent validity argued via significant loadings and CR; discriminant validity via HTMT and √AVE.</w:t>
            </w:r>
          </w:p>
        </w:tc>
        <w:tc>
          <w:tcPr>
            <w:tcW w:type="dxa" w:w="2880"/>
          </w:tcPr>
          <w:p>
            <w:r>
              <w:t>Section 5.2; Table 2a</w:t>
            </w:r>
          </w:p>
        </w:tc>
      </w:tr>
      <w:tr>
        <w:tc>
          <w:tcPr>
            <w:tcW w:type="dxa" w:w="2880"/>
          </w:tcPr>
          <w:p>
            <w:r>
              <w:t>Harman’s test insufficient for common method bias.</w:t>
            </w:r>
          </w:p>
        </w:tc>
        <w:tc>
          <w:tcPr>
            <w:tcW w:type="dxa" w:w="2880"/>
          </w:tcPr>
          <w:p>
            <w:r>
              <w:t>Reported the single-factor result transparently and added procedural remedies; acknowledged residual risk.</w:t>
            </w:r>
          </w:p>
        </w:tc>
        <w:tc>
          <w:tcPr>
            <w:tcW w:type="dxa" w:w="2880"/>
          </w:tcPr>
          <w:p>
            <w:r>
              <w:t>Section 5.2; Limitations</w:t>
            </w:r>
          </w:p>
        </w:tc>
      </w:tr>
      <w:tr>
        <w:tc>
          <w:tcPr>
            <w:tcW w:type="dxa" w:w="2880"/>
          </w:tcPr>
          <w:p>
            <w:r>
              <w:t>Sampling protocol unclear.</w:t>
            </w:r>
          </w:p>
        </w:tc>
        <w:tc>
          <w:tcPr>
            <w:tcW w:type="dxa" w:w="2880"/>
          </w:tcPr>
          <w:p>
            <w:r>
              <w:t>Specified eligibility/exclusion criteria, frame construction, randomisation and the 52% response rate.</w:t>
            </w:r>
          </w:p>
        </w:tc>
        <w:tc>
          <w:tcPr>
            <w:tcW w:type="dxa" w:w="2880"/>
          </w:tcPr>
          <w:p>
            <w:r>
              <w:t>Section 4.5</w:t>
            </w:r>
          </w:p>
        </w:tc>
      </w:tr>
      <w:tr>
        <w:tc>
          <w:tcPr>
            <w:tcW w:type="dxa" w:w="2880"/>
          </w:tcPr>
          <w:p>
            <w:r>
              <w:t>fsQCA value unclear; tables not self-contained; mislabelled.</w:t>
            </w:r>
          </w:p>
        </w:tc>
        <w:tc>
          <w:tcPr>
            <w:tcW w:type="dxa" w:w="2880"/>
          </w:tcPr>
          <w:p>
            <w:r>
              <w:t>Justified the configurational approach; standardised labels; corrected the configuration captions and the calibration description.</w:t>
            </w:r>
          </w:p>
        </w:tc>
        <w:tc>
          <w:tcPr>
            <w:tcW w:type="dxa" w:w="2880"/>
          </w:tcPr>
          <w:p>
            <w:r>
              <w:t>Sections 4.1, 5.3; Tables 5–6</w:t>
            </w:r>
          </w:p>
        </w:tc>
      </w:tr>
      <w:tr>
        <w:tc>
          <w:tcPr>
            <w:tcW w:type="dxa" w:w="2880"/>
          </w:tcPr>
          <w:p>
            <w:r>
              <w:t>Model logic (mediation vs configuration).</w:t>
            </w:r>
          </w:p>
        </w:tc>
        <w:tc>
          <w:tcPr>
            <w:tcW w:type="dxa" w:w="2880"/>
          </w:tcPr>
          <w:p>
            <w:r>
              <w:t>Clarified that fsQCA tests sufficiency/equifinality; evaluated H1–H3 configurationally; noted a complementary mediation test as future work.</w:t>
            </w:r>
          </w:p>
        </w:tc>
        <w:tc>
          <w:tcPr>
            <w:tcW w:type="dxa" w:w="2880"/>
          </w:tcPr>
          <w:p>
            <w:r>
              <w:t>Section 5.4</w:t>
            </w:r>
          </w:p>
        </w:tc>
      </w:tr>
      <w:tr>
        <w:tc>
          <w:tcPr>
            <w:tcW w:type="dxa" w:w="2880"/>
          </w:tcPr>
          <w:p>
            <w:r>
              <w:t>Unsupported NFT/blockchain/SDT claims.</w:t>
            </w:r>
          </w:p>
        </w:tc>
        <w:tc>
          <w:tcPr>
            <w:tcW w:type="dxa" w:w="2880"/>
          </w:tcPr>
          <w:p>
            <w:r>
              <w:t>Moved these to clearly labelled future opportunities; hedged theoretical claims to match the measured model; reframed Figure 5 conceptually.</w:t>
            </w:r>
          </w:p>
        </w:tc>
        <w:tc>
          <w:tcPr>
            <w:tcW w:type="dxa" w:w="2880"/>
          </w:tcPr>
          <w:p>
            <w:r>
              <w:t>Discussion; Implications</w:t>
            </w:r>
          </w:p>
        </w:tc>
      </w:tr>
      <w:tr>
        <w:tc>
          <w:tcPr>
            <w:tcW w:type="dxa" w:w="2880"/>
          </w:tcPr>
          <w:p>
            <w:r>
              <w:t>Metaverse hype / industry pullback ignored; grandiose writing.</w:t>
            </w:r>
          </w:p>
        </w:tc>
        <w:tc>
          <w:tcPr>
            <w:tcW w:type="dxa" w:w="2880"/>
          </w:tcPr>
          <w:p>
            <w:r>
              <w:t>Added a candid context paragraph; replaced the title; standardised terminology and fixed cross-references throughout.</w:t>
            </w:r>
          </w:p>
        </w:tc>
        <w:tc>
          <w:tcPr>
            <w:tcW w:type="dxa" w:w="2880"/>
          </w:tcPr>
          <w:p>
            <w:r>
              <w:t>Title; Limitations; throughout</w:t>
            </w:r>
          </w:p>
        </w:tc>
      </w:tr>
    </w:tbl>
    <w:p/>
    <w:p>
      <w:r>
        <w:t>We confirm that this manuscript is original, is not under review elsewhere, and that all authors approve the submission. We thank the editor and reviewers for feedback that materially strengthened the paper, and we hope it is now suitable for the Journal of Consumer Psychology.</w:t>
      </w:r>
    </w:p>
    <w:p>
      <w:r>
        <w:t>Sincerely,</w:t>
      </w:r>
    </w:p>
    <w:p>
      <w:r>
        <w:t>The Author(s)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