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8CCCE" w14:textId="4E48B8B2" w:rsidR="006A2003" w:rsidRPr="006A2003" w:rsidRDefault="006A2003" w:rsidP="006A2003">
      <w:pPr>
        <w:spacing w:line="360" w:lineRule="auto"/>
        <w:jc w:val="center"/>
        <w:rPr>
          <w:b/>
          <w:bCs/>
          <w:color w:val="000000" w:themeColor="text1"/>
          <w:sz w:val="28"/>
          <w:szCs w:val="28"/>
        </w:rPr>
      </w:pPr>
      <w:r>
        <w:t>Configurational Pathways to Brand Success in the Metaverse: A Flow Theory and Self-Determination Theory Account of User Engagement and User Experience</w:t>
      </w:r>
    </w:p>
    <w:p w14:paraId="2B3689EE" w14:textId="77777777" w:rsidR="006A2003" w:rsidRDefault="006A2003" w:rsidP="00D576BB">
      <w:pPr>
        <w:spacing w:line="360" w:lineRule="auto"/>
        <w:jc w:val="both"/>
        <w:rPr>
          <w:rStyle w:val="Strong"/>
          <w:rFonts w:ascii="Georgia" w:hAnsi="Georgia"/>
          <w:bdr w:val="single" w:sz="2" w:space="0" w:color="auto" w:frame="1"/>
        </w:rPr>
      </w:pPr>
    </w:p>
    <w:p w14:paraId="114FA519" w14:textId="66A035A3" w:rsidR="00362481" w:rsidRPr="0043234C" w:rsidRDefault="00362481" w:rsidP="00D576BB">
      <w:pPr>
        <w:spacing w:line="360" w:lineRule="auto"/>
        <w:jc w:val="both"/>
        <w:rPr>
          <w:b/>
          <w:bCs/>
          <w:color w:val="000000" w:themeColor="text1"/>
        </w:rPr>
      </w:pPr>
      <w:r w:rsidRPr="0043234C">
        <w:rPr>
          <w:b/>
          <w:bCs/>
          <w:color w:val="000000" w:themeColor="text1"/>
        </w:rPr>
        <w:t>Abstract</w:t>
      </w:r>
    </w:p>
    <w:p w14:paraId="7E3A6708" w14:textId="69B8C4F3" w:rsidR="00E86FED" w:rsidRDefault="00E86FED" w:rsidP="00931A14">
      <w:pPr>
        <w:spacing w:line="360" w:lineRule="auto"/>
        <w:jc w:val="both"/>
      </w:pPr>
      <w:r>
        <w:t>As brands establish a presence in immersive virtual environments, understanding what sustains brand performance in the metaverse has become both a practical priority and a theoretical gap. Prior marketing research robustly links engagement, experience, and satisfaction to favourable brand outcomes; what remains unresolved is whether these relationships hold, and how they recombine, when brand interaction is embodied, persistently social, and organised around user-owned digital assets. Grounded in Flow Theory and Self-Determination Theory (SDT), this study advances a configurational argument: brand success in the metaverse is unlikely to rest on any single antecedent and is better understood as the product of combinations of conditions. Drawing on survey data from 312 active metaverse users in India, an under-represented yet rapidly growing market, we validate the measurement model using PLS-SEM and identify sufficient and necessary configurations of user engagement (UE), user experience (UX), and brand satisfaction (BSAT) for brand success (BSUC) using fuzzy-set qualitative comparative analysis (fsQCA). No single condition is necessary for brand success. Instead, brand satisfaction in combination with either engagement or experience, and most consistently all three jointly, is associated with favourable outcomes, providing empirical support for equifinality. The study contributes a disciplined, theory-grounded, configurational account of metaverse branding and offers managers guidance on which bundles of conditions to prioritise, while remaining candid about the contested commercial trajectory of the technology.</w:t>
      </w:r>
    </w:p>
    <w:p w14:paraId="34BA7CF1" w14:textId="29CED126" w:rsidR="00931A14" w:rsidRPr="00931A14" w:rsidRDefault="00362481" w:rsidP="00931A14">
      <w:pPr>
        <w:spacing w:line="360" w:lineRule="auto"/>
        <w:jc w:val="both"/>
        <w:rPr>
          <w:i/>
          <w:iCs/>
          <w:color w:val="000000" w:themeColor="text1"/>
        </w:rPr>
      </w:pPr>
      <w:r>
        <w:t>Keywords: metaverse; user engagement; user experience; brand satisfaction; brand success; fuzzy-set QCA; Flow Theory; Self-Determination Theory</w:t>
      </w:r>
    </w:p>
    <w:p w14:paraId="2DCE7CC4" w14:textId="77777777" w:rsidR="008779B8" w:rsidRPr="0043234C" w:rsidRDefault="008779B8" w:rsidP="00B64CB0">
      <w:pPr>
        <w:spacing w:line="360" w:lineRule="auto"/>
        <w:jc w:val="both"/>
        <w:rPr>
          <w:i/>
          <w:iCs/>
          <w:color w:val="000000" w:themeColor="text1"/>
        </w:rPr>
      </w:pPr>
    </w:p>
    <w:p w14:paraId="5FC771C2" w14:textId="77777777" w:rsidR="00522759" w:rsidRPr="0043234C" w:rsidRDefault="00522759" w:rsidP="00B64CB0">
      <w:pPr>
        <w:spacing w:line="360" w:lineRule="auto"/>
        <w:jc w:val="both"/>
        <w:rPr>
          <w:i/>
          <w:iCs/>
          <w:color w:val="000000" w:themeColor="text1"/>
        </w:rPr>
      </w:pPr>
    </w:p>
    <w:p w14:paraId="7454BF1A" w14:textId="77777777" w:rsidR="00522759" w:rsidRPr="0043234C" w:rsidRDefault="00522759" w:rsidP="00B64CB0">
      <w:pPr>
        <w:spacing w:line="360" w:lineRule="auto"/>
        <w:jc w:val="both"/>
        <w:rPr>
          <w:i/>
          <w:iCs/>
          <w:color w:val="000000" w:themeColor="text1"/>
        </w:rPr>
      </w:pPr>
    </w:p>
    <w:p w14:paraId="5A020EF4" w14:textId="77777777" w:rsidR="00522759" w:rsidRPr="0043234C" w:rsidRDefault="00522759" w:rsidP="00B64CB0">
      <w:pPr>
        <w:spacing w:line="360" w:lineRule="auto"/>
        <w:jc w:val="both"/>
        <w:rPr>
          <w:i/>
          <w:iCs/>
          <w:color w:val="000000" w:themeColor="text1"/>
        </w:rPr>
      </w:pPr>
    </w:p>
    <w:p w14:paraId="49801389" w14:textId="77777777" w:rsidR="00B64CB0" w:rsidRPr="0043234C" w:rsidRDefault="00B64CB0" w:rsidP="00B64CB0">
      <w:pPr>
        <w:spacing w:line="360" w:lineRule="auto"/>
        <w:jc w:val="both"/>
        <w:rPr>
          <w:i/>
          <w:iCs/>
          <w:color w:val="000000" w:themeColor="text1"/>
        </w:rPr>
      </w:pPr>
    </w:p>
    <w:p w14:paraId="5D520C36" w14:textId="77777777" w:rsidR="00254654" w:rsidRPr="0043234C" w:rsidRDefault="00254654" w:rsidP="00B64CB0">
      <w:pPr>
        <w:spacing w:line="360" w:lineRule="auto"/>
        <w:jc w:val="both"/>
        <w:rPr>
          <w:i/>
          <w:iCs/>
          <w:color w:val="000000" w:themeColor="text1"/>
        </w:rPr>
      </w:pPr>
    </w:p>
    <w:p w14:paraId="20A5693D" w14:textId="77777777" w:rsidR="00E407DA" w:rsidRPr="0043234C" w:rsidRDefault="00E407DA" w:rsidP="00B64CB0">
      <w:pPr>
        <w:spacing w:line="360" w:lineRule="auto"/>
        <w:jc w:val="both"/>
        <w:rPr>
          <w:i/>
          <w:iCs/>
          <w:color w:val="000000" w:themeColor="text1"/>
        </w:rPr>
      </w:pPr>
    </w:p>
    <w:p w14:paraId="4A84C6CE" w14:textId="77777777" w:rsidR="00E407DA" w:rsidRDefault="00E407DA" w:rsidP="00B64CB0">
      <w:pPr>
        <w:spacing w:line="360" w:lineRule="auto"/>
        <w:jc w:val="both"/>
        <w:rPr>
          <w:i/>
          <w:iCs/>
          <w:color w:val="000000" w:themeColor="text1"/>
        </w:rPr>
      </w:pPr>
    </w:p>
    <w:p w14:paraId="2D06C91E" w14:textId="77777777" w:rsidR="00B3103D" w:rsidRDefault="00B3103D" w:rsidP="00B64CB0">
      <w:pPr>
        <w:spacing w:line="360" w:lineRule="auto"/>
        <w:jc w:val="both"/>
        <w:rPr>
          <w:i/>
          <w:iCs/>
          <w:color w:val="000000" w:themeColor="text1"/>
        </w:rPr>
      </w:pPr>
    </w:p>
    <w:p w14:paraId="57A9488C" w14:textId="77777777" w:rsidR="00B3103D" w:rsidRDefault="00B3103D" w:rsidP="00B64CB0">
      <w:pPr>
        <w:spacing w:line="360" w:lineRule="auto"/>
        <w:jc w:val="both"/>
        <w:rPr>
          <w:i/>
          <w:iCs/>
          <w:color w:val="000000" w:themeColor="text1"/>
        </w:rPr>
      </w:pPr>
    </w:p>
    <w:p w14:paraId="4EC26DEB" w14:textId="77777777" w:rsidR="00E63DD3" w:rsidRDefault="00E63DD3" w:rsidP="00B64CB0">
      <w:pPr>
        <w:spacing w:line="360" w:lineRule="auto"/>
        <w:jc w:val="both"/>
        <w:rPr>
          <w:i/>
          <w:iCs/>
          <w:color w:val="000000" w:themeColor="text1"/>
        </w:rPr>
      </w:pPr>
    </w:p>
    <w:p w14:paraId="506B7FB9" w14:textId="77777777" w:rsidR="00E63DD3" w:rsidRDefault="00E63DD3" w:rsidP="00B64CB0">
      <w:pPr>
        <w:spacing w:line="360" w:lineRule="auto"/>
        <w:jc w:val="both"/>
        <w:rPr>
          <w:i/>
          <w:iCs/>
          <w:color w:val="000000" w:themeColor="text1"/>
        </w:rPr>
      </w:pPr>
    </w:p>
    <w:p w14:paraId="30F97FBA" w14:textId="77777777" w:rsidR="006514C8" w:rsidRDefault="006514C8" w:rsidP="00B64CB0">
      <w:pPr>
        <w:spacing w:line="360" w:lineRule="auto"/>
        <w:jc w:val="both"/>
        <w:rPr>
          <w:i/>
          <w:iCs/>
          <w:color w:val="000000" w:themeColor="text1"/>
        </w:rPr>
      </w:pPr>
    </w:p>
    <w:p w14:paraId="2137EA45" w14:textId="77777777" w:rsidR="00B3103D" w:rsidRDefault="00B3103D" w:rsidP="00B64CB0">
      <w:pPr>
        <w:spacing w:line="360" w:lineRule="auto"/>
        <w:jc w:val="both"/>
        <w:rPr>
          <w:i/>
          <w:iCs/>
          <w:color w:val="000000" w:themeColor="text1"/>
        </w:rPr>
      </w:pPr>
    </w:p>
    <w:p w14:paraId="0D9DBB83" w14:textId="77777777" w:rsidR="0099454D" w:rsidRPr="0043234C" w:rsidRDefault="0099454D" w:rsidP="00B64CB0">
      <w:pPr>
        <w:spacing w:line="360" w:lineRule="auto"/>
        <w:jc w:val="both"/>
        <w:rPr>
          <w:i/>
          <w:iCs/>
          <w:color w:val="000000" w:themeColor="text1"/>
        </w:rPr>
      </w:pPr>
    </w:p>
    <w:p w14:paraId="2C90E208" w14:textId="5F91E8B2" w:rsidR="00666412" w:rsidRPr="0043234C" w:rsidRDefault="00362481" w:rsidP="00666412">
      <w:pPr>
        <w:pStyle w:val="ListParagraph"/>
        <w:numPr>
          <w:ilvl w:val="0"/>
          <w:numId w:val="6"/>
        </w:numPr>
        <w:spacing w:after="0" w:line="360" w:lineRule="auto"/>
        <w:ind w:left="284" w:hanging="284"/>
        <w:jc w:val="both"/>
        <w:rPr>
          <w:rFonts w:ascii="Times New Roman" w:hAnsi="Times New Roman" w:cs="Times New Roman"/>
          <w:b/>
          <w:bCs/>
          <w:color w:val="000000" w:themeColor="text1"/>
          <w:sz w:val="24"/>
          <w:szCs w:val="24"/>
        </w:rPr>
      </w:pPr>
      <w:bookmarkStart w:id="0" w:name="_Hlk191845302"/>
      <w:r w:rsidRPr="0043234C">
        <w:rPr>
          <w:rFonts w:ascii="Times New Roman" w:hAnsi="Times New Roman" w:cs="Times New Roman"/>
          <w:b/>
          <w:bCs/>
          <w:color w:val="000000" w:themeColor="text1"/>
          <w:sz w:val="24"/>
          <w:szCs w:val="24"/>
        </w:rPr>
        <w:t>Introduction:</w:t>
      </w:r>
      <w:r w:rsidR="00153E38" w:rsidRPr="0043234C">
        <w:rPr>
          <w:rFonts w:ascii="Times New Roman" w:hAnsi="Times New Roman" w:cs="Times New Roman"/>
          <w:b/>
          <w:bCs/>
          <w:color w:val="000000" w:themeColor="text1"/>
          <w:sz w:val="24"/>
          <w:szCs w:val="24"/>
        </w:rPr>
        <w:t xml:space="preserve"> </w:t>
      </w:r>
      <w:bookmarkEnd w:id="0"/>
    </w:p>
    <w:p w14:paraId="0BCA50BE" w14:textId="393EA45E" w:rsidR="00CB1B16" w:rsidRDefault="00666412" w:rsidP="00666412">
      <w:pPr>
        <w:spacing w:line="360" w:lineRule="auto"/>
        <w:jc w:val="both"/>
        <w:rPr>
          <w:color w:val="000000" w:themeColor="text1"/>
        </w:rPr>
      </w:pPr>
      <w:r w:rsidRPr="0043234C">
        <w:rPr>
          <w:color w:val="000000" w:themeColor="text1"/>
        </w:rPr>
        <w:t>The metaverse represents an immersive digital space where users interact with each other and virtual objects, creating unprecedented opportunities for brands to engage with their audiences (</w:t>
      </w:r>
      <w:r w:rsidR="00266389">
        <w:rPr>
          <w:color w:val="000000" w:themeColor="text1"/>
        </w:rPr>
        <w:t>Arya et al., 2024</w:t>
      </w:r>
      <w:r w:rsidR="00E63DD3">
        <w:rPr>
          <w:color w:val="000000" w:themeColor="text1"/>
        </w:rPr>
        <w:t>a</w:t>
      </w:r>
      <w:r w:rsidR="00266389">
        <w:rPr>
          <w:color w:val="000000" w:themeColor="text1"/>
        </w:rPr>
        <w:t xml:space="preserve">; </w:t>
      </w:r>
      <w:proofErr w:type="spellStart"/>
      <w:r w:rsidRPr="0043234C">
        <w:rPr>
          <w:color w:val="000000" w:themeColor="text1"/>
        </w:rPr>
        <w:t>Za</w:t>
      </w:r>
      <w:r w:rsidR="00B3103D">
        <w:rPr>
          <w:color w:val="000000" w:themeColor="text1"/>
        </w:rPr>
        <w:t>l</w:t>
      </w:r>
      <w:r w:rsidRPr="0043234C">
        <w:rPr>
          <w:color w:val="000000" w:themeColor="text1"/>
        </w:rPr>
        <w:t>lio</w:t>
      </w:r>
      <w:proofErr w:type="spellEnd"/>
      <w:r w:rsidRPr="0043234C">
        <w:rPr>
          <w:color w:val="000000" w:themeColor="text1"/>
        </w:rPr>
        <w:t xml:space="preserve"> and Clarkson, 2022). By integrating metaverse technologies wit</w:t>
      </w:r>
      <w:r w:rsidR="005427CC" w:rsidRPr="0043234C">
        <w:rPr>
          <w:color w:val="000000" w:themeColor="text1"/>
        </w:rPr>
        <w:t xml:space="preserve">h </w:t>
      </w:r>
      <w:r w:rsidRPr="0043234C">
        <w:rPr>
          <w:color w:val="000000" w:themeColor="text1"/>
        </w:rPr>
        <w:t>marketing strategies, brands can create digital experiences that align with objectives and deliver measurable value</w:t>
      </w:r>
      <w:r w:rsidR="00243C05">
        <w:rPr>
          <w:color w:val="000000" w:themeColor="text1"/>
        </w:rPr>
        <w:t xml:space="preserve"> in marketing context</w:t>
      </w:r>
      <w:r w:rsidRPr="0043234C">
        <w:rPr>
          <w:color w:val="000000" w:themeColor="text1"/>
        </w:rPr>
        <w:t xml:space="preserve"> (</w:t>
      </w:r>
      <w:r w:rsidRPr="0043234C">
        <w:t>Anderson et al., 2024)</w:t>
      </w:r>
      <w:r w:rsidRPr="0043234C">
        <w:rPr>
          <w:color w:val="000000" w:themeColor="text1"/>
        </w:rPr>
        <w:t xml:space="preserve">. The metaverse is built on hyperconnectivity, leveraging augmented reality (AR) and virtual reality (VR) technologies to create immersive environments that seamlessly integrate digital information with the physical world </w:t>
      </w:r>
      <w:r w:rsidR="00CB1B16">
        <w:rPr>
          <w:color w:val="000000" w:themeColor="text1"/>
        </w:rPr>
        <w:t xml:space="preserve">and, fundamentally transformed the way brands engage with the consumers, leading to a shift in traditional marketing strategies </w:t>
      </w:r>
      <w:r w:rsidRPr="00CB1B16">
        <w:rPr>
          <w:color w:val="000000" w:themeColor="text1"/>
        </w:rPr>
        <w:t>(</w:t>
      </w:r>
      <w:r w:rsidR="00402117" w:rsidRPr="00CB1B16">
        <w:t>Arya et al., 2024a</w:t>
      </w:r>
      <w:r w:rsidR="00402117" w:rsidRPr="00CB1B16">
        <w:rPr>
          <w:color w:val="000000" w:themeColor="text1"/>
        </w:rPr>
        <w:t>; Hennig-Thurau et al., 2023;</w:t>
      </w:r>
      <w:r w:rsidR="00ED44A2" w:rsidRPr="00CB1B16">
        <w:rPr>
          <w:color w:val="000000" w:themeColor="text1"/>
        </w:rPr>
        <w:t xml:space="preserve"> </w:t>
      </w:r>
      <w:r w:rsidRPr="00CB1B16">
        <w:rPr>
          <w:color w:val="000000" w:themeColor="text1"/>
        </w:rPr>
        <w:t>Lee et al., 2022)</w:t>
      </w:r>
      <w:r w:rsidR="00CB1B16" w:rsidRPr="00CB1B16">
        <w:rPr>
          <w:color w:val="000000" w:themeColor="text1"/>
        </w:rPr>
        <w:t xml:space="preserve">. </w:t>
      </w:r>
    </w:p>
    <w:p>
      <w:r>
        <w:t>We do not treat the metaverse as a self-evident future for marketing. After a period of intense investment, several major firms have scaled back dedicated metaverse initiatives, and practitioner sentiment has cooled markedly relative to the peak of the hype cycle (eMarketer, 2023). At the same time, large immersive-social platforms such as Roblox and Fortnite retain very large, commercially active audiences, and immersive-technology markets in emerging economies continue to expand. We therefore scope our contribution to the platforms and user segments where immersive brand activity is currently concentrated, and we test whether established relationships replicate and recombine there rather than assuming the metaverse's universal relevance.</w:t>
      </w:r>
    </w:p>
    <w:p w14:paraId="51BC317D" w14:textId="1C6D09A0" w:rsidR="00666412" w:rsidRPr="0043234C" w:rsidRDefault="00666412" w:rsidP="00247F83">
      <w:pPr>
        <w:spacing w:line="360" w:lineRule="auto"/>
        <w:ind w:firstLine="426"/>
        <w:jc w:val="both"/>
        <w:rPr>
          <w:color w:val="000000" w:themeColor="text1"/>
        </w:rPr>
      </w:pPr>
      <w:proofErr w:type="spellStart"/>
      <w:proofErr w:type="spellEnd"/>
      <w:proofErr w:type="spellStart"/>
      <w:proofErr w:type="spellEnd"/>
      <w:r>
        <w:t>Unlike earlier digital channels, the metaverse differs in three concrete respects that are consequential for brands: interaction is embodied through avatars rather than screen-mediated, social presence is persistent rather than episodic, and economic value can be attached to user-owned digital assets rather than to advertising impressions alone (Arya et al., 2024a; Bilgihan et al., 2024; Hennig-Thurau et al., 2023). These features raise a specific and as-yet-unanswered question: do the engagement-experience-satisfaction relationships established in conventional marketing still operate when brand interaction is embodied, social, and asset-based, and do they combine in the same way?</w:t>
      </w:r>
    </w:p>
    <w:p w14:paraId="41FC1AE5" w14:textId="40B46F52" w:rsidR="006B5016" w:rsidRDefault="00666412" w:rsidP="00125206">
      <w:pPr>
        <w:tabs>
          <w:tab w:val="left" w:pos="426"/>
        </w:tabs>
        <w:spacing w:line="360" w:lineRule="auto"/>
        <w:jc w:val="both"/>
        <w:rPr>
          <w:color w:val="000000" w:themeColor="text1"/>
        </w:rPr>
      </w:pPr>
      <w:proofErr w:type="spellStart"/>
      <w:proofErr w:type="spellEnd"/>
      <w:proofErr w:type="spellStart"/>
      <w:proofErr w:type="spellEnd"/>
      <w:r>
        <w:t>Most existing studies examine isolated elements, such as gamification, avatars, or non-fungible tokens, and estimate their net, independent effects on a brand outcome (Hennig-Thurau et al., 2023; Xie and Muralidharan, 2023). This variable-centric approach establishes which factor matters most on average, but it does not address the question managers actually face: which combinations of engagement, experience, and satisfaction jointly produce brand success, and whether more than one combination can do so. Because metaverse brand value is co-created across embodied, social, and economic activities simultaneously, a configurational lens is theoretically warranted (Furnari et al., 2021; Pappas and Woodside, 2021).</w:t>
      </w:r>
    </w:p>
    <w:p w14:paraId="5949DC29" w14:textId="7DCB98A7" w:rsidR="00CE12FB" w:rsidRDefault="006B5016" w:rsidP="00125206">
      <w:pPr>
        <w:tabs>
          <w:tab w:val="left" w:pos="426"/>
        </w:tabs>
        <w:spacing w:line="360" w:lineRule="auto"/>
        <w:jc w:val="both"/>
        <w:rPr>
          <w:color w:val="000000" w:themeColor="text1"/>
        </w:rPr>
      </w:pPr>
      <w:proofErr w:type="spellStart"/>
      <w:proofErr w:type="spellEnd"/>
      <w:proofErr w:type="spellStart"/>
      <w:proofErr w:type="spellEnd"/>
      <w:proofErr w:type="spellStart"/>
      <w:proofErr w:type="spellEnd"/>
      <w:r>
        <w:t>Accordingly, this study examines how user engagement and immersive experience combine to shape brand success in the metaverse. We retain the substantive concerns of prior work, including personalization, social interaction, and the role of digital assets, but reframe the analytical task from estimating average effects to identifying the configurations of conditions associated with favourable brand outcomes.</w:t>
      </w:r>
    </w:p>
    <w:p w14:paraId="46E6112C" w14:textId="7BDDC068" w:rsidR="00CE12FB" w:rsidRDefault="00CE12FB"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 xml:space="preserve">While previous research has explored individual aspects of digital marketing, such as gamification or user-generated content, there is limited understanding of how combinations of engagement and experience factors drive brand </w:t>
      </w:r>
      <w:r w:rsidR="005E0F58">
        <w:rPr>
          <w:color w:val="000000" w:themeColor="text1"/>
        </w:rPr>
        <w:t>satisfaction</w:t>
      </w:r>
      <w:r w:rsidR="00666412" w:rsidRPr="0043234C">
        <w:rPr>
          <w:color w:val="000000" w:themeColor="text1"/>
        </w:rPr>
        <w:t xml:space="preserve"> and differentiation in virtual environments (Hennig-Thurau et al., 2023). Moreover, the metaverse presents unique challenges and opportunities for brands, including the need to integrate emerging technologies like NFTs and augmented reality into their strategies (</w:t>
      </w:r>
      <w:proofErr w:type="spellStart"/>
      <w:r w:rsidR="00666412" w:rsidRPr="0043234C">
        <w:rPr>
          <w:color w:val="000000" w:themeColor="text1"/>
        </w:rPr>
        <w:t>Bilgihan</w:t>
      </w:r>
      <w:proofErr w:type="spellEnd"/>
      <w:r w:rsidR="00666412" w:rsidRPr="0043234C">
        <w:rPr>
          <w:color w:val="000000" w:themeColor="text1"/>
        </w:rPr>
        <w:t xml:space="preserve"> et al., 2024</w:t>
      </w:r>
      <w:r w:rsidR="001B3556">
        <w:rPr>
          <w:color w:val="000000" w:themeColor="text1"/>
        </w:rPr>
        <w:t xml:space="preserve">; </w:t>
      </w:r>
      <w:r w:rsidR="001B3556" w:rsidRPr="0043234C">
        <w:rPr>
          <w:color w:val="000000" w:themeColor="text1"/>
        </w:rPr>
        <w:t>Hennig-Thurau et al., 2023</w:t>
      </w:r>
      <w:r w:rsidR="00666412" w:rsidRPr="0043234C">
        <w:rPr>
          <w:color w:val="000000" w:themeColor="text1"/>
        </w:rPr>
        <w:t>).</w:t>
      </w:r>
      <w:r w:rsidR="00ED44A2">
        <w:rPr>
          <w:color w:val="000000" w:themeColor="text1"/>
        </w:rPr>
        <w:t xml:space="preserve"> </w:t>
      </w:r>
    </w:p>
    <w:p w14:paraId="6E3C033C" w14:textId="6C26AE09" w:rsidR="00666412" w:rsidRPr="0043234C" w:rsidRDefault="00666412" w:rsidP="00666412">
      <w:pPr>
        <w:spacing w:line="360" w:lineRule="auto"/>
        <w:ind w:firstLine="426"/>
        <w:jc w:val="both"/>
        <w:rPr>
          <w:color w:val="000000" w:themeColor="text1"/>
        </w:rPr>
      </w:pPr>
      <w:r w:rsidRPr="0043234C">
        <w:rPr>
          <w:color w:val="000000" w:themeColor="text1"/>
        </w:rPr>
        <w:t>Building emotional connections in the metaverse is essential for brands aiming to engage effectively with their audiences. Literature indicates a positive correlation between emotional attachment and brand relationships (</w:t>
      </w:r>
      <w:bookmarkStart w:id="1" w:name="_Hlk199322582"/>
      <w:proofErr w:type="spellStart"/>
      <w:r w:rsidR="00AD577C" w:rsidRPr="009A1376">
        <w:rPr>
          <w:color w:val="000000" w:themeColor="text1"/>
        </w:rPr>
        <w:t>Bilgihan</w:t>
      </w:r>
      <w:bookmarkEnd w:id="1"/>
      <w:proofErr w:type="spellEnd"/>
      <w:r w:rsidR="00AD577C">
        <w:rPr>
          <w:color w:val="000000" w:themeColor="text1"/>
        </w:rPr>
        <w:t xml:space="preserve"> et al., 2024</w:t>
      </w:r>
      <w:r w:rsidRPr="0043234C">
        <w:rPr>
          <w:color w:val="000000" w:themeColor="text1"/>
        </w:rPr>
        <w:t xml:space="preserve">; Arya et al., 2022). This involves designing immersive experiences, interactive encounters, and personalized interactions that enhance user experiences and drive emotionally induced consumer </w:t>
      </w:r>
      <w:proofErr w:type="spellStart"/>
      <w:r w:rsidRPr="0043234C">
        <w:rPr>
          <w:color w:val="000000" w:themeColor="text1"/>
        </w:rPr>
        <w:t>behavior</w:t>
      </w:r>
      <w:proofErr w:type="spellEnd"/>
      <w:r w:rsidRPr="0043234C">
        <w:rPr>
          <w:color w:val="000000" w:themeColor="text1"/>
        </w:rPr>
        <w:t xml:space="preserve"> (</w:t>
      </w:r>
      <w:r w:rsidR="00024B84" w:rsidRPr="00682DCA">
        <w:t>Shamim</w:t>
      </w:r>
      <w:r w:rsidR="00024B84" w:rsidRPr="0043234C">
        <w:rPr>
          <w:color w:val="000000" w:themeColor="text1"/>
        </w:rPr>
        <w:t xml:space="preserve"> </w:t>
      </w:r>
      <w:r w:rsidR="00024B84">
        <w:rPr>
          <w:color w:val="000000" w:themeColor="text1"/>
        </w:rPr>
        <w:t>et al., 2025</w:t>
      </w:r>
      <w:r w:rsidRPr="0043234C">
        <w:rPr>
          <w:color w:val="000000" w:themeColor="text1"/>
        </w:rPr>
        <w:t xml:space="preserve">). These interactions foster </w:t>
      </w:r>
      <w:r w:rsidR="005E0F58">
        <w:rPr>
          <w:color w:val="000000" w:themeColor="text1"/>
        </w:rPr>
        <w:t>satisfaction</w:t>
      </w:r>
      <w:r w:rsidRPr="0043234C">
        <w:rPr>
          <w:color w:val="000000" w:themeColor="text1"/>
        </w:rPr>
        <w:t>, trust, and identification with the brand, aligning it with users’ emotional orientation (</w:t>
      </w:r>
      <w:r w:rsidR="00416113" w:rsidRPr="00682DCA">
        <w:t>Vo</w:t>
      </w:r>
      <w:r w:rsidR="00416113" w:rsidRPr="0043234C">
        <w:rPr>
          <w:color w:val="000000" w:themeColor="text1"/>
        </w:rPr>
        <w:t xml:space="preserve"> </w:t>
      </w:r>
      <w:r w:rsidR="00416113">
        <w:rPr>
          <w:color w:val="000000" w:themeColor="text1"/>
        </w:rPr>
        <w:t>et al., 2025).</w:t>
      </w:r>
    </w:p>
    <w:p w14:paraId="59638F90" w14:textId="138C0ABC" w:rsidR="00B52441" w:rsidRPr="0043234C" w:rsidRDefault="00666412" w:rsidP="00B52441">
      <w:pPr>
        <w:spacing w:line="360" w:lineRule="auto"/>
        <w:ind w:firstLine="426"/>
        <w:jc w:val="both"/>
        <w:rPr>
          <w:color w:val="000000" w:themeColor="text1"/>
        </w:rPr>
      </w:pPr>
      <w:r w:rsidRPr="0043234C">
        <w:rPr>
          <w:color w:val="000000" w:themeColor="text1"/>
        </w:rPr>
        <w:t>The metaverse also offers a platform for brands to transcend physical limitations, engaging global users. Data-driven insights enable brands to manage these interactions effectively and consistently across regions (Dwivedi et al., 202</w:t>
      </w:r>
      <w:r w:rsidR="00332709">
        <w:rPr>
          <w:color w:val="000000" w:themeColor="text1"/>
        </w:rPr>
        <w:t>3</w:t>
      </w:r>
      <w:r w:rsidRPr="0043234C">
        <w:rPr>
          <w:color w:val="000000" w:themeColor="text1"/>
        </w:rPr>
        <w:t xml:space="preserve">). By personalizing user experiences, brands can strengthen brand perception, and enhance satisfaction (Chandra et al., 2022). Brands that tailor their offerings to meet individual needs are more likely to </w:t>
      </w:r>
      <w:r w:rsidR="001B3556" w:rsidRPr="0043234C">
        <w:rPr>
          <w:color w:val="000000" w:themeColor="text1"/>
        </w:rPr>
        <w:t>advance</w:t>
      </w:r>
      <w:r w:rsidRPr="0043234C">
        <w:rPr>
          <w:color w:val="000000" w:themeColor="text1"/>
        </w:rPr>
        <w:t xml:space="preserve"> </w:t>
      </w:r>
      <w:r w:rsidR="001B3556" w:rsidRPr="0043234C">
        <w:rPr>
          <w:color w:val="000000" w:themeColor="text1"/>
        </w:rPr>
        <w:t>deep</w:t>
      </w:r>
      <w:r w:rsidRPr="0043234C">
        <w:rPr>
          <w:color w:val="000000" w:themeColor="text1"/>
        </w:rPr>
        <w:t xml:space="preserve"> emotional bonds, leading to increased word-of-mouth promotion and advocacy.</w:t>
      </w:r>
    </w:p>
    <w:p w14:paraId="38B1FEC0" w14:textId="432924CD" w:rsidR="005560D1" w:rsidRDefault="0045186A" w:rsidP="0045186A">
      <w:pPr>
        <w:spacing w:line="360" w:lineRule="auto"/>
        <w:ind w:firstLine="426"/>
        <w:jc w:val="both"/>
        <w:rPr>
          <w:color w:val="000000" w:themeColor="text1"/>
        </w:rPr>
      </w:pPr>
      <w:r>
        <w:t>This study makes three contributions. First, it moves metaverse branding from a variable-centric to a configurational account, using fuzzy-set qualitative comparative analysis (fsQCA) to identify equifinal pathways to brand success rather than a single best predictor (Pappas and Woodside, 2021; Ragin, 2008). Second, it translates Flow Theory and SDT from descriptive references into an explanatory framework with explicit propositions that connect specific theoretical mechanisms to the measured constructs. Third, it tests these ideas in India, a large, digitally native, and under-researched market, extending a literature that has been predominantly Western. Throughout, every empirical claim is tied to a measured construct, and we are explicit about what a four-construct design can and cannot support.</w:t>
      </w:r>
    </w:p>
    <w:p w14:paraId="657E9747" w14:textId="10590B61" w:rsidR="009668F1" w:rsidRDefault="005560D1" w:rsidP="009668F1">
      <w:pPr>
        <w:tabs>
          <w:tab w:val="left" w:pos="426"/>
        </w:tabs>
        <w:spacing w:line="360" w:lineRule="auto"/>
        <w:jc w:val="both"/>
        <w:rPr>
          <w:color w:val="000000" w:themeColor="text1"/>
        </w:rPr>
      </w:pPr>
      <w:r>
        <w:t>We integrate two complementary theories. Flow Theory (Csikszentmihalyi, 1990) explains the experiential mechanism through which immersive interaction becomes intrinsically rewarding, while Self-Determination Theory (SDT; Deci and Ryan, 2000) explains the motivational mechanism that draws users into, and sustains them within, such experiences. In the metaverse, avatar customization and asset ownership support autonomy, skill-based progression supports competence, and persistent social worlds support relatedness; these affordances, in turn, create the challenge-skill balance, clear goals, and immediate feedback that induce flow. We treat these needs and flow antecedents as the theoretical mechanisms that motivate the four measured constructs, not as separately measured variables, a scope condition we make explicit throughout.</w:t>
      </w:r>
    </w:p>
    <w:p w14:paraId="5B29381E" w14:textId="59BF5C58" w:rsidR="00F47684" w:rsidRDefault="00377169" w:rsidP="00E62169">
      <w:pPr>
        <w:spacing w:line="360" w:lineRule="auto"/>
        <w:ind w:firstLine="426"/>
        <w:jc w:val="both"/>
        <w:rPr>
          <w:color w:val="000000" w:themeColor="text1"/>
        </w:rPr>
      </w:pPr>
      <w:r>
        <w:t>Our overarching question is: how do immersive, avatar-mediated metaverse interactions alter the configuration of user engagement, user experience, and brand satisfaction that leads to brand success? We decompose this into three research questions. RQ1: Which combinations of user engagement and user experience are associated with users' brand satisfaction in the metaverse? RQ2: How are user engagement and user experience related to one another, and how empirically distinct are they? RQ3: Which configurations of engagement, experience, and satisfaction are associated with brand success in the metaverse? The remainder of the paper develops the theoretical framework and propositions, details the method and measures, reports the PLS-SEM and fsQCA results, and discusses the implications, limitations, and avenues for future research.</w:t>
      </w:r>
    </w:p>
    <w:p w14:paraId="1E22A5E4" w14:textId="77777777" w:rsidR="00BC0CD1" w:rsidRPr="0043234C" w:rsidRDefault="00BC0CD1" w:rsidP="00BC0CD1">
      <w:pPr>
        <w:spacing w:line="360" w:lineRule="auto"/>
        <w:ind w:firstLine="720"/>
        <w:jc w:val="both"/>
        <w:rPr>
          <w:b/>
          <w:bCs/>
          <w:color w:val="000000" w:themeColor="text1"/>
        </w:rPr>
      </w:pPr>
    </w:p>
    <w:p w14:paraId="7D09AD93" w14:textId="75646972" w:rsidR="000C745B" w:rsidRPr="0043234C" w:rsidRDefault="00B4702E" w:rsidP="00B64CB0">
      <w:pPr>
        <w:spacing w:line="360" w:lineRule="auto"/>
        <w:jc w:val="both"/>
        <w:rPr>
          <w:b/>
          <w:bCs/>
          <w:color w:val="000000" w:themeColor="text1"/>
        </w:rPr>
      </w:pPr>
      <w:r w:rsidRPr="0043234C">
        <w:rPr>
          <w:b/>
          <w:bCs/>
          <w:color w:val="000000" w:themeColor="text1"/>
        </w:rPr>
        <w:t xml:space="preserve">2. </w:t>
      </w:r>
      <w:r w:rsidR="009E4153" w:rsidRPr="0043234C">
        <w:rPr>
          <w:b/>
          <w:bCs/>
          <w:color w:val="000000" w:themeColor="text1"/>
        </w:rPr>
        <w:t xml:space="preserve">Literature </w:t>
      </w:r>
      <w:r w:rsidR="00233988">
        <w:rPr>
          <w:b/>
          <w:bCs/>
          <w:color w:val="000000" w:themeColor="text1"/>
        </w:rPr>
        <w:t>R</w:t>
      </w:r>
      <w:r w:rsidR="009E4153" w:rsidRPr="0043234C">
        <w:rPr>
          <w:b/>
          <w:bCs/>
          <w:color w:val="000000" w:themeColor="text1"/>
        </w:rPr>
        <w:t>eview:</w:t>
      </w:r>
    </w:p>
    <w:p w14:paraId="21AA5EBF" w14:textId="19E9E95A" w:rsidR="008E4F8B" w:rsidRPr="00233988" w:rsidRDefault="008E4F8B" w:rsidP="00B64CB0">
      <w:pPr>
        <w:autoSpaceDE w:val="0"/>
        <w:autoSpaceDN w:val="0"/>
        <w:adjustRightInd w:val="0"/>
        <w:spacing w:line="360" w:lineRule="auto"/>
        <w:jc w:val="both"/>
        <w:rPr>
          <w:b/>
          <w:bCs/>
          <w:i/>
          <w:iCs/>
          <w:color w:val="000000" w:themeColor="text1"/>
        </w:rPr>
      </w:pPr>
      <w:r w:rsidRPr="00233988">
        <w:rPr>
          <w:b/>
          <w:bCs/>
          <w:i/>
          <w:iCs/>
          <w:color w:val="000000" w:themeColor="text1"/>
        </w:rPr>
        <w:t xml:space="preserve">2.1. Immersive Environment </w:t>
      </w:r>
    </w:p>
    <w:p w14:paraId="2E46495A" w14:textId="50503183" w:rsidR="0087626C" w:rsidRPr="0087626C" w:rsidRDefault="0087626C" w:rsidP="0087626C">
      <w:pPr>
        <w:spacing w:line="360" w:lineRule="auto"/>
        <w:jc w:val="both"/>
        <w:rPr>
          <w:color w:val="000000" w:themeColor="text1"/>
        </w:rPr>
      </w:pPr>
      <w:r w:rsidRPr="0087626C">
        <w:rPr>
          <w:color w:val="000000" w:themeColor="text1"/>
        </w:rPr>
        <w:t xml:space="preserve">Firms can enhance customer experiences in the metaverse through three key components: </w:t>
      </w:r>
      <w:proofErr w:type="spellStart"/>
      <w:r w:rsidRPr="0087626C">
        <w:rPr>
          <w:color w:val="000000" w:themeColor="text1"/>
        </w:rPr>
        <w:t>immersiveness</w:t>
      </w:r>
      <w:proofErr w:type="spellEnd"/>
      <w:r w:rsidRPr="0087626C">
        <w:rPr>
          <w:color w:val="000000" w:themeColor="text1"/>
        </w:rPr>
        <w:t xml:space="preserve">, sociability, and ecological faithfulness (Arya et al., 2024a). </w:t>
      </w:r>
      <w:proofErr w:type="spellStart"/>
      <w:r w:rsidRPr="0087626C">
        <w:rPr>
          <w:color w:val="000000" w:themeColor="text1"/>
        </w:rPr>
        <w:t>Immersiveness</w:t>
      </w:r>
      <w:proofErr w:type="spellEnd"/>
      <w:r w:rsidRPr="0087626C">
        <w:rPr>
          <w:color w:val="000000" w:themeColor="text1"/>
        </w:rPr>
        <w:t xml:space="preserve"> captures users’ mental absorption and sensory engagement, often described as “presence,” where virtual environments are perceived as real (Shamim et al., 2025; </w:t>
      </w:r>
      <w:proofErr w:type="spellStart"/>
      <w:r w:rsidRPr="0087626C">
        <w:rPr>
          <w:color w:val="000000" w:themeColor="text1"/>
        </w:rPr>
        <w:t>Daassi</w:t>
      </w:r>
      <w:proofErr w:type="spellEnd"/>
      <w:r w:rsidRPr="0087626C">
        <w:rPr>
          <w:color w:val="000000" w:themeColor="text1"/>
        </w:rPr>
        <w:t xml:space="preserve"> et al., 2021). It strengthens emotional engagement, reduces external distractions, and fosters connection, thereby increasing user satisfaction and brand trust through vivid, memorable interactions (Shamim et al., 2025; </w:t>
      </w:r>
      <w:proofErr w:type="spellStart"/>
      <w:r w:rsidRPr="0087626C">
        <w:rPr>
          <w:color w:val="000000" w:themeColor="text1"/>
        </w:rPr>
        <w:t>Bilgihan</w:t>
      </w:r>
      <w:proofErr w:type="spellEnd"/>
      <w:r w:rsidRPr="0087626C">
        <w:rPr>
          <w:color w:val="000000" w:themeColor="text1"/>
        </w:rPr>
        <w:t xml:space="preserve"> et al., 2024).</w:t>
      </w:r>
    </w:p>
    <w:p w14:paraId="5978C295" w14:textId="77777777" w:rsidR="0087626C" w:rsidRPr="0087626C" w:rsidRDefault="0087626C" w:rsidP="0087626C">
      <w:pPr>
        <w:spacing w:line="360" w:lineRule="auto"/>
        <w:ind w:firstLine="426"/>
        <w:jc w:val="both"/>
        <w:rPr>
          <w:color w:val="000000" w:themeColor="text1"/>
        </w:rPr>
      </w:pPr>
      <w:r w:rsidRPr="0087626C">
        <w:rPr>
          <w:color w:val="000000" w:themeColor="text1"/>
        </w:rPr>
        <w:t xml:space="preserve">Sociability refers to the quality of social interactions in virtual spaces, enabling collaboration, community building, and emotional bonding (Hennig-Thurau et al., 2023). Social presence—a core element—enhances enjoyment by fostering co-presence, as seen in social VR events that strengthen community ties and advocacy (Osborne et al., 2024; Arya et </w:t>
      </w:r>
      <w:r w:rsidRPr="0087626C">
        <w:rPr>
          <w:color w:val="000000" w:themeColor="text1"/>
        </w:rPr>
        <w:lastRenderedPageBreak/>
        <w:t>al., 2024a; Dwivedi et al., 2023). Ecological faithfulness denotes the authenticity of virtual environments in reflecting real-world ecological systems, promoting sustainability and environmental awareness. Such alignment fosters trust and appeals to environmentally conscious consumers (Hennig-Thurau et al., 2023; Dwivedi et al., 202).</w:t>
      </w:r>
    </w:p>
    <w:p w14:paraId="08CDB383" w14:textId="4554404B" w:rsidR="0087626C" w:rsidRPr="0087626C" w:rsidRDefault="0087626C" w:rsidP="0087626C">
      <w:pPr>
        <w:spacing w:line="360" w:lineRule="auto"/>
        <w:ind w:firstLine="426"/>
        <w:jc w:val="both"/>
        <w:rPr>
          <w:color w:val="000000" w:themeColor="text1"/>
        </w:rPr>
      </w:pPr>
      <w:r w:rsidRPr="0087626C">
        <w:rPr>
          <w:color w:val="000000" w:themeColor="text1"/>
        </w:rPr>
        <w:t>The metaverse, as a computer-mediated space, enables avatar-based interactions and personalized engagement through decentralized data processes (Hennig-Thurau et al., 2023; Blazquez, 2024). Strategic integration of immersive storytelling, gamification, and virtual product launches—supported by data-driven insights—represents a critical growth avenue (</w:t>
      </w:r>
      <w:proofErr w:type="spellStart"/>
      <w:r w:rsidRPr="0087626C">
        <w:rPr>
          <w:color w:val="000000" w:themeColor="text1"/>
        </w:rPr>
        <w:t>Bilgihan</w:t>
      </w:r>
      <w:proofErr w:type="spellEnd"/>
      <w:r w:rsidRPr="0087626C">
        <w:rPr>
          <w:color w:val="000000" w:themeColor="text1"/>
        </w:rPr>
        <w:t xml:space="preserve"> et al., 2024; Lee </w:t>
      </w:r>
      <w:r w:rsidR="001039BF">
        <w:rPr>
          <w:color w:val="000000" w:themeColor="text1"/>
        </w:rPr>
        <w:t>and</w:t>
      </w:r>
      <w:r w:rsidRPr="0087626C">
        <w:rPr>
          <w:color w:val="000000" w:themeColor="text1"/>
        </w:rPr>
        <w:t xml:space="preserve"> Shen, 2024). While these experiences foster loyalty by generating positive emotions and advocacy (Rather et al., 2022), poorly executed designs may trigger frustration, overstimulation, or anxiety, leading to disengagement (Lavoie et al., 202</w:t>
      </w:r>
      <w:r w:rsidR="00F30DAB">
        <w:rPr>
          <w:color w:val="000000" w:themeColor="text1"/>
        </w:rPr>
        <w:t>1</w:t>
      </w:r>
      <w:r w:rsidRPr="0087626C">
        <w:rPr>
          <w:color w:val="000000" w:themeColor="text1"/>
        </w:rPr>
        <w:t>; Duong et al., 202</w:t>
      </w:r>
      <w:r w:rsidR="00F30DAB">
        <w:rPr>
          <w:color w:val="000000" w:themeColor="text1"/>
        </w:rPr>
        <w:t>5</w:t>
      </w:r>
      <w:r w:rsidRPr="0087626C">
        <w:rPr>
          <w:color w:val="000000" w:themeColor="text1"/>
        </w:rPr>
        <w:t>). Excessive reliance on immersion may also promote escapism, underscoring the need for psychologically safe, user-</w:t>
      </w:r>
      <w:proofErr w:type="spellStart"/>
      <w:r w:rsidRPr="0087626C">
        <w:rPr>
          <w:color w:val="000000" w:themeColor="text1"/>
        </w:rPr>
        <w:t>centered</w:t>
      </w:r>
      <w:proofErr w:type="spellEnd"/>
      <w:r w:rsidRPr="0087626C">
        <w:rPr>
          <w:color w:val="000000" w:themeColor="text1"/>
        </w:rPr>
        <w:t xml:space="preserve"> strategies (Huang et al., 2024).</w:t>
      </w:r>
    </w:p>
    <w:p w14:paraId="3ABBDE75" w14:textId="77777777" w:rsidR="0087626C" w:rsidRDefault="0087626C" w:rsidP="00B64CB0">
      <w:pPr>
        <w:spacing w:line="360" w:lineRule="auto"/>
        <w:jc w:val="both"/>
        <w:rPr>
          <w:b/>
          <w:bCs/>
          <w:color w:val="000000" w:themeColor="text1"/>
        </w:rPr>
      </w:pPr>
    </w:p>
    <w:p w14:paraId="4CF95C5B" w14:textId="1BC048F7" w:rsidR="006A349E" w:rsidRPr="00233988" w:rsidRDefault="00A3485D" w:rsidP="00B64CB0">
      <w:pPr>
        <w:spacing w:line="360" w:lineRule="auto"/>
        <w:jc w:val="both"/>
        <w:rPr>
          <w:b/>
          <w:bCs/>
          <w:i/>
          <w:iCs/>
          <w:color w:val="000000" w:themeColor="text1"/>
        </w:rPr>
      </w:pPr>
      <w:r w:rsidRPr="00233988">
        <w:rPr>
          <w:b/>
          <w:bCs/>
          <w:i/>
          <w:iCs/>
          <w:color w:val="000000" w:themeColor="text1"/>
        </w:rPr>
        <w:t>2.</w:t>
      </w:r>
      <w:r w:rsidR="008E4F8B" w:rsidRPr="00233988">
        <w:rPr>
          <w:b/>
          <w:bCs/>
          <w:i/>
          <w:iCs/>
          <w:color w:val="000000" w:themeColor="text1"/>
        </w:rPr>
        <w:t>2</w:t>
      </w:r>
      <w:r w:rsidRPr="00233988">
        <w:rPr>
          <w:b/>
          <w:bCs/>
          <w:i/>
          <w:iCs/>
          <w:color w:val="000000" w:themeColor="text1"/>
        </w:rPr>
        <w:t xml:space="preserve"> Conceptualization </w:t>
      </w:r>
      <w:r w:rsidR="00F53805" w:rsidRPr="00233988">
        <w:rPr>
          <w:b/>
          <w:bCs/>
          <w:i/>
          <w:iCs/>
          <w:color w:val="000000" w:themeColor="text1"/>
        </w:rPr>
        <w:t>of User</w:t>
      </w:r>
      <w:r w:rsidRPr="00233988">
        <w:rPr>
          <w:b/>
          <w:bCs/>
          <w:i/>
          <w:iCs/>
          <w:color w:val="000000" w:themeColor="text1"/>
        </w:rPr>
        <w:t xml:space="preserve"> Engagement </w:t>
      </w:r>
      <w:r w:rsidR="00B64CB0" w:rsidRPr="00233988">
        <w:rPr>
          <w:b/>
          <w:bCs/>
          <w:i/>
          <w:iCs/>
          <w:color w:val="000000" w:themeColor="text1"/>
        </w:rPr>
        <w:t>i</w:t>
      </w:r>
      <w:r w:rsidRPr="00233988">
        <w:rPr>
          <w:b/>
          <w:bCs/>
          <w:i/>
          <w:iCs/>
          <w:color w:val="000000" w:themeColor="text1"/>
        </w:rPr>
        <w:t>n The Metaverse</w:t>
      </w:r>
    </w:p>
    <w:p w14:paraId="2502F9D4" w14:textId="2E39276A" w:rsidR="0087626C" w:rsidRPr="0087626C" w:rsidRDefault="0087626C" w:rsidP="0087626C">
      <w:pPr>
        <w:spacing w:line="360" w:lineRule="auto"/>
        <w:jc w:val="both"/>
        <w:rPr>
          <w:color w:val="000000" w:themeColor="text1"/>
        </w:rPr>
      </w:pPr>
      <w:r w:rsidRPr="0087626C">
        <w:rPr>
          <w:color w:val="000000" w:themeColor="text1"/>
        </w:rPr>
        <w:t>The metaverse, conceptualized by Mark Zuckerberg, represents an immersive ecosystem enabling seamless movement between physical and virtual domains, facilitating work, interaction, and socialisation through shared simulated experiences (</w:t>
      </w:r>
      <w:proofErr w:type="spellStart"/>
      <w:r w:rsidRPr="0087626C">
        <w:rPr>
          <w:color w:val="000000" w:themeColor="text1"/>
        </w:rPr>
        <w:t>Buhalis</w:t>
      </w:r>
      <w:proofErr w:type="spellEnd"/>
      <w:r w:rsidRPr="0087626C">
        <w:rPr>
          <w:color w:val="000000" w:themeColor="text1"/>
        </w:rPr>
        <w:t xml:space="preserve"> et al., 2023; </w:t>
      </w:r>
      <w:proofErr w:type="spellStart"/>
      <w:r w:rsidRPr="0087626C">
        <w:rPr>
          <w:color w:val="000000" w:themeColor="text1"/>
        </w:rPr>
        <w:t>Koohang</w:t>
      </w:r>
      <w:proofErr w:type="spellEnd"/>
      <w:r w:rsidRPr="0087626C">
        <w:rPr>
          <w:color w:val="000000" w:themeColor="text1"/>
        </w:rPr>
        <w:t xml:space="preserve"> et al., 2023). Although no single definition exists, it is widely described as a “3D virtual shared world” powered by augmented and virtual reality services (</w:t>
      </w:r>
      <w:proofErr w:type="spellStart"/>
      <w:r w:rsidRPr="0087626C">
        <w:rPr>
          <w:color w:val="000000" w:themeColor="text1"/>
        </w:rPr>
        <w:t>Kozinets</w:t>
      </w:r>
      <w:proofErr w:type="spellEnd"/>
      <w:r w:rsidRPr="0087626C">
        <w:rPr>
          <w:color w:val="000000" w:themeColor="text1"/>
        </w:rPr>
        <w:t xml:space="preserve"> et al., 2023; </w:t>
      </w:r>
      <w:proofErr w:type="spellStart"/>
      <w:r w:rsidRPr="0087626C">
        <w:rPr>
          <w:color w:val="000000" w:themeColor="text1"/>
        </w:rPr>
        <w:t>Buhalis</w:t>
      </w:r>
      <w:proofErr w:type="spellEnd"/>
      <w:r w:rsidRPr="0087626C">
        <w:rPr>
          <w:color w:val="000000" w:themeColor="text1"/>
        </w:rPr>
        <w:t xml:space="preserve"> et al., 2023). Figure 1 illustrates the interplay between physical and virtual environments, highlighting technological components that underpin brand success in the metaverse.</w:t>
      </w:r>
    </w:p>
    <w:p w14:paraId="7E37138D" w14:textId="6F7F5D2A" w:rsidR="0087626C" w:rsidRPr="0087626C" w:rsidRDefault="0087626C" w:rsidP="0087626C">
      <w:pPr>
        <w:spacing w:line="360" w:lineRule="auto"/>
        <w:ind w:firstLine="426"/>
        <w:jc w:val="both"/>
        <w:rPr>
          <w:color w:val="000000" w:themeColor="text1"/>
        </w:rPr>
      </w:pPr>
      <w:proofErr w:type="spellStart"/>
      <w:proofErr w:type="spellEnd"/>
      <w:proofErr w:type="spellStart"/>
      <w:proofErr w:type="spellEnd"/>
      <w:r>
        <w:t>Earlier work on engagement theory provided the foundation for the systematic measurement of user engagement. Building on this tradition, O'Brien and Toms (2010) developed a multidimensional User Engagement Scale spanning focused attention, perceived usability, aesthetic appeal, endurability, novelty, and felt involvement, validated across online contexts. Subsequent work extended these conceptualizations to mobile and immersive settings (Basu et al., 2024; Soltani Nejad et al., 2024), providing the basis for the engagement measures adopted here.</w:t>
      </w:r>
    </w:p>
    <w:p w14:paraId="21F60AC0" w14:textId="633E4671" w:rsidR="0087626C" w:rsidRDefault="0087626C" w:rsidP="0087626C">
      <w:pPr>
        <w:spacing w:line="360" w:lineRule="auto"/>
        <w:ind w:firstLine="426"/>
        <w:jc w:val="both"/>
        <w:rPr>
          <w:color w:val="000000" w:themeColor="text1"/>
        </w:rPr>
      </w:pPr>
      <w:r w:rsidRPr="0087626C">
        <w:rPr>
          <w:color w:val="000000" w:themeColor="text1"/>
        </w:rPr>
        <w:t>Beyond standardized assessments, Lycett and Radwan (2019) proposed a holistic Quality of Experience (QoE) conceptualization, with Kyriakou et al. (2014) advocating a multi-</w:t>
      </w:r>
      <w:r w:rsidRPr="0087626C">
        <w:rPr>
          <w:color w:val="000000" w:themeColor="text1"/>
        </w:rPr>
        <w:lastRenderedPageBreak/>
        <w:t xml:space="preserve">instrumental approach to capture diverse dimensions of metaverse experiences. Relatedly, Levy and </w:t>
      </w:r>
      <w:proofErr w:type="spellStart"/>
      <w:r w:rsidRPr="0087626C">
        <w:rPr>
          <w:color w:val="000000" w:themeColor="text1"/>
        </w:rPr>
        <w:t>Gvili</w:t>
      </w:r>
      <w:proofErr w:type="spellEnd"/>
      <w:r w:rsidRPr="0087626C">
        <w:rPr>
          <w:color w:val="000000" w:themeColor="text1"/>
        </w:rPr>
        <w:t xml:space="preserve"> (2020) demonstrated that managing engagement fosters electronic word-of-mouth (</w:t>
      </w:r>
      <w:proofErr w:type="spellStart"/>
      <w:r w:rsidRPr="0087626C">
        <w:rPr>
          <w:color w:val="000000" w:themeColor="text1"/>
        </w:rPr>
        <w:t>eWoM</w:t>
      </w:r>
      <w:proofErr w:type="spellEnd"/>
      <w:r w:rsidRPr="0087626C">
        <w:rPr>
          <w:color w:val="000000" w:themeColor="text1"/>
        </w:rPr>
        <w:t>), reinforcing brand reputation and loyalty within digital communities. Similarly, Li and Shang (2023) and Zhang</w:t>
      </w:r>
      <w:r w:rsidR="00CB0052">
        <w:rPr>
          <w:color w:val="000000" w:themeColor="text1"/>
        </w:rPr>
        <w:t xml:space="preserve">, </w:t>
      </w:r>
      <w:r w:rsidR="00CB0052" w:rsidRPr="00CB0052">
        <w:rPr>
          <w:color w:val="000000" w:themeColor="text1"/>
        </w:rPr>
        <w:t>Peng</w:t>
      </w:r>
      <w:r w:rsidRPr="0087626C">
        <w:rPr>
          <w:color w:val="000000" w:themeColor="text1"/>
        </w:rPr>
        <w:t xml:space="preserve"> et al. (2022) extended engagement conceptualizations to E-Government contexts, while Shin (2019) advanced an AR-game-experience model linking immersion with cognitive and motivational constructs.</w:t>
      </w:r>
    </w:p>
    <w:p w14:paraId="6A0EEC6F" w14:textId="77777777" w:rsidR="0087626C" w:rsidRPr="0087626C" w:rsidRDefault="0087626C" w:rsidP="0087626C">
      <w:pPr>
        <w:rPr>
          <w:color w:val="000000" w:themeColor="text1"/>
        </w:rPr>
      </w:pPr>
    </w:p>
    <w:p w14:paraId="4B8095D5" w14:textId="6C3A3350" w:rsidR="00624A1D" w:rsidRPr="0043234C" w:rsidRDefault="00624A1D" w:rsidP="00624A1D">
      <w:pPr>
        <w:rPr>
          <w:noProof/>
          <w:color w:val="000000" w:themeColor="text1"/>
        </w:rPr>
      </w:pPr>
      <w:r w:rsidRPr="00624A1D">
        <w:rPr>
          <w:noProof/>
          <w:color w:val="000000" w:themeColor="text1"/>
        </w:rPr>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786406A2" w14:textId="415B7F81" w:rsidR="00200AEA" w:rsidRPr="0043234C" w:rsidRDefault="00200AEA" w:rsidP="00624A1D">
      <w:pPr>
        <w:rPr>
          <w:color w:val="000000" w:themeColor="text1"/>
        </w:rPr>
      </w:pPr>
      <w:r w:rsidRPr="0043234C">
        <w:rPr>
          <w:b/>
          <w:bCs/>
          <w:i/>
          <w:iCs/>
          <w:color w:val="000000" w:themeColor="text1"/>
        </w:rPr>
        <w:t xml:space="preserve"> Figure 1.</w:t>
      </w:r>
      <w:r w:rsidRPr="0043234C">
        <w:rPr>
          <w:i/>
          <w:iCs/>
          <w:color w:val="000000" w:themeColor="text1"/>
        </w:rPr>
        <w:t xml:space="preserve"> Depiction of Real and Virtual World Integration in the Metaverse.</w:t>
      </w:r>
      <w:r w:rsidRPr="0043234C">
        <w:rPr>
          <w:color w:val="000000" w:themeColor="text1"/>
        </w:rPr>
        <w:tab/>
      </w:r>
      <w:r w:rsidRPr="0043234C">
        <w:rPr>
          <w:b/>
          <w:bCs/>
          <w:i/>
          <w:iCs/>
          <w:color w:val="000000" w:themeColor="text1"/>
          <w:sz w:val="20"/>
          <w:szCs w:val="20"/>
        </w:rPr>
        <w:t>Source:</w:t>
      </w:r>
      <w:r w:rsidRPr="0043234C">
        <w:rPr>
          <w:i/>
          <w:iCs/>
          <w:color w:val="000000" w:themeColor="text1"/>
          <w:sz w:val="20"/>
          <w:szCs w:val="20"/>
        </w:rPr>
        <w:t xml:space="preserve"> Authors</w:t>
      </w:r>
    </w:p>
    <w:p w14:paraId="305F7521" w14:textId="77777777" w:rsidR="00200AEA" w:rsidRPr="0043234C" w:rsidRDefault="00200AEA" w:rsidP="00200AEA"/>
    <w:p w14:paraId="24B51461" w14:textId="77777777" w:rsidR="0087626C" w:rsidRPr="0043234C" w:rsidRDefault="0087626C" w:rsidP="005450C7">
      <w:pPr>
        <w:spacing w:line="360" w:lineRule="auto"/>
        <w:ind w:firstLine="426"/>
        <w:jc w:val="both"/>
        <w:rPr>
          <w:noProof/>
          <w:color w:val="000000" w:themeColor="text1"/>
        </w:rPr>
      </w:pPr>
    </w:p>
    <w:p w14:paraId="7BC1AC38" w14:textId="104C2D9A" w:rsidR="00200AEA" w:rsidRPr="00233988" w:rsidRDefault="0079660F" w:rsidP="00200AEA">
      <w:pPr>
        <w:spacing w:line="360" w:lineRule="auto"/>
        <w:jc w:val="both"/>
        <w:rPr>
          <w:i/>
          <w:iCs/>
          <w:color w:val="000000" w:themeColor="text1"/>
        </w:rPr>
      </w:pPr>
      <w:r w:rsidRPr="00233988">
        <w:rPr>
          <w:b/>
          <w:bCs/>
          <w:i/>
          <w:iCs/>
          <w:color w:val="000000" w:themeColor="text1"/>
        </w:rPr>
        <w:t>2.</w:t>
      </w:r>
      <w:r w:rsidR="00233988">
        <w:rPr>
          <w:b/>
          <w:bCs/>
          <w:i/>
          <w:iCs/>
          <w:color w:val="000000" w:themeColor="text1"/>
        </w:rPr>
        <w:t>3</w:t>
      </w:r>
      <w:r w:rsidRPr="00233988">
        <w:rPr>
          <w:b/>
          <w:bCs/>
          <w:i/>
          <w:iCs/>
          <w:color w:val="000000" w:themeColor="text1"/>
        </w:rPr>
        <w:t xml:space="preserve"> Impact of User Behaviours on Brand Engagement in Virtual Environments</w:t>
      </w:r>
    </w:p>
    <w:p w14:paraId="2E4DAAD8" w14:textId="4E5386E9" w:rsidR="00971E5E" w:rsidRPr="00971E5E" w:rsidRDefault="00971E5E" w:rsidP="00971E5E">
      <w:pPr>
        <w:spacing w:line="360" w:lineRule="auto"/>
        <w:jc w:val="both"/>
        <w:rPr>
          <w:color w:val="000000" w:themeColor="text1"/>
        </w:rPr>
      </w:pPr>
      <w:r w:rsidRPr="00971E5E">
        <w:rPr>
          <w:color w:val="000000" w:themeColor="text1"/>
        </w:rPr>
        <w:t xml:space="preserve">User behaviours—including purchasing NFTs, engaging in social interactions, attending virtual events, and creating content—are central to brand engagement in immersive ecosystems such as the metaverse (Shamim et al., 2025; </w:t>
      </w:r>
      <w:proofErr w:type="spellStart"/>
      <w:r w:rsidRPr="00971E5E">
        <w:rPr>
          <w:color w:val="000000" w:themeColor="text1"/>
        </w:rPr>
        <w:t>Bilgihan</w:t>
      </w:r>
      <w:proofErr w:type="spellEnd"/>
      <w:r w:rsidRPr="00971E5E">
        <w:rPr>
          <w:color w:val="000000" w:themeColor="text1"/>
        </w:rPr>
        <w:t xml:space="preserve"> et al., 2024; Lee </w:t>
      </w:r>
      <w:r w:rsidR="001039BF">
        <w:rPr>
          <w:color w:val="000000" w:themeColor="text1"/>
        </w:rPr>
        <w:t>and</w:t>
      </w:r>
      <w:r w:rsidRPr="00971E5E">
        <w:rPr>
          <w:color w:val="000000" w:themeColor="text1"/>
        </w:rPr>
        <w:t xml:space="preserve"> Shen, 2024). These behaviours shape perceptions, foster emotional bonds, and drive loyalty, directly influencing brand success.</w:t>
      </w:r>
    </w:p>
    <w:p w14:paraId="749FFC67" w14:textId="398EE8A1" w:rsidR="00971E5E" w:rsidRPr="00971E5E" w:rsidRDefault="00971E5E" w:rsidP="00971E5E">
      <w:pPr>
        <w:spacing w:line="360" w:lineRule="auto"/>
        <w:ind w:firstLine="426"/>
        <w:jc w:val="both"/>
        <w:rPr>
          <w:color w:val="000000" w:themeColor="text1"/>
        </w:rPr>
      </w:pPr>
      <w:r w:rsidRPr="00971E5E">
        <w:rPr>
          <w:color w:val="000000" w:themeColor="text1"/>
        </w:rPr>
        <w:t xml:space="preserve">Branded non-fungible tokens (BNFTs) exemplify this shift, enabling digital self-expression, exclusivity, and identity construction. By owning unique items such as avatars, wearables, and collectibles, users strengthen emotional attachments to brands (Xie </w:t>
      </w:r>
      <w:r w:rsidR="001039BF">
        <w:rPr>
          <w:color w:val="000000" w:themeColor="text1"/>
        </w:rPr>
        <w:t>and</w:t>
      </w:r>
      <w:r w:rsidRPr="00971E5E">
        <w:rPr>
          <w:color w:val="000000" w:themeColor="text1"/>
        </w:rPr>
        <w:t xml:space="preserve"> Muralidharan, 2023; Simonetti et al., 2025). Scarcity and perceived investment value further enhance brand attitudes, with limited-edition NFTs driving stronger attachment (Wang et al., 2024; Chang et al., 2024). Social comparison dynamics amplify this effect, as high-comparison users derive greater value from exclusivity and financial gains (Xie et al., 2024).</w:t>
      </w:r>
    </w:p>
    <w:p w14:paraId="38A2F6C0" w14:textId="3D5476E1" w:rsidR="00971E5E" w:rsidRPr="00971E5E" w:rsidRDefault="00971E5E" w:rsidP="00971E5E">
      <w:pPr>
        <w:spacing w:line="360" w:lineRule="auto"/>
        <w:ind w:firstLine="426"/>
        <w:jc w:val="both"/>
        <w:rPr>
          <w:color w:val="000000" w:themeColor="text1"/>
        </w:rPr>
      </w:pPr>
      <w:r>
        <w:t>Social interactions further reinforce engagement, with online brand communities and metaverse platforms fostering trust, knowledge-sharing, and purchase intention through avatar-mediated interactivity, two-way communication, and a sense of community identity (Agnihotri et al., 2024; Hennig-Thurau et al., 2023; Kumar and Shankar, 2024; Payal et al., 2024).</w:t>
      </w:r>
    </w:p>
    <w:p w14:paraId="5EE0FCFD" w14:textId="77777777" w:rsidR="00971E5E" w:rsidRPr="00971E5E" w:rsidRDefault="00971E5E" w:rsidP="00971E5E">
      <w:pPr>
        <w:spacing w:line="360" w:lineRule="auto"/>
        <w:ind w:firstLine="426"/>
        <w:jc w:val="both"/>
        <w:rPr>
          <w:color w:val="000000" w:themeColor="text1"/>
        </w:rPr>
      </w:pPr>
      <w:r w:rsidRPr="00971E5E">
        <w:rPr>
          <w:color w:val="000000" w:themeColor="text1"/>
        </w:rPr>
        <w:t>Virtual events further provide immersive engagement opportunities, where gamification and rewards build trust, satisfaction, and long-term loyalty, especially among Gen Z (</w:t>
      </w:r>
      <w:proofErr w:type="spellStart"/>
      <w:r w:rsidRPr="00971E5E">
        <w:rPr>
          <w:color w:val="000000" w:themeColor="text1"/>
        </w:rPr>
        <w:t>Habachi</w:t>
      </w:r>
      <w:proofErr w:type="spellEnd"/>
      <w:r w:rsidRPr="00971E5E">
        <w:rPr>
          <w:color w:val="000000" w:themeColor="text1"/>
        </w:rPr>
        <w:t xml:space="preserve"> et al., 2024). Similarly, participatory content creation on platforms like </w:t>
      </w:r>
      <w:r w:rsidRPr="00971E5E">
        <w:rPr>
          <w:i/>
          <w:iCs/>
          <w:color w:val="000000" w:themeColor="text1"/>
        </w:rPr>
        <w:t>The Sandbox</w:t>
      </w:r>
      <w:r w:rsidRPr="00971E5E">
        <w:rPr>
          <w:color w:val="000000" w:themeColor="text1"/>
        </w:rPr>
        <w:t xml:space="preserve"> enhances ownership, collaboration, and advocacy (</w:t>
      </w:r>
      <w:proofErr w:type="spellStart"/>
      <w:r w:rsidRPr="00971E5E">
        <w:rPr>
          <w:color w:val="000000" w:themeColor="text1"/>
        </w:rPr>
        <w:t>Bilgihan</w:t>
      </w:r>
      <w:proofErr w:type="spellEnd"/>
      <w:r w:rsidRPr="00971E5E">
        <w:rPr>
          <w:color w:val="000000" w:themeColor="text1"/>
        </w:rPr>
        <w:t xml:space="preserve"> et al., 2024). Finally, high interactivity across metaverse tools fosters referrals, personalization, and loyalty, particularly benefitting non-global brands (Xu et al., 2024; Zhang et al., 2024).</w:t>
      </w:r>
    </w:p>
    <w:p w14:paraId="78565C8F" w14:textId="77777777" w:rsidR="00971E5E" w:rsidRPr="00971E5E" w:rsidRDefault="00971E5E" w:rsidP="00971E5E">
      <w:pPr>
        <w:spacing w:line="360" w:lineRule="auto"/>
        <w:ind w:firstLine="426"/>
        <w:jc w:val="both"/>
        <w:rPr>
          <w:color w:val="000000" w:themeColor="text1"/>
        </w:rPr>
      </w:pPr>
      <w:r w:rsidRPr="00971E5E">
        <w:rPr>
          <w:color w:val="000000" w:themeColor="text1"/>
        </w:rPr>
        <w:t>These behaviours collectively highlight how user-driven actions constitute critical mechanisms of brand engagement in virtual environments.</w:t>
      </w:r>
    </w:p>
    <w:p w14:paraId="34FC1029" w14:textId="77777777" w:rsidR="00971E5E" w:rsidRPr="0043234C" w:rsidRDefault="00971E5E" w:rsidP="009E6FC0">
      <w:pPr>
        <w:spacing w:line="360" w:lineRule="auto"/>
        <w:ind w:firstLine="426"/>
        <w:jc w:val="both"/>
        <w:rPr>
          <w:color w:val="000000" w:themeColor="text1"/>
        </w:rPr>
      </w:pPr>
    </w:p>
    <w:p w14:paraId="04B8DD95" w14:textId="65A85EA2" w:rsidR="0045735F" w:rsidRPr="00233988" w:rsidRDefault="0045735F" w:rsidP="00B4702E">
      <w:pPr>
        <w:spacing w:line="360" w:lineRule="auto"/>
        <w:jc w:val="both"/>
        <w:rPr>
          <w:b/>
          <w:bCs/>
          <w:i/>
          <w:iCs/>
          <w:color w:val="000000" w:themeColor="text1"/>
        </w:rPr>
      </w:pPr>
      <w:r w:rsidRPr="00233988">
        <w:rPr>
          <w:b/>
          <w:bCs/>
          <w:i/>
          <w:iCs/>
          <w:color w:val="000000" w:themeColor="text1"/>
        </w:rPr>
        <w:t>2.</w:t>
      </w:r>
      <w:r w:rsidR="00233988">
        <w:rPr>
          <w:b/>
          <w:bCs/>
          <w:i/>
          <w:iCs/>
          <w:color w:val="000000" w:themeColor="text1"/>
        </w:rPr>
        <w:t>4</w:t>
      </w:r>
      <w:r w:rsidRPr="00233988">
        <w:rPr>
          <w:b/>
          <w:bCs/>
          <w:i/>
          <w:iCs/>
          <w:color w:val="000000" w:themeColor="text1"/>
        </w:rPr>
        <w:t xml:space="preserve"> Impact of user engagement and experience on brand success in virtual environments</w:t>
      </w:r>
    </w:p>
    <w:p w14:paraId="7253B772" w14:textId="77777777" w:rsidR="00971E5E" w:rsidRPr="00971E5E" w:rsidRDefault="00971E5E" w:rsidP="00971E5E">
      <w:pPr>
        <w:spacing w:line="360" w:lineRule="auto"/>
        <w:jc w:val="both"/>
        <w:rPr>
          <w:color w:val="000000" w:themeColor="text1"/>
        </w:rPr>
      </w:pPr>
      <w:proofErr w:type="spellStart"/>
      <w:proofErr w:type="spellEnd"/>
      <w:r>
        <w:t>User engagement and user experience are well-established antecedents of brand success in digital and virtual environments. Mathwick et al. (2008) showed that members' contributions to firm-hosted online communities enhance brand-relevant outcomes, with knowledge-sharing and reciprocity acting as the engagement mechanisms that convert participation into value. The consistent through-line in this literature is that engagement and experience operate as complementary, mutually reinforcing antecedents of satisfaction, which in turn supports brand success, a sequence we test configurationally rather than assume.</w:t>
      </w:r>
    </w:p>
    <w:p w14:paraId="10B1974A" w14:textId="2E67DE35" w:rsidR="00971E5E" w:rsidRPr="00971E5E" w:rsidRDefault="00971E5E" w:rsidP="00971E5E">
      <w:pPr>
        <w:spacing w:line="360" w:lineRule="auto"/>
        <w:ind w:firstLine="426"/>
        <w:jc w:val="both"/>
        <w:rPr>
          <w:color w:val="000000" w:themeColor="text1"/>
        </w:rPr>
      </w:pPr>
      <w:r>
        <w:t>Subsequent studies expanded this view. Huang and Benyoucef (2013) argued that brands must actively facilitate interaction to elevate engagement, while Su et al. (2021) showed that cultural orientation conditions how consumers evaluate brand extensions in virtual settings, indicating that engagement strategies are not culturally invariant, a consideration motivating our focus on the under-studied Indian market.</w:t>
      </w:r>
    </w:p>
    <w:p w14:paraId="0805A390" w14:textId="640831BC"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media has become integral to user engagement. </w:t>
      </w:r>
      <w:r w:rsidR="00875A30">
        <w:rPr>
          <w:color w:val="000000" w:themeColor="text1"/>
        </w:rPr>
        <w:t>P</w:t>
      </w:r>
      <w:r w:rsidRPr="00971E5E">
        <w:rPr>
          <w:color w:val="000000" w:themeColor="text1"/>
        </w:rPr>
        <w:t>latforms such as Facebook yield significant brand dividends through community-driven interactions. Similarly, Hsieh and Tsao (2019) confirmed that higher social identification and interactivity increase engagement with branded content, underscoring the need to cultivate virtual communities and interactive experiences.</w:t>
      </w:r>
    </w:p>
    <w:p w14:paraId="5B608F32" w14:textId="77777777" w:rsidR="00971E5E" w:rsidRDefault="00971E5E" w:rsidP="00971E5E">
      <w:pPr>
        <w:spacing w:line="360" w:lineRule="auto"/>
        <w:ind w:firstLine="426"/>
        <w:jc w:val="both"/>
        <w:rPr>
          <w:color w:val="000000" w:themeColor="text1"/>
        </w:rPr>
      </w:pPr>
      <w:r w:rsidRPr="00971E5E">
        <w:rPr>
          <w:color w:val="000000" w:themeColor="text1"/>
        </w:rPr>
        <w:t xml:space="preserve">Theoretical frameworks reinforce these insights. Brodie et al. (2011) positioned engagement as active participation in brand experiences, while Verhagen et al. (2014) identified ease of use, usefulness, and social influence as adoption drivers of social software. Complementing this, Chen and Xie (2008) showed that purchase intentions within virtual </w:t>
      </w:r>
      <w:r w:rsidRPr="00971E5E">
        <w:rPr>
          <w:color w:val="000000" w:themeColor="text1"/>
        </w:rPr>
        <w:lastRenderedPageBreak/>
        <w:t>communities often serve social and self-identity fulfilment, emphasizing engagement as a pathway to brand loyalty.</w:t>
      </w:r>
    </w:p>
    <w:p w14:paraId="3DFB4371" w14:textId="77777777" w:rsidR="00233988" w:rsidRDefault="00233988" w:rsidP="00233988">
      <w:pPr>
        <w:spacing w:line="360" w:lineRule="auto"/>
        <w:jc w:val="both"/>
        <w:rPr>
          <w:color w:val="000000" w:themeColor="text1"/>
        </w:rPr>
      </w:pPr>
    </w:p>
    <w:p w14:paraId="0A328B33" w14:textId="252D22F4" w:rsidR="00233988" w:rsidRPr="00233988" w:rsidRDefault="00233988" w:rsidP="00233988">
      <w:pPr>
        <w:pStyle w:val="ListParagraph"/>
        <w:numPr>
          <w:ilvl w:val="0"/>
          <w:numId w:val="29"/>
        </w:numPr>
        <w:spacing w:after="0" w:line="360" w:lineRule="auto"/>
        <w:ind w:left="284" w:hanging="284"/>
        <w:jc w:val="both"/>
        <w:rPr>
          <w:rFonts w:ascii="Times New Roman" w:hAnsi="Times New Roman" w:cs="Times New Roman"/>
          <w:b/>
          <w:bCs/>
          <w:color w:val="000000" w:themeColor="text1"/>
          <w:sz w:val="24"/>
          <w:szCs w:val="24"/>
        </w:rPr>
      </w:pPr>
      <w:r w:rsidRPr="00233988">
        <w:rPr>
          <w:rFonts w:ascii="Times New Roman" w:hAnsi="Times New Roman" w:cs="Times New Roman"/>
          <w:b/>
          <w:bCs/>
          <w:color w:val="000000" w:themeColor="text1"/>
          <w:sz w:val="24"/>
          <w:szCs w:val="24"/>
        </w:rPr>
        <w:t>Theoretical Foundation</w:t>
      </w:r>
    </w:p>
    <w:p>
      <w:r>
        <w:t>3.1 Construct Definitions</w:t>
      </w:r>
    </w:p>
    <w:p>
      <w:r>
        <w:t>We define the four focal constructs as follows. User engagement (UE) is the user's cognitive, emotional, and behavioural involvement with the brand during metaverse interaction. User experience (UX) is the perceived quality of that interaction, encompassing immersion and presence, navigability, sensory quality, and authenticity. Brand satisfaction (BSAT) is the user's overall evaluative judgement of the brand formed through metaverse encounters. Brand success (BSUC) is the set of brand-favourable outcomes these encounters produce, including continued use, choice and purchase intention, and advocacy or word of mouth. These definitions anchor the measurement model (Table 1) and the propositions developed below, and they hold the constructs conceptually distinct so that their relationships can be tested rather than assumed.</w:t>
      </w:r>
    </w:p>
    <w:p w14:paraId="60261C76" w14:textId="7AE4A286" w:rsidR="00233988" w:rsidRPr="00233988" w:rsidRDefault="00233988" w:rsidP="00233988">
      <w:pPr>
        <w:spacing w:line="360" w:lineRule="auto"/>
        <w:jc w:val="both"/>
        <w:rPr>
          <w:b/>
          <w:bCs/>
          <w:i/>
          <w:iCs/>
          <w:color w:val="000000" w:themeColor="text1"/>
        </w:rPr>
      </w:pPr>
      <w:r>
        <w:t>3.2 Flow theory</w:t>
      </w:r>
    </w:p>
    <w:p w14:paraId="435D8781" w14:textId="5CA40D97" w:rsidR="00324C73" w:rsidRPr="00324C73" w:rsidRDefault="00233988" w:rsidP="00324C73">
      <w:pPr>
        <w:shd w:val="clear" w:color="auto" w:fill="FFFFFF"/>
        <w:spacing w:line="360" w:lineRule="auto"/>
        <w:jc w:val="both"/>
        <w:rPr>
          <w:color w:val="000000" w:themeColor="text1"/>
        </w:rPr>
      </w:pPr>
      <w:r w:rsidRPr="0043234C">
        <w:rPr>
          <w:color w:val="000000" w:themeColor="text1"/>
        </w:rPr>
        <w:t xml:space="preserve">Flow theory, as conceptualized by </w:t>
      </w:r>
      <w:r>
        <w:rPr>
          <w:color w:val="000000" w:themeColor="text1"/>
        </w:rPr>
        <w:t>(</w:t>
      </w:r>
      <w:r w:rsidRPr="001F58B2">
        <w:t>Csikszentmihalyi</w:t>
      </w:r>
      <w:r>
        <w:t xml:space="preserve"> et al., 2018</w:t>
      </w:r>
      <w:r>
        <w:rPr>
          <w:color w:val="000000" w:themeColor="text1"/>
        </w:rPr>
        <w:t xml:space="preserve">; </w:t>
      </w:r>
      <w:r w:rsidRPr="0043234C">
        <w:rPr>
          <w:color w:val="000000" w:themeColor="text1"/>
        </w:rPr>
        <w:t>Csikszentmihalyi</w:t>
      </w:r>
      <w:r>
        <w:rPr>
          <w:color w:val="000000" w:themeColor="text1"/>
        </w:rPr>
        <w:t xml:space="preserve">, </w:t>
      </w:r>
      <w:r w:rsidRPr="0043234C">
        <w:rPr>
          <w:color w:val="000000" w:themeColor="text1"/>
        </w:rPr>
        <w:t xml:space="preserve">1990) in his work 'Flow: The Psychology of Optimal Experience,' provides a valuable framework for assessing user engagement within the metaverse. According to Csikszentmihalyi, flow is characterized by a state of deep immersion and focused attention during an activity, where individuals experience a high level of intrinsic motivation and enjoyment. This concept is particularly relevant in the metaverse, where user engagement plays a pivotal role in determining brand success. </w:t>
      </w:r>
      <w:r w:rsidR="00324C73">
        <w:rPr>
          <w:color w:val="000000" w:themeColor="text1"/>
        </w:rPr>
        <w:t xml:space="preserve"> </w:t>
      </w:r>
      <w:r w:rsidR="00324C73" w:rsidRPr="00324C73">
        <w:rPr>
          <w:color w:val="000000" w:themeColor="text1"/>
        </w:rPr>
        <w:t xml:space="preserve">Recent research has significantly extended flow theory's applicability to virtual and augmented reality environments. Studies examining game-based metaverses found that perceived enjoyment significantly enhances flow experience, serving as a key contributor to user satisfaction and continued platform usage </w:t>
      </w:r>
      <w:r w:rsidR="00324C73">
        <w:rPr>
          <w:color w:val="000000" w:themeColor="text1"/>
        </w:rPr>
        <w:t>(</w:t>
      </w:r>
      <w:r w:rsidR="00324C73" w:rsidRPr="00806C8B">
        <w:rPr>
          <w:color w:val="000000" w:themeColor="text1"/>
        </w:rPr>
        <w:t>Hyeon and Lee</w:t>
      </w:r>
      <w:r w:rsidR="00324C73" w:rsidRPr="00324C73">
        <w:rPr>
          <w:color w:val="000000" w:themeColor="text1"/>
        </w:rPr>
        <w:t xml:space="preserve">, 2025). </w:t>
      </w:r>
    </w:p>
    <w:p w14:paraId="311EC677" w14:textId="26DB0A12" w:rsidR="00233988" w:rsidRDefault="00324C73" w:rsidP="00455887">
      <w:pPr>
        <w:shd w:val="clear" w:color="auto" w:fill="FFFFFF"/>
        <w:spacing w:line="360" w:lineRule="auto"/>
        <w:jc w:val="both"/>
        <w:rPr>
          <w:color w:val="000000" w:themeColor="text1"/>
        </w:rPr>
      </w:pPr>
      <w:proofErr w:type="spellStart"/>
      <w:proofErr w:type="spellEnd"/>
      <w:r>
        <w:t>Contemporary research connects flow to virtual brand experiences across several settings: e-commerce live streaming, where interactivity most strongly enhances flow (Wu et al., 2024); metaverse immersion in emerging markets (Liang et al., 2024); VR gaming, where deeper flow accelerates subjective time (Rutrecht et al., 2021); and short-video engagement (Lo and Lai, 2023). Building on this work, we use flow as the experiential mechanism linking immersive interaction to engagement and experience quality. Consistent with our scope condition, flow's antecedents (challenge-skill balance, clear goals, immediate feedback) are treated as theoretical mechanisms rather than separately measured variables.</w:t>
      </w:r>
    </w:p>
    <w:p w14:paraId="355930E1" w14:textId="77777777" w:rsidR="00233988" w:rsidRDefault="00233988" w:rsidP="00455887">
      <w:pPr>
        <w:spacing w:line="360" w:lineRule="auto"/>
        <w:jc w:val="both"/>
        <w:rPr>
          <w:color w:val="000000" w:themeColor="text1"/>
        </w:rPr>
      </w:pPr>
    </w:p>
    <w:p w14:paraId="7077A306" w14:textId="3C896DD2" w:rsidR="00233988" w:rsidRPr="00455887" w:rsidRDefault="00233988" w:rsidP="00455887">
      <w:pPr>
        <w:pStyle w:val="ListParagraph"/>
        <w:numPr>
          <w:ilvl w:val="1"/>
          <w:numId w:val="29"/>
        </w:numPr>
        <w:spacing w:after="0" w:line="360" w:lineRule="auto"/>
        <w:ind w:left="426"/>
        <w:jc w:val="both"/>
        <w:rPr>
          <w:rFonts w:ascii="Times New Roman" w:hAnsi="Times New Roman" w:cs="Times New Roman"/>
          <w:b/>
          <w:bCs/>
          <w:i/>
          <w:iCs/>
          <w:color w:val="000000" w:themeColor="text1"/>
          <w:sz w:val="24"/>
          <w:szCs w:val="24"/>
        </w:rPr>
      </w:pPr>
      <w:r>
        <w:t>3.3 Self-Determination Theory (SDT)</w:t>
      </w:r>
    </w:p>
    <w:p w14:paraId="7793B104" w14:textId="720506CC" w:rsidR="00894734" w:rsidRPr="00455887" w:rsidRDefault="00894734" w:rsidP="00455887">
      <w:pPr>
        <w:spacing w:line="360" w:lineRule="auto"/>
        <w:jc w:val="both"/>
        <w:rPr>
          <w:color w:val="000000" w:themeColor="text1"/>
        </w:rPr>
      </w:pPr>
      <w:r w:rsidRPr="00455887">
        <w:rPr>
          <w:color w:val="000000" w:themeColor="text1"/>
        </w:rPr>
        <w:t xml:space="preserve">Self-Determination Theory (SDT) posits that people are most motivated and experience optimal well-being when three innate psychological needs are satisfied: autonomy (a sense of volitional choice), competence (feeling effective in one’s actions), and relatedness (feeling connected to others) (Deci </w:t>
      </w:r>
      <w:r w:rsidR="001039BF">
        <w:rPr>
          <w:color w:val="000000" w:themeColor="text1"/>
        </w:rPr>
        <w:t>and</w:t>
      </w:r>
      <w:r w:rsidRPr="00455887">
        <w:rPr>
          <w:color w:val="000000" w:themeColor="text1"/>
        </w:rPr>
        <w:t xml:space="preserve"> Ryan, 2000). In digital environments, SDT explains how users’ intrinsic motivation to explore, master, and socially connect within virtual worlds drives deeper engagement and sustained participation.</w:t>
      </w:r>
    </w:p>
    <w:p w14:paraId="5357A48C" w14:textId="77777777" w:rsidR="00894734" w:rsidRPr="00894734" w:rsidRDefault="00894734" w:rsidP="00455887">
      <w:pPr>
        <w:spacing w:line="360" w:lineRule="auto"/>
        <w:ind w:firstLine="426"/>
        <w:jc w:val="both"/>
        <w:rPr>
          <w:color w:val="000000" w:themeColor="text1"/>
        </w:rPr>
      </w:pPr>
      <w:r>
        <w:t>Flow Theory and SDT jointly illuminate the psychological foundations of metaverse engagement. Flow captures users' moment-to-moment immersion when challenge-skill balance, clear goals, and immediate feedback align, producing intense focused attention (Csikszentmihalyi, 1990). SDT explains why users choose to enter and remain in those states: autonomy supports self-directed exploration, competence drives mastery of in-world tasks, and relatedness sustains social interaction. The two mechanisms operate through the same metaverse activities, so we expect engagement (UE) and experience (UX) to function as mutually reinforcing, co-occurring antecedents of brand satisfaction (BSAT), which in turn supports brand success (BSUC). Because multiple need-satisfying and flow-inducing routes exist, our central expectation is equifinality: more than one configuration can produce brand success, and no single condition is indispensable.</w:t>
      </w:r>
    </w:p>
    <w:p>
      <w:r>
        <w:t>This reasoning yields five propositions, tested configurationally with fsQCA. P1: Higher user engagement is associated with higher brand satisfaction in the metaverse. P2: Higher user experience is associated with higher brand satisfaction. P3: User engagement and user experience are positively related and operate as complements rather than substitutes. P4: No single condition (UE, UX, or BSAT) is necessary for high brand success; brand success is produced by combinations of conditions. P5: The configuration combining brand satisfaction with both engagement and experience (BSAT × UX × UE) constitutes the most consistent pathway to high brand success. The conceptual model (Figure 3) summarises these expectations. Consistent with our scope condition, SDT's needs and Flow's antecedents are framing mechanisms rather than measured variables; the empirical model comprises four constructs: UE, UX, BSAT, and BSUC.</w:t>
      </w:r>
    </w:p>
    <w:p w14:paraId="5F445FA9" w14:textId="77777777" w:rsidR="00971E5E" w:rsidRDefault="00971E5E" w:rsidP="00455887">
      <w:pPr>
        <w:spacing w:line="360" w:lineRule="auto"/>
        <w:jc w:val="both"/>
        <w:rPr>
          <w:color w:val="000000" w:themeColor="text1"/>
        </w:rPr>
      </w:pPr>
    </w:p>
    <w:p w14:paraId="691219A7" w14:textId="1ED53D8B" w:rsidR="00A731C8" w:rsidRPr="0043234C" w:rsidRDefault="00BF12D4" w:rsidP="00B4702E">
      <w:pPr>
        <w:spacing w:line="360" w:lineRule="auto"/>
        <w:jc w:val="both"/>
        <w:rPr>
          <w:b/>
          <w:bCs/>
          <w:color w:val="000000" w:themeColor="text1"/>
        </w:rPr>
      </w:pPr>
      <w:r w:rsidRPr="0043234C">
        <w:rPr>
          <w:b/>
          <w:bCs/>
          <w:color w:val="000000" w:themeColor="text1"/>
        </w:rPr>
        <w:t>4</w:t>
      </w:r>
      <w:r w:rsidR="00572B5C" w:rsidRPr="0043234C">
        <w:rPr>
          <w:b/>
          <w:bCs/>
          <w:color w:val="000000" w:themeColor="text1"/>
        </w:rPr>
        <w:t>.</w:t>
      </w:r>
      <w:r w:rsidR="00635725" w:rsidRPr="0043234C">
        <w:rPr>
          <w:b/>
          <w:bCs/>
          <w:color w:val="000000" w:themeColor="text1"/>
        </w:rPr>
        <w:t xml:space="preserve"> Methodology</w:t>
      </w:r>
    </w:p>
    <w:p w14:paraId="10C29876" w14:textId="65E4FA7A" w:rsidR="00635725" w:rsidRPr="0043234C" w:rsidRDefault="00635725" w:rsidP="00B4702E">
      <w:pPr>
        <w:spacing w:line="360" w:lineRule="auto"/>
        <w:jc w:val="both"/>
        <w:rPr>
          <w:color w:val="000000" w:themeColor="text1"/>
        </w:rPr>
      </w:pPr>
      <w:r w:rsidRPr="0043234C">
        <w:rPr>
          <w:color w:val="000000" w:themeColor="text1"/>
        </w:rPr>
        <w:t xml:space="preserve">The methodology section of the research article explains the utilization of the </w:t>
      </w:r>
      <w:r w:rsidR="00202EAC">
        <w:rPr>
          <w:color w:val="000000" w:themeColor="text1"/>
        </w:rPr>
        <w:t>FsQCA</w:t>
      </w:r>
      <w:r w:rsidRPr="0043234C">
        <w:rPr>
          <w:color w:val="000000" w:themeColor="text1"/>
        </w:rPr>
        <w:t xml:space="preserve"> methodology, selection and identification of variables, data collection procedures, measurement techniques, sample population, and data analysis process, ensuring a comprehensive and rigorous approach to studying user engagement and experience in the metaverse.</w:t>
      </w:r>
    </w:p>
    <w:p w14:paraId="159249B9" w14:textId="0A5E36A8" w:rsidR="00533546" w:rsidRPr="00CD5B68" w:rsidRDefault="00A5418F" w:rsidP="00B4702E">
      <w:pPr>
        <w:spacing w:line="360" w:lineRule="auto"/>
        <w:jc w:val="both"/>
        <w:rPr>
          <w:b/>
          <w:bCs/>
          <w:i/>
          <w:iCs/>
          <w:color w:val="000000" w:themeColor="text1"/>
        </w:rPr>
      </w:pPr>
      <w:r w:rsidRPr="00CD5B68">
        <w:rPr>
          <w:b/>
          <w:bCs/>
          <w:i/>
          <w:iCs/>
          <w:color w:val="000000" w:themeColor="text1"/>
        </w:rPr>
        <w:t>4</w:t>
      </w:r>
      <w:r w:rsidR="00DC0736" w:rsidRPr="00CD5B68">
        <w:rPr>
          <w:b/>
          <w:bCs/>
          <w:i/>
          <w:iCs/>
          <w:color w:val="000000" w:themeColor="text1"/>
        </w:rPr>
        <w:t>.1</w:t>
      </w:r>
      <w:r w:rsidRPr="00CD5B68">
        <w:rPr>
          <w:b/>
          <w:bCs/>
          <w:i/>
          <w:iCs/>
          <w:color w:val="000000" w:themeColor="text1"/>
        </w:rPr>
        <w:t xml:space="preserve"> F</w:t>
      </w:r>
      <w:r w:rsidR="00533546" w:rsidRPr="00CD5B68">
        <w:rPr>
          <w:b/>
          <w:bCs/>
          <w:i/>
          <w:iCs/>
          <w:color w:val="000000" w:themeColor="text1"/>
        </w:rPr>
        <w:t>uzzy set Qualitative Comparative Analysis and its Application to the study</w:t>
      </w:r>
    </w:p>
    <w:p w14:paraId="3AC4081D" w14:textId="05D425BC" w:rsidR="00DB7208" w:rsidRPr="00DB7208" w:rsidRDefault="00DB7208" w:rsidP="00DB7208">
      <w:pPr>
        <w:spacing w:line="360" w:lineRule="auto"/>
        <w:jc w:val="both"/>
        <w:rPr>
          <w:color w:val="000000" w:themeColor="text1"/>
        </w:rPr>
      </w:pPr>
      <w:r w:rsidRPr="00DB7208">
        <w:rPr>
          <w:color w:val="000000" w:themeColor="text1"/>
        </w:rPr>
        <w:t>Fuzzy-Set Qualitative Comparative Analysis (</w:t>
      </w:r>
      <w:r w:rsidR="00202EAC">
        <w:rPr>
          <w:color w:val="000000" w:themeColor="text1"/>
        </w:rPr>
        <w:t>FsQCA</w:t>
      </w:r>
      <w:r w:rsidRPr="00DB7208">
        <w:rPr>
          <w:color w:val="000000" w:themeColor="text1"/>
        </w:rPr>
        <w:t xml:space="preserve">) provides a mixed-method framework suited to examining complex causal configurations in branding research (Jia et al., 2022). Positioned between exploratory and hypothesis-testing strategies, </w:t>
      </w:r>
      <w:r w:rsidR="00202EAC">
        <w:rPr>
          <w:color w:val="000000" w:themeColor="text1"/>
        </w:rPr>
        <w:t>FsQCA</w:t>
      </w:r>
      <w:r w:rsidRPr="00DB7208">
        <w:rPr>
          <w:color w:val="000000" w:themeColor="text1"/>
        </w:rPr>
        <w:t xml:space="preserve"> is particularly effective for analysing user engagement and experience in the metaverse, where multiple interrelated factors shape brand outcomes. Unlike traditional statistical methods, it identifies how different combinations of conditions—present or absent—jointly produce an outcome, highlighting equifinality in causal pathways (Schneider </w:t>
      </w:r>
      <w:r w:rsidR="001039BF">
        <w:rPr>
          <w:color w:val="000000" w:themeColor="text1"/>
        </w:rPr>
        <w:t>and</w:t>
      </w:r>
      <w:r w:rsidRPr="00DB7208">
        <w:rPr>
          <w:color w:val="000000" w:themeColor="text1"/>
        </w:rPr>
        <w:t xml:space="preserve"> Wagemann, 2012). Ragin (2008) further emphasizes </w:t>
      </w:r>
      <w:proofErr w:type="spellStart"/>
      <w:r w:rsidR="00202EAC">
        <w:rPr>
          <w:color w:val="000000" w:themeColor="text1"/>
        </w:rPr>
        <w:t>FsQCA</w:t>
      </w:r>
      <w:r w:rsidRPr="00DB7208">
        <w:rPr>
          <w:color w:val="000000" w:themeColor="text1"/>
        </w:rPr>
        <w:t>’s</w:t>
      </w:r>
      <w:proofErr w:type="spellEnd"/>
      <w:r w:rsidRPr="00DB7208">
        <w:rPr>
          <w:color w:val="000000" w:themeColor="text1"/>
        </w:rPr>
        <w:t xml:space="preserve"> value in small-N research, enabling rigorous analysis even in data-limited contexts.</w:t>
      </w:r>
    </w:p>
    <w:p w14:paraId="0D7812A9" w14:textId="189F1550" w:rsidR="00DB7208" w:rsidRPr="00DB7208" w:rsidRDefault="00DB7208" w:rsidP="00DB7208">
      <w:pPr>
        <w:spacing w:line="360" w:lineRule="auto"/>
        <w:ind w:firstLine="426"/>
        <w:jc w:val="both"/>
        <w:rPr>
          <w:color w:val="000000" w:themeColor="text1"/>
        </w:rPr>
      </w:pPr>
      <w:r>
        <w:t>This study applies FsQCA to investigate how engagement and experience influence brand perception, loyalty, differentiation, and competitive advantage in the metaverse. The novelty lies in contextualizing FsQCA within immersive, rapidly evolving environments, offering insights into branding strategies and decision-making. Translating variables into fuzzy sets allows nuanced measurement of membership scores (0–1), capturing partial set membership and degree of presence.</w:t>
      </w:r>
    </w:p>
    <w:p w14:paraId="527093DE" w14:textId="125F4D41" w:rsidR="00DB7208" w:rsidRPr="00DB7208" w:rsidRDefault="00DB7208" w:rsidP="00DB7208">
      <w:pPr>
        <w:spacing w:line="360" w:lineRule="auto"/>
        <w:ind w:firstLine="426"/>
        <w:jc w:val="both"/>
        <w:rPr>
          <w:color w:val="000000" w:themeColor="text1"/>
        </w:rPr>
      </w:pPr>
      <w:r w:rsidRPr="00DB7208">
        <w:rPr>
          <w:color w:val="000000" w:themeColor="text1"/>
        </w:rPr>
        <w:t xml:space="preserve">The </w:t>
      </w:r>
      <w:r w:rsidR="00202EAC">
        <w:rPr>
          <w:color w:val="000000" w:themeColor="text1"/>
        </w:rPr>
        <w:t>FsQCA</w:t>
      </w:r>
      <w:r w:rsidRPr="00DB7208">
        <w:rPr>
          <w:color w:val="000000" w:themeColor="text1"/>
        </w:rPr>
        <w:t xml:space="preserve"> process comprises six stages: (a) case selection, (b) identification of causal conditions, (c) calibration of membership scores, (d) construction of the truth table, (e) logical minimization of causal configurations, and (f) robustness checks via consistency and coverage indices. Figure 2 illustrates this methodological flow from calibration to outcome analysis. Through Boolean operations, minimal sufficient combinations of conditions are derived, revealing causal complexity beyond single-variable effects.</w:t>
      </w:r>
    </w:p>
    <w:p w14:paraId="3D382D78" w14:textId="77777777" w:rsidR="00624A1D" w:rsidRDefault="00B911BC" w:rsidP="00624A1D">
      <w:pPr>
        <w:rPr>
          <w:color w:val="000000" w:themeColor="text1"/>
        </w:rPr>
      </w:pPr>
      <w:r w:rsidRPr="0043234C">
        <w:rPr>
          <w:noProof/>
        </w:rPr>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3CE72D5C" w14:textId="016214C6" w:rsidR="00C6582E" w:rsidRPr="00624A1D" w:rsidRDefault="00C6582E" w:rsidP="00624A1D">
      <w:pPr>
        <w:rPr>
          <w:color w:val="000000" w:themeColor="text1"/>
        </w:rPr>
      </w:pPr>
      <w:r w:rsidRPr="0043234C">
        <w:rPr>
          <w:b/>
          <w:bCs/>
          <w:i/>
          <w:iCs/>
          <w:color w:val="000000" w:themeColor="text1"/>
        </w:rPr>
        <w:t>Figure 2</w:t>
      </w:r>
      <w:r w:rsidRPr="0043234C">
        <w:rPr>
          <w:i/>
          <w:iCs/>
          <w:color w:val="000000" w:themeColor="text1"/>
        </w:rPr>
        <w:t>. Flowchart illustrating the steps involved in the fuzzy set qualitative comparative analysis (</w:t>
      </w:r>
      <w:r w:rsidR="00202EAC">
        <w:rPr>
          <w:i/>
          <w:iCs/>
          <w:color w:val="000000" w:themeColor="text1"/>
        </w:rPr>
        <w:t>FsQCA</w:t>
      </w:r>
      <w:r w:rsidRPr="0043234C">
        <w:rPr>
          <w:i/>
          <w:iCs/>
          <w:color w:val="000000" w:themeColor="text1"/>
        </w:rPr>
        <w:t>) methodology, from data calibration to the generation of final insights.</w:t>
      </w:r>
    </w:p>
    <w:p w14:paraId="3B7FF5FA" w14:textId="77777777" w:rsidR="00ED44A2" w:rsidRPr="00E62169" w:rsidRDefault="00ED44A2" w:rsidP="005A1FB3">
      <w:pPr>
        <w:spacing w:line="360" w:lineRule="auto"/>
        <w:jc w:val="center"/>
        <w:rPr>
          <w:i/>
          <w:iCs/>
          <w:color w:val="000000" w:themeColor="text1"/>
        </w:rPr>
      </w:pPr>
    </w:p>
    <w:p w14:paraId="1D141CAB" w14:textId="1FDF811D" w:rsidR="00ED44A2" w:rsidRDefault="00DB7208" w:rsidP="00DB7208">
      <w:pPr>
        <w:spacing w:line="360" w:lineRule="auto"/>
        <w:ind w:firstLine="426"/>
        <w:jc w:val="both"/>
        <w:rPr>
          <w:color w:val="000000" w:themeColor="text1"/>
        </w:rPr>
      </w:pPr>
      <w:r w:rsidRPr="00DB7208">
        <w:rPr>
          <w:color w:val="000000" w:themeColor="text1"/>
        </w:rPr>
        <w:t xml:space="preserve">By systematically applying </w:t>
      </w:r>
      <w:r w:rsidR="00202EAC">
        <w:rPr>
          <w:color w:val="000000" w:themeColor="text1"/>
        </w:rPr>
        <w:t>FsQCA</w:t>
      </w:r>
      <w:r w:rsidRPr="00DB7208">
        <w:rPr>
          <w:color w:val="000000" w:themeColor="text1"/>
        </w:rPr>
        <w:t>, this study identifies diverse engagement-experience configurations that drive brand success in virtual environments. The approach not only enriches theoretical understanding but also provides practical implications for brand managers seeking to design resilient strategies in metaverse ecosystems.</w:t>
      </w:r>
      <w:r w:rsidRPr="00E62169">
        <w:rPr>
          <w:color w:val="000000" w:themeColor="text1"/>
        </w:rPr>
        <w:t xml:space="preserve"> </w:t>
      </w:r>
      <w:r w:rsidR="00ED44A2" w:rsidRPr="00E62169">
        <w:rPr>
          <w:color w:val="000000" w:themeColor="text1"/>
        </w:rPr>
        <w:t>Fuzzy-set qualitative comparative analysis (</w:t>
      </w:r>
      <w:r w:rsidR="00202EAC">
        <w:rPr>
          <w:color w:val="000000" w:themeColor="text1"/>
        </w:rPr>
        <w:t>FsQCA</w:t>
      </w:r>
      <w:r w:rsidR="00ED44A2" w:rsidRPr="00E62169">
        <w:rPr>
          <w:color w:val="000000" w:themeColor="text1"/>
        </w:rPr>
        <w:t>) was used to study factors that contribute</w:t>
      </w:r>
      <w:r w:rsidR="00ED44A2" w:rsidRPr="0043234C">
        <w:rPr>
          <w:color w:val="000000" w:themeColor="text1"/>
        </w:rPr>
        <w:t xml:space="preserve"> to successful brands in the metaverse. This approach allowed to explore systematically the various configurations of user engagement and experience factors that portend positive results for brands in the virtual world.</w:t>
      </w:r>
    </w:p>
    <w:p w14:paraId="240FB142" w14:textId="77777777" w:rsidR="00DB7208" w:rsidRPr="0043234C" w:rsidRDefault="00DB7208" w:rsidP="00DB7208">
      <w:pPr>
        <w:spacing w:line="360" w:lineRule="auto"/>
        <w:ind w:firstLine="426"/>
        <w:jc w:val="both"/>
        <w:rPr>
          <w:color w:val="000000" w:themeColor="text1"/>
        </w:rPr>
      </w:pPr>
    </w:p>
    <w:p w14:paraId="65AF42D2" w14:textId="3DAC1627" w:rsidR="00FF3166" w:rsidRPr="00CD5B68" w:rsidRDefault="005C3D91" w:rsidP="00B4702E">
      <w:pPr>
        <w:spacing w:line="360" w:lineRule="auto"/>
        <w:jc w:val="both"/>
        <w:rPr>
          <w:b/>
          <w:bCs/>
          <w:i/>
          <w:iCs/>
          <w:color w:val="000000" w:themeColor="text1"/>
        </w:rPr>
      </w:pPr>
      <w:r w:rsidRPr="00CD5B68">
        <w:rPr>
          <w:b/>
          <w:bCs/>
          <w:i/>
          <w:iCs/>
          <w:color w:val="000000" w:themeColor="text1"/>
        </w:rPr>
        <w:t>4.</w:t>
      </w:r>
      <w:r w:rsidR="00ED44A2" w:rsidRPr="00CD5B68">
        <w:rPr>
          <w:b/>
          <w:bCs/>
          <w:i/>
          <w:iCs/>
          <w:color w:val="000000" w:themeColor="text1"/>
        </w:rPr>
        <w:t>2</w:t>
      </w:r>
      <w:r w:rsidRPr="00CD5B68">
        <w:rPr>
          <w:b/>
          <w:bCs/>
          <w:i/>
          <w:iCs/>
          <w:color w:val="000000" w:themeColor="text1"/>
        </w:rPr>
        <w:t xml:space="preserve"> Identification and selection of variables </w:t>
      </w:r>
    </w:p>
    <w:p w14:paraId="2832CAF3" w14:textId="3780A2FF" w:rsidR="00DB7208" w:rsidRPr="00DB7208" w:rsidRDefault="00DB7208" w:rsidP="00DB7208">
      <w:pPr>
        <w:spacing w:line="360" w:lineRule="auto"/>
        <w:jc w:val="both"/>
        <w:rPr>
          <w:color w:val="000000" w:themeColor="text1"/>
        </w:rPr>
      </w:pPr>
      <w:r w:rsidRPr="00DB7208">
        <w:rPr>
          <w:color w:val="000000" w:themeColor="text1"/>
        </w:rPr>
        <w:t xml:space="preserve">The identification and selection of variables related to user engagement, user experience, brand satisfaction, and brand success followed a structured three-stage process. First, an extensive literature review was conducted to identify variables consistently validated in prior studies. Constructs such as satisfaction levels, interaction frequency, perceived brand impact, emotional connection, and personalization emerged as core indicators of user experience and engagement (Cadet </w:t>
      </w:r>
      <w:r w:rsidR="001039BF">
        <w:rPr>
          <w:color w:val="000000" w:themeColor="text1"/>
        </w:rPr>
        <w:t>and</w:t>
      </w:r>
      <w:r w:rsidRPr="00DB7208">
        <w:rPr>
          <w:color w:val="000000" w:themeColor="text1"/>
        </w:rPr>
        <w:t xml:space="preserve"> </w:t>
      </w:r>
      <w:proofErr w:type="spellStart"/>
      <w:r w:rsidRPr="00DB7208">
        <w:rPr>
          <w:color w:val="000000" w:themeColor="text1"/>
        </w:rPr>
        <w:t>Chainay</w:t>
      </w:r>
      <w:proofErr w:type="spellEnd"/>
      <w:r w:rsidRPr="00DB7208">
        <w:rPr>
          <w:color w:val="000000" w:themeColor="text1"/>
        </w:rPr>
        <w:t xml:space="preserve">, 2020; Lu </w:t>
      </w:r>
      <w:r w:rsidR="001039BF">
        <w:rPr>
          <w:color w:val="000000" w:themeColor="text1"/>
        </w:rPr>
        <w:t>and</w:t>
      </w:r>
      <w:r w:rsidRPr="00DB7208">
        <w:rPr>
          <w:color w:val="000000" w:themeColor="text1"/>
        </w:rPr>
        <w:t xml:space="preserve"> Lau, 2025).</w:t>
      </w:r>
    </w:p>
    <w:p w14:paraId="3FA083A6" w14:textId="43263D61" w:rsidR="00DB7208" w:rsidRPr="00DB7208" w:rsidRDefault="00DB7208" w:rsidP="00DB7208">
      <w:pPr>
        <w:spacing w:line="360" w:lineRule="auto"/>
        <w:ind w:firstLine="426"/>
        <w:jc w:val="both"/>
        <w:rPr>
          <w:color w:val="000000" w:themeColor="text1"/>
        </w:rPr>
      </w:pPr>
      <w:proofErr w:type="spellStart"/>
      <w:proofErr w:type="spellEnd"/>
      <w:proofErr w:type="spellStart"/>
      <w:proofErr w:type="spellEnd"/>
      <w:r>
        <w:t>Second, candidate items were screened for conceptual fit with the four focal constructs and for demonstrated reliability in prior studies; only items with strong conceptual grounding and established psychometric performance were retained. Third, the refined items were administered in a survey capturing User Engagement (UE), User Experience (UX), Brand Satisfaction (BSAT), and Brand Success (BSUC). A pilot study confirmed item clarity and reliability prior to full-scale administration. The study is survey-based; no separate qualitative interview or focus-group stage is reported.</w:t>
      </w:r>
    </w:p>
    <w:p w14:paraId="0BE75A10" w14:textId="77777777" w:rsidR="00DB7208" w:rsidRPr="00DB7208" w:rsidRDefault="00DB7208" w:rsidP="00DB7208">
      <w:pPr>
        <w:spacing w:line="360" w:lineRule="auto"/>
        <w:ind w:firstLine="426"/>
        <w:jc w:val="both"/>
        <w:rPr>
          <w:color w:val="000000" w:themeColor="text1"/>
        </w:rPr>
      </w:pPr>
      <w:r>
        <w:t>Variable selection prioritised theoretical relevance and demonstrated reliability; only constructs with strong conceptual grounding and established psychometric performance were retained, and a pilot study confirmed item clarity and reliability before full-scale administration. This sequence, literature review, item screening, and quantitative validation, ensured that the measures robustly captured user engagement, experience, satisfaction, and brand success.</w:t>
      </w:r>
    </w:p>
    <w:p w14:paraId="27B3B31E" w14:textId="77777777" w:rsidR="00DB7208" w:rsidRPr="0043234C" w:rsidRDefault="00DB7208" w:rsidP="00CF3193">
      <w:pPr>
        <w:spacing w:line="360" w:lineRule="auto"/>
        <w:ind w:firstLine="426"/>
        <w:jc w:val="both"/>
        <w:rPr>
          <w:color w:val="000000" w:themeColor="text1"/>
        </w:rPr>
      </w:pPr>
    </w:p>
    <w:p w14:paraId="617C4AAA" w14:textId="5AE8C2DB" w:rsidR="006A5E51" w:rsidRPr="00455887" w:rsidRDefault="006A5E51" w:rsidP="006A5E51">
      <w:pPr>
        <w:spacing w:line="360" w:lineRule="auto"/>
        <w:jc w:val="both"/>
        <w:rPr>
          <w:b/>
          <w:bCs/>
          <w:i/>
          <w:iCs/>
          <w:color w:val="000000" w:themeColor="text1"/>
        </w:rPr>
      </w:pPr>
      <w:r w:rsidRPr="00455887">
        <w:rPr>
          <w:b/>
          <w:bCs/>
          <w:i/>
          <w:iCs/>
          <w:color w:val="000000" w:themeColor="text1"/>
        </w:rPr>
        <w:lastRenderedPageBreak/>
        <w:t>4.</w:t>
      </w:r>
      <w:r w:rsidR="00ED44A2" w:rsidRPr="00455887">
        <w:rPr>
          <w:b/>
          <w:bCs/>
          <w:i/>
          <w:iCs/>
          <w:color w:val="000000" w:themeColor="text1"/>
        </w:rPr>
        <w:t xml:space="preserve">3 </w:t>
      </w:r>
      <w:r w:rsidRPr="00455887">
        <w:rPr>
          <w:b/>
          <w:bCs/>
          <w:i/>
          <w:iCs/>
          <w:color w:val="000000" w:themeColor="text1"/>
        </w:rPr>
        <w:t>Measures</w:t>
      </w:r>
    </w:p>
    <w:p w14:paraId="2EBA7290" w14:textId="1DD86D3A" w:rsidR="00CD5B68" w:rsidRDefault="005B14B4" w:rsidP="006A5E51">
      <w:pPr>
        <w:spacing w:line="360" w:lineRule="auto"/>
        <w:jc w:val="both"/>
        <w:rPr>
          <w:color w:val="000000" w:themeColor="text1"/>
        </w:rPr>
      </w:pPr>
      <w:proofErr w:type="spellStart"/>
      <w:proofErr w:type="spellEnd"/>
      <w:proofErr w:type="spellStart"/>
      <w:proofErr w:type="spellEnd"/>
      <w:proofErr w:type="spellStart"/>
      <w:proofErr w:type="spellEnd"/>
      <w:r>
        <w:t>This study used multi-item reflective scales adapted from validated sources, each measured on a seven-point Likert scale (1 = strongly disagree, 7 = strongly agree). User engagement was measured with ten items adapted from the User Engagement Scale of O'Brien and Toms (2010), selecting items from its focused-attention, felt-involvement, endurability, and novelty dimensions, the dimensions most directly reflecting behavioural and cognitive involvement in metaverse activity. User experience was measured with ten items capturing presence/immersiveness, navigability, sensory quality, and authenticity, adapted from the VR presence and realism measures of Cadet and Chainay (2020) and the metaverse user-experience items of Basu et al. (2024); we explicitly do not attribute the experience scale to O'Brien and Toms (2010), which measures engagement rather than experience. Brand satisfaction was measured with five items adapted from Fornell et al. (1996), and brand success with four items adapted from the brand-outcomes literature (Mathwick et al., 2008). The complete item set, sources, and psychometric properties are consolidated in Table 1 (measurement items and sources) and Table 3 (loadings and reliability), so that content and construct validity can be evaluated directly.</w:t>
      </w:r>
    </w:p>
    <w:p>
      <w:r>
        <w:t>Table 1. Operationalization of Constructs and Measurement Items (seven-point Likert; BSAT = Brand Satisfaction; UE = User Engagement; UX = User Experience; BSUC = Brand Success)</w:t>
      </w:r>
    </w:p>
    <w:tbl>
      <w:tblPr>
        <w:tblW w:type="auto" w:w="0"/>
        <w:tblLook w:firstColumn="1" w:firstRow="1" w:lastColumn="0" w:lastRow="0" w:noHBand="0" w:noVBand="1" w:val="04A0"/>
      </w:tblPr>
      <w:tblGrid>
        <w:gridCol w:w="2256"/>
        <w:gridCol w:w="2256"/>
        <w:gridCol w:w="2256"/>
        <w:gridCol w:w="2256"/>
      </w:tblGrid>
      <w:tr>
        <w:tc>
          <w:tcPr>
            <w:tcW w:type="dxa" w:w="2256"/>
          </w:tcPr>
          <w:p>
            <w:r>
              <w:rPr>
                <w:b/>
              </w:rPr>
              <w:t>Construct</w:t>
            </w:r>
          </w:p>
        </w:tc>
        <w:tc>
          <w:tcPr>
            <w:tcW w:type="dxa" w:w="2256"/>
          </w:tcPr>
          <w:p>
            <w:r>
              <w:rPr>
                <w:b/>
              </w:rPr>
              <w:t>Item</w:t>
            </w:r>
          </w:p>
        </w:tc>
        <w:tc>
          <w:tcPr>
            <w:tcW w:type="dxa" w:w="2256"/>
          </w:tcPr>
          <w:p>
            <w:r>
              <w:rPr>
                <w:b/>
              </w:rPr>
              <w:t>Adapted wording</w:t>
            </w:r>
          </w:p>
        </w:tc>
        <w:tc>
          <w:tcPr>
            <w:tcW w:type="dxa" w:w="2256"/>
          </w:tcPr>
          <w:p>
            <w:r>
              <w:rPr>
                <w:b/>
              </w:rPr>
              <w:t>Source</w:t>
            </w:r>
          </w:p>
        </w:tc>
      </w:tr>
      <w:tr>
        <w:tc>
          <w:tcPr>
            <w:tcW w:type="dxa" w:w="2256"/>
          </w:tcPr>
          <w:p>
            <w:r>
              <w:t>BSAT</w:t>
            </w:r>
          </w:p>
        </w:tc>
        <w:tc>
          <w:tcPr>
            <w:tcW w:type="dxa" w:w="2256"/>
          </w:tcPr>
          <w:p>
            <w:r>
              <w:t>BSAT1</w:t>
            </w:r>
          </w:p>
        </w:tc>
        <w:tc>
          <w:tcPr>
            <w:tcW w:type="dxa" w:w="2256"/>
          </w:tcPr>
          <w:p>
            <w:r>
              <w:t>Overall, I am satisfied with this brand's presence in the metaverse.</w:t>
            </w:r>
          </w:p>
        </w:tc>
        <w:tc>
          <w:tcPr>
            <w:tcW w:type="dxa" w:w="2256"/>
          </w:tcPr>
          <w:p>
            <w:r>
              <w:t>Fornell et al. (1996)</w:t>
            </w:r>
          </w:p>
        </w:tc>
      </w:tr>
      <w:tr>
        <w:tc>
          <w:tcPr>
            <w:tcW w:type="dxa" w:w="2256"/>
          </w:tcPr>
          <w:p>
            <w:r>
              <w:t>BSAT</w:t>
            </w:r>
          </w:p>
        </w:tc>
        <w:tc>
          <w:tcPr>
            <w:tcW w:type="dxa" w:w="2256"/>
          </w:tcPr>
          <w:p>
            <w:r>
              <w:t>BSAT2</w:t>
            </w:r>
          </w:p>
        </w:tc>
        <w:tc>
          <w:tcPr>
            <w:tcW w:type="dxa" w:w="2256"/>
          </w:tcPr>
          <w:p>
            <w:r>
              <w:t>The brand's metaverse experience meets my expectations.</w:t>
            </w:r>
          </w:p>
        </w:tc>
        <w:tc>
          <w:tcPr>
            <w:tcW w:type="dxa" w:w="2256"/>
          </w:tcPr>
          <w:p>
            <w:r/>
          </w:p>
        </w:tc>
      </w:tr>
      <w:tr>
        <w:tc>
          <w:tcPr>
            <w:tcW w:type="dxa" w:w="2256"/>
          </w:tcPr>
          <w:p>
            <w:r>
              <w:t>BSAT</w:t>
            </w:r>
          </w:p>
        </w:tc>
        <w:tc>
          <w:tcPr>
            <w:tcW w:type="dxa" w:w="2256"/>
          </w:tcPr>
          <w:p>
            <w:r>
              <w:t>BSAT3</w:t>
            </w:r>
          </w:p>
        </w:tc>
        <w:tc>
          <w:tcPr>
            <w:tcW w:type="dxa" w:w="2256"/>
          </w:tcPr>
          <w:p>
            <w:r>
              <w:t>The brand's virtual offerings come close to my idea of an ideal brand experience.</w:t>
            </w:r>
          </w:p>
        </w:tc>
        <w:tc>
          <w:tcPr>
            <w:tcW w:type="dxa" w:w="2256"/>
          </w:tcPr>
          <w:p>
            <w:r/>
          </w:p>
        </w:tc>
      </w:tr>
      <w:tr>
        <w:tc>
          <w:tcPr>
            <w:tcW w:type="dxa" w:w="2256"/>
          </w:tcPr>
          <w:p>
            <w:r>
              <w:t>BSAT</w:t>
            </w:r>
          </w:p>
        </w:tc>
        <w:tc>
          <w:tcPr>
            <w:tcW w:type="dxa" w:w="2256"/>
          </w:tcPr>
          <w:p>
            <w:r>
              <w:t>BSAT4</w:t>
            </w:r>
          </w:p>
        </w:tc>
        <w:tc>
          <w:tcPr>
            <w:tcW w:type="dxa" w:w="2256"/>
          </w:tcPr>
          <w:p>
            <w:r>
              <w:t>I am satisfied with how the brand engages with me in virtual spaces.</w:t>
            </w:r>
          </w:p>
        </w:tc>
        <w:tc>
          <w:tcPr>
            <w:tcW w:type="dxa" w:w="2256"/>
          </w:tcPr>
          <w:p>
            <w:r/>
          </w:p>
        </w:tc>
      </w:tr>
      <w:tr>
        <w:tc>
          <w:tcPr>
            <w:tcW w:type="dxa" w:w="2256"/>
          </w:tcPr>
          <w:p>
            <w:r>
              <w:t>BSAT</w:t>
            </w:r>
          </w:p>
        </w:tc>
        <w:tc>
          <w:tcPr>
            <w:tcW w:type="dxa" w:w="2256"/>
          </w:tcPr>
          <w:p>
            <w:r>
              <w:t>BSAT5</w:t>
            </w:r>
          </w:p>
        </w:tc>
        <w:tc>
          <w:tcPr>
            <w:tcW w:type="dxa" w:w="2256"/>
          </w:tcPr>
          <w:p>
            <w:r>
              <w:t>My overall experience with the brand in the metaverse is satisfying.</w:t>
            </w:r>
          </w:p>
        </w:tc>
        <w:tc>
          <w:tcPr>
            <w:tcW w:type="dxa" w:w="2256"/>
          </w:tcPr>
          <w:p>
            <w:r/>
          </w:p>
        </w:tc>
      </w:tr>
      <w:tr>
        <w:tc>
          <w:tcPr>
            <w:tcW w:type="dxa" w:w="2256"/>
          </w:tcPr>
          <w:p>
            <w:r>
              <w:t>UE</w:t>
            </w:r>
          </w:p>
        </w:tc>
        <w:tc>
          <w:tcPr>
            <w:tcW w:type="dxa" w:w="2256"/>
          </w:tcPr>
          <w:p>
            <w:r>
              <w:t>UE1</w:t>
            </w:r>
          </w:p>
        </w:tc>
        <w:tc>
          <w:tcPr>
            <w:tcW w:type="dxa" w:w="2256"/>
          </w:tcPr>
          <w:p>
            <w:r>
              <w:t>I was absorbed in my activity within the metaverse. (focused attention)</w:t>
            </w:r>
          </w:p>
        </w:tc>
        <w:tc>
          <w:tcPr>
            <w:tcW w:type="dxa" w:w="2256"/>
          </w:tcPr>
          <w:p>
            <w:r>
              <w:t>O'Brien &amp; Toms (2010)</w:t>
            </w:r>
          </w:p>
        </w:tc>
      </w:tr>
      <w:tr>
        <w:tc>
          <w:tcPr>
            <w:tcW w:type="dxa" w:w="2256"/>
          </w:tcPr>
          <w:p>
            <w:r>
              <w:t>UE</w:t>
            </w:r>
          </w:p>
        </w:tc>
        <w:tc>
          <w:tcPr>
            <w:tcW w:type="dxa" w:w="2256"/>
          </w:tcPr>
          <w:p>
            <w:r>
              <w:t>UE2</w:t>
            </w:r>
          </w:p>
        </w:tc>
        <w:tc>
          <w:tcPr>
            <w:tcW w:type="dxa" w:w="2256"/>
          </w:tcPr>
          <w:p>
            <w:r>
              <w:t>I lost track of time while engaging in the virtual environment. (focused attention)</w:t>
            </w:r>
          </w:p>
        </w:tc>
        <w:tc>
          <w:tcPr>
            <w:tcW w:type="dxa" w:w="2256"/>
          </w:tcPr>
          <w:p>
            <w:r/>
          </w:p>
        </w:tc>
      </w:tr>
      <w:tr>
        <w:tc>
          <w:tcPr>
            <w:tcW w:type="dxa" w:w="2256"/>
          </w:tcPr>
          <w:p>
            <w:r>
              <w:t>UE</w:t>
            </w:r>
          </w:p>
        </w:tc>
        <w:tc>
          <w:tcPr>
            <w:tcW w:type="dxa" w:w="2256"/>
          </w:tcPr>
          <w:p>
            <w:r>
              <w:t>UE3</w:t>
            </w:r>
          </w:p>
        </w:tc>
        <w:tc>
          <w:tcPr>
            <w:tcW w:type="dxa" w:w="2256"/>
          </w:tcPr>
          <w:p>
            <w:r>
              <w:t>I was so involved that I forgot about my immediate surroundings. (focused attention)</w:t>
            </w:r>
          </w:p>
        </w:tc>
        <w:tc>
          <w:tcPr>
            <w:tcW w:type="dxa" w:w="2256"/>
          </w:tcPr>
          <w:p>
            <w:r/>
          </w:p>
        </w:tc>
      </w:tr>
      <w:tr>
        <w:tc>
          <w:tcPr>
            <w:tcW w:type="dxa" w:w="2256"/>
          </w:tcPr>
          <w:p>
            <w:r>
              <w:t>UE</w:t>
            </w:r>
          </w:p>
        </w:tc>
        <w:tc>
          <w:tcPr>
            <w:tcW w:type="dxa" w:w="2256"/>
          </w:tcPr>
          <w:p>
            <w:r>
              <w:t>UE4</w:t>
            </w:r>
          </w:p>
        </w:tc>
        <w:tc>
          <w:tcPr>
            <w:tcW w:type="dxa" w:w="2256"/>
          </w:tcPr>
          <w:p>
            <w:r>
              <w:t>My interaction in the metaverse was fun. (felt involvement)</w:t>
            </w:r>
          </w:p>
        </w:tc>
        <w:tc>
          <w:tcPr>
            <w:tcW w:type="dxa" w:w="2256"/>
          </w:tcPr>
          <w:p>
            <w:r/>
          </w:p>
        </w:tc>
      </w:tr>
      <w:tr>
        <w:tc>
          <w:tcPr>
            <w:tcW w:type="dxa" w:w="2256"/>
          </w:tcPr>
          <w:p>
            <w:r>
              <w:t>UE</w:t>
            </w:r>
          </w:p>
        </w:tc>
        <w:tc>
          <w:tcPr>
            <w:tcW w:type="dxa" w:w="2256"/>
          </w:tcPr>
          <w:p>
            <w:r>
              <w:t>UE5</w:t>
            </w:r>
          </w:p>
        </w:tc>
        <w:tc>
          <w:tcPr>
            <w:tcW w:type="dxa" w:w="2256"/>
          </w:tcPr>
          <w:p>
            <w:r>
              <w:t>I felt involved in the brand's virtual activities. (felt involvement)</w:t>
            </w:r>
          </w:p>
        </w:tc>
        <w:tc>
          <w:tcPr>
            <w:tcW w:type="dxa" w:w="2256"/>
          </w:tcPr>
          <w:p>
            <w:r/>
          </w:p>
        </w:tc>
      </w:tr>
      <w:tr>
        <w:tc>
          <w:tcPr>
            <w:tcW w:type="dxa" w:w="2256"/>
          </w:tcPr>
          <w:p>
            <w:r>
              <w:t>UE</w:t>
            </w:r>
          </w:p>
        </w:tc>
        <w:tc>
          <w:tcPr>
            <w:tcW w:type="dxa" w:w="2256"/>
          </w:tcPr>
          <w:p>
            <w:r>
              <w:t>UE6</w:t>
            </w:r>
          </w:p>
        </w:tc>
        <w:tc>
          <w:tcPr>
            <w:tcW w:type="dxa" w:w="2256"/>
          </w:tcPr>
          <w:p>
            <w:r>
              <w:t>The experience was rewarding. (felt involvement)</w:t>
            </w:r>
          </w:p>
        </w:tc>
        <w:tc>
          <w:tcPr>
            <w:tcW w:type="dxa" w:w="2256"/>
          </w:tcPr>
          <w:p>
            <w:r/>
          </w:p>
        </w:tc>
      </w:tr>
      <w:tr>
        <w:tc>
          <w:tcPr>
            <w:tcW w:type="dxa" w:w="2256"/>
          </w:tcPr>
          <w:p>
            <w:r>
              <w:t>UE</w:t>
            </w:r>
          </w:p>
        </w:tc>
        <w:tc>
          <w:tcPr>
            <w:tcW w:type="dxa" w:w="2256"/>
          </w:tcPr>
          <w:p>
            <w:r>
              <w:t>UE7</w:t>
            </w:r>
          </w:p>
        </w:tc>
        <w:tc>
          <w:tcPr>
            <w:tcW w:type="dxa" w:w="2256"/>
          </w:tcPr>
          <w:p>
            <w:r>
              <w:t>The experience was worthwhile. (endurability)</w:t>
            </w:r>
          </w:p>
        </w:tc>
        <w:tc>
          <w:tcPr>
            <w:tcW w:type="dxa" w:w="2256"/>
          </w:tcPr>
          <w:p>
            <w:r/>
          </w:p>
        </w:tc>
      </w:tr>
      <w:tr>
        <w:tc>
          <w:tcPr>
            <w:tcW w:type="dxa" w:w="2256"/>
          </w:tcPr>
          <w:p>
            <w:r>
              <w:t>UE</w:t>
            </w:r>
          </w:p>
        </w:tc>
        <w:tc>
          <w:tcPr>
            <w:tcW w:type="dxa" w:w="2256"/>
          </w:tcPr>
          <w:p>
            <w:r>
              <w:t>UE8</w:t>
            </w:r>
          </w:p>
        </w:tc>
        <w:tc>
          <w:tcPr>
            <w:tcW w:type="dxa" w:w="2256"/>
          </w:tcPr>
          <w:p>
            <w:r>
              <w:t>I would recommend this metaverse activity to others. (endurability)</w:t>
            </w:r>
          </w:p>
        </w:tc>
        <w:tc>
          <w:tcPr>
            <w:tcW w:type="dxa" w:w="2256"/>
          </w:tcPr>
          <w:p>
            <w:r/>
          </w:p>
        </w:tc>
      </w:tr>
      <w:tr>
        <w:tc>
          <w:tcPr>
            <w:tcW w:type="dxa" w:w="2256"/>
          </w:tcPr>
          <w:p>
            <w:r>
              <w:t>UE</w:t>
            </w:r>
          </w:p>
        </w:tc>
        <w:tc>
          <w:tcPr>
            <w:tcW w:type="dxa" w:w="2256"/>
          </w:tcPr>
          <w:p>
            <w:r>
              <w:t>UE9</w:t>
            </w:r>
          </w:p>
        </w:tc>
        <w:tc>
          <w:tcPr>
            <w:tcW w:type="dxa" w:w="2256"/>
          </w:tcPr>
          <w:p>
            <w:r>
              <w:t>I was curious to explore the brand's virtual environment. (novelty)</w:t>
            </w:r>
          </w:p>
        </w:tc>
        <w:tc>
          <w:tcPr>
            <w:tcW w:type="dxa" w:w="2256"/>
          </w:tcPr>
          <w:p>
            <w:r/>
          </w:p>
        </w:tc>
      </w:tr>
      <w:tr>
        <w:tc>
          <w:tcPr>
            <w:tcW w:type="dxa" w:w="2256"/>
          </w:tcPr>
          <w:p>
            <w:r>
              <w:t>UE</w:t>
            </w:r>
          </w:p>
        </w:tc>
        <w:tc>
          <w:tcPr>
            <w:tcW w:type="dxa" w:w="2256"/>
          </w:tcPr>
          <w:p>
            <w:r>
              <w:t>UE10</w:t>
            </w:r>
          </w:p>
        </w:tc>
        <w:tc>
          <w:tcPr>
            <w:tcW w:type="dxa" w:w="2256"/>
          </w:tcPr>
          <w:p>
            <w:r>
              <w:t>The activities aroused my interest. (novelty)</w:t>
            </w:r>
          </w:p>
        </w:tc>
        <w:tc>
          <w:tcPr>
            <w:tcW w:type="dxa" w:w="2256"/>
          </w:tcPr>
          <w:p>
            <w:r/>
          </w:p>
        </w:tc>
      </w:tr>
      <w:tr>
        <w:tc>
          <w:tcPr>
            <w:tcW w:type="dxa" w:w="2256"/>
          </w:tcPr>
          <w:p>
            <w:r>
              <w:t>UX</w:t>
            </w:r>
          </w:p>
        </w:tc>
        <w:tc>
          <w:tcPr>
            <w:tcW w:type="dxa" w:w="2256"/>
          </w:tcPr>
          <w:p>
            <w:r>
              <w:t>UX1</w:t>
            </w:r>
          </w:p>
        </w:tc>
        <w:tc>
          <w:tcPr>
            <w:tcW w:type="dxa" w:w="2256"/>
          </w:tcPr>
          <w:p>
            <w:r>
              <w:t>I felt as though I was actually present in the virtual environment. (presence)</w:t>
            </w:r>
          </w:p>
        </w:tc>
        <w:tc>
          <w:tcPr>
            <w:tcW w:type="dxa" w:w="2256"/>
          </w:tcPr>
          <w:p>
            <w:r>
              <w:t>Cadet &amp; Chainay (2020); Basu et al. (2024)</w:t>
            </w:r>
          </w:p>
        </w:tc>
      </w:tr>
      <w:tr>
        <w:tc>
          <w:tcPr>
            <w:tcW w:type="dxa" w:w="2256"/>
          </w:tcPr>
          <w:p>
            <w:r>
              <w:t>UX</w:t>
            </w:r>
          </w:p>
        </w:tc>
        <w:tc>
          <w:tcPr>
            <w:tcW w:type="dxa" w:w="2256"/>
          </w:tcPr>
          <w:p>
            <w:r>
              <w:t>UX2</w:t>
            </w:r>
          </w:p>
        </w:tc>
        <w:tc>
          <w:tcPr>
            <w:tcW w:type="dxa" w:w="2256"/>
          </w:tcPr>
          <w:p>
            <w:r>
              <w:t>The metaverse environment felt real to me. (presence)</w:t>
            </w:r>
          </w:p>
        </w:tc>
        <w:tc>
          <w:tcPr>
            <w:tcW w:type="dxa" w:w="2256"/>
          </w:tcPr>
          <w:p>
            <w:r/>
          </w:p>
        </w:tc>
      </w:tr>
      <w:tr>
        <w:tc>
          <w:tcPr>
            <w:tcW w:type="dxa" w:w="2256"/>
          </w:tcPr>
          <w:p>
            <w:r>
              <w:t>UX</w:t>
            </w:r>
          </w:p>
        </w:tc>
        <w:tc>
          <w:tcPr>
            <w:tcW w:type="dxa" w:w="2256"/>
          </w:tcPr>
          <w:p>
            <w:r>
              <w:t>UX3</w:t>
            </w:r>
          </w:p>
        </w:tc>
        <w:tc>
          <w:tcPr>
            <w:tcW w:type="dxa" w:w="2256"/>
          </w:tcPr>
          <w:p>
            <w:r>
              <w:t>I felt surrounded by the virtual world. (presence)</w:t>
            </w:r>
          </w:p>
        </w:tc>
        <w:tc>
          <w:tcPr>
            <w:tcW w:type="dxa" w:w="2256"/>
          </w:tcPr>
          <w:p>
            <w:r/>
          </w:p>
        </w:tc>
      </w:tr>
      <w:tr>
        <w:tc>
          <w:tcPr>
            <w:tcW w:type="dxa" w:w="2256"/>
          </w:tcPr>
          <w:p>
            <w:r>
              <w:t>UX</w:t>
            </w:r>
          </w:p>
        </w:tc>
        <w:tc>
          <w:tcPr>
            <w:tcW w:type="dxa" w:w="2256"/>
          </w:tcPr>
          <w:p>
            <w:r>
              <w:t>UX4</w:t>
            </w:r>
          </w:p>
        </w:tc>
        <w:tc>
          <w:tcPr>
            <w:tcW w:type="dxa" w:w="2256"/>
          </w:tcPr>
          <w:p>
            <w:r>
              <w:t>It was easy to move and navigate within the metaverse. (navigability)</w:t>
            </w:r>
          </w:p>
        </w:tc>
        <w:tc>
          <w:tcPr>
            <w:tcW w:type="dxa" w:w="2256"/>
          </w:tcPr>
          <w:p>
            <w:r/>
          </w:p>
        </w:tc>
      </w:tr>
      <w:tr>
        <w:tc>
          <w:tcPr>
            <w:tcW w:type="dxa" w:w="2256"/>
          </w:tcPr>
          <w:p>
            <w:r>
              <w:t>UX</w:t>
            </w:r>
          </w:p>
        </w:tc>
        <w:tc>
          <w:tcPr>
            <w:tcW w:type="dxa" w:w="2256"/>
          </w:tcPr>
          <w:p>
            <w:r>
              <w:t>UX5</w:t>
            </w:r>
          </w:p>
        </w:tc>
        <w:tc>
          <w:tcPr>
            <w:tcW w:type="dxa" w:w="2256"/>
          </w:tcPr>
          <w:p>
            <w:r>
              <w:t>Interacting with objects in the environment was intuitive. (navigability)</w:t>
            </w:r>
          </w:p>
        </w:tc>
        <w:tc>
          <w:tcPr>
            <w:tcW w:type="dxa" w:w="2256"/>
          </w:tcPr>
          <w:p>
            <w:r/>
          </w:p>
        </w:tc>
      </w:tr>
      <w:tr>
        <w:tc>
          <w:tcPr>
            <w:tcW w:type="dxa" w:w="2256"/>
          </w:tcPr>
          <w:p>
            <w:r>
              <w:t>UX</w:t>
            </w:r>
          </w:p>
        </w:tc>
        <w:tc>
          <w:tcPr>
            <w:tcW w:type="dxa" w:w="2256"/>
          </w:tcPr>
          <w:p>
            <w:r>
              <w:t>UX6</w:t>
            </w:r>
          </w:p>
        </w:tc>
        <w:tc>
          <w:tcPr>
            <w:tcW w:type="dxa" w:w="2256"/>
          </w:tcPr>
          <w:p>
            <w:r>
              <w:t>The environment responded the way I expected. (navigability)</w:t>
            </w:r>
          </w:p>
        </w:tc>
        <w:tc>
          <w:tcPr>
            <w:tcW w:type="dxa" w:w="2256"/>
          </w:tcPr>
          <w:p>
            <w:r/>
          </w:p>
        </w:tc>
      </w:tr>
      <w:tr>
        <w:tc>
          <w:tcPr>
            <w:tcW w:type="dxa" w:w="2256"/>
          </w:tcPr>
          <w:p>
            <w:r>
              <w:t>UX</w:t>
            </w:r>
          </w:p>
        </w:tc>
        <w:tc>
          <w:tcPr>
            <w:tcW w:type="dxa" w:w="2256"/>
          </w:tcPr>
          <w:p>
            <w:r>
              <w:t>UX7</w:t>
            </w:r>
          </w:p>
        </w:tc>
        <w:tc>
          <w:tcPr>
            <w:tcW w:type="dxa" w:w="2256"/>
          </w:tcPr>
          <w:p>
            <w:r>
              <w:t>The visual quality of the environment was high. (sensory quality)</w:t>
            </w:r>
          </w:p>
        </w:tc>
        <w:tc>
          <w:tcPr>
            <w:tcW w:type="dxa" w:w="2256"/>
          </w:tcPr>
          <w:p>
            <w:r/>
          </w:p>
        </w:tc>
      </w:tr>
      <w:tr>
        <w:tc>
          <w:tcPr>
            <w:tcW w:type="dxa" w:w="2256"/>
          </w:tcPr>
          <w:p>
            <w:r>
              <w:t>UX</w:t>
            </w:r>
          </w:p>
        </w:tc>
        <w:tc>
          <w:tcPr>
            <w:tcW w:type="dxa" w:w="2256"/>
          </w:tcPr>
          <w:p>
            <w:r>
              <w:t>UX8</w:t>
            </w:r>
          </w:p>
        </w:tc>
        <w:tc>
          <w:tcPr>
            <w:tcW w:type="dxa" w:w="2256"/>
          </w:tcPr>
          <w:p>
            <w:r>
              <w:t>The audio-visual richness enhanced my experience. (sensory quality)</w:t>
            </w:r>
          </w:p>
        </w:tc>
        <w:tc>
          <w:tcPr>
            <w:tcW w:type="dxa" w:w="2256"/>
          </w:tcPr>
          <w:p>
            <w:r/>
          </w:p>
        </w:tc>
      </w:tr>
      <w:tr>
        <w:tc>
          <w:tcPr>
            <w:tcW w:type="dxa" w:w="2256"/>
          </w:tcPr>
          <w:p>
            <w:r>
              <w:t>UX</w:t>
            </w:r>
          </w:p>
        </w:tc>
        <w:tc>
          <w:tcPr>
            <w:tcW w:type="dxa" w:w="2256"/>
          </w:tcPr>
          <w:p>
            <w:r>
              <w:t>UX9</w:t>
            </w:r>
          </w:p>
        </w:tc>
        <w:tc>
          <w:tcPr>
            <w:tcW w:type="dxa" w:w="2256"/>
          </w:tcPr>
          <w:p>
            <w:r>
              <w:t>The virtual environment authentically reflected real-world experience. (authenticity)</w:t>
            </w:r>
          </w:p>
        </w:tc>
        <w:tc>
          <w:tcPr>
            <w:tcW w:type="dxa" w:w="2256"/>
          </w:tcPr>
          <w:p>
            <w:r/>
          </w:p>
        </w:tc>
      </w:tr>
      <w:tr>
        <w:tc>
          <w:tcPr>
            <w:tcW w:type="dxa" w:w="2256"/>
          </w:tcPr>
          <w:p>
            <w:r>
              <w:t>UX</w:t>
            </w:r>
          </w:p>
        </w:tc>
        <w:tc>
          <w:tcPr>
            <w:tcW w:type="dxa" w:w="2256"/>
          </w:tcPr>
          <w:p>
            <w:r>
              <w:t>UX10</w:t>
            </w:r>
          </w:p>
        </w:tc>
        <w:tc>
          <w:tcPr>
            <w:tcW w:type="dxa" w:w="2256"/>
          </w:tcPr>
          <w:p>
            <w:r>
              <w:t>The brand's virtual space felt coherent and believable. (authenticity)</w:t>
            </w:r>
          </w:p>
        </w:tc>
        <w:tc>
          <w:tcPr>
            <w:tcW w:type="dxa" w:w="2256"/>
          </w:tcPr>
          <w:p>
            <w:r/>
          </w:p>
        </w:tc>
      </w:tr>
      <w:tr>
        <w:tc>
          <w:tcPr>
            <w:tcW w:type="dxa" w:w="2256"/>
          </w:tcPr>
          <w:p>
            <w:r>
              <w:t>BSUC</w:t>
            </w:r>
          </w:p>
        </w:tc>
        <w:tc>
          <w:tcPr>
            <w:tcW w:type="dxa" w:w="2256"/>
          </w:tcPr>
          <w:p>
            <w:r>
              <w:t>BSUC1</w:t>
            </w:r>
          </w:p>
        </w:tc>
        <w:tc>
          <w:tcPr>
            <w:tcW w:type="dxa" w:w="2256"/>
          </w:tcPr>
          <w:p>
            <w:r>
              <w:t>This brand stands out from competitors in the metaverse.</w:t>
            </w:r>
          </w:p>
        </w:tc>
        <w:tc>
          <w:tcPr>
            <w:tcW w:type="dxa" w:w="2256"/>
          </w:tcPr>
          <w:p>
            <w:r>
              <w:t>Mathwick et al. (2008)</w:t>
            </w:r>
          </w:p>
        </w:tc>
      </w:tr>
      <w:tr>
        <w:tc>
          <w:tcPr>
            <w:tcW w:type="dxa" w:w="2256"/>
          </w:tcPr>
          <w:p>
            <w:r>
              <w:t>BSUC</w:t>
            </w:r>
          </w:p>
        </w:tc>
        <w:tc>
          <w:tcPr>
            <w:tcW w:type="dxa" w:w="2256"/>
          </w:tcPr>
          <w:p>
            <w:r>
              <w:t>BSUC2</w:t>
            </w:r>
          </w:p>
        </w:tc>
        <w:tc>
          <w:tcPr>
            <w:tcW w:type="dxa" w:w="2256"/>
          </w:tcPr>
          <w:p>
            <w:r>
              <w:t>I am more likely to choose this brand because of its metaverse presence.</w:t>
            </w:r>
          </w:p>
        </w:tc>
        <w:tc>
          <w:tcPr>
            <w:tcW w:type="dxa" w:w="2256"/>
          </w:tcPr>
          <w:p>
            <w:r/>
          </w:p>
        </w:tc>
      </w:tr>
      <w:tr>
        <w:tc>
          <w:tcPr>
            <w:tcW w:type="dxa" w:w="2256"/>
          </w:tcPr>
          <w:p>
            <w:r>
              <w:t>BSUC</w:t>
            </w:r>
          </w:p>
        </w:tc>
        <w:tc>
          <w:tcPr>
            <w:tcW w:type="dxa" w:w="2256"/>
          </w:tcPr>
          <w:p>
            <w:r>
              <w:t>BSUC3</w:t>
            </w:r>
          </w:p>
        </w:tc>
        <w:tc>
          <w:tcPr>
            <w:tcW w:type="dxa" w:w="2256"/>
          </w:tcPr>
          <w:p>
            <w:r>
              <w:t>The brand has gained a competitive advantage through its metaverse activities.</w:t>
            </w:r>
          </w:p>
        </w:tc>
        <w:tc>
          <w:tcPr>
            <w:tcW w:type="dxa" w:w="2256"/>
          </w:tcPr>
          <w:p>
            <w:r/>
          </w:p>
        </w:tc>
      </w:tr>
      <w:tr>
        <w:tc>
          <w:tcPr>
            <w:tcW w:type="dxa" w:w="2256"/>
          </w:tcPr>
          <w:p>
            <w:r>
              <w:t>BSUC</w:t>
            </w:r>
          </w:p>
        </w:tc>
        <w:tc>
          <w:tcPr>
            <w:tcW w:type="dxa" w:w="2256"/>
          </w:tcPr>
          <w:p>
            <w:r>
              <w:t>BSUC4</w:t>
            </w:r>
          </w:p>
        </w:tc>
        <w:tc>
          <w:tcPr>
            <w:tcW w:type="dxa" w:w="2256"/>
          </w:tcPr>
          <w:p>
            <w:r>
              <w:t>I would advocate for this brand within virtual communities.</w:t>
            </w:r>
          </w:p>
        </w:tc>
        <w:tc>
          <w:tcPr>
            <w:tcW w:type="dxa" w:w="2256"/>
          </w:tcPr>
          <w:p>
            <w:r/>
          </w:p>
        </w:tc>
      </w:tr>
    </w:tbl>
    <w:p w14:paraId="1F38C911" w14:textId="77777777" w:rsidR="002E122D" w:rsidRPr="0043234C" w:rsidRDefault="002E122D" w:rsidP="006A5E51">
      <w:pPr>
        <w:spacing w:line="360" w:lineRule="auto"/>
        <w:jc w:val="both"/>
        <w:rPr>
          <w:color w:val="000000" w:themeColor="text1"/>
        </w:rPr>
      </w:pPr>
    </w:p>
    <w:p w14:paraId="38B3A739" w14:textId="74ED35F7" w:rsidR="00035B4B" w:rsidRPr="00CD5B68" w:rsidRDefault="00035B4B" w:rsidP="00035B4B">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4</w:t>
      </w:r>
      <w:r w:rsidRPr="00CD5B68">
        <w:rPr>
          <w:b/>
          <w:bCs/>
          <w:i/>
          <w:iCs/>
          <w:color w:val="000000" w:themeColor="text1"/>
        </w:rPr>
        <w:t xml:space="preserve"> Platforms Studied and Metaverse Activities</w:t>
      </w:r>
    </w:p>
    <w:p w14:paraId="08C80B18" w14:textId="77777777" w:rsidR="00ED44A2" w:rsidRDefault="00035B4B" w:rsidP="00ED44A2">
      <w:pPr>
        <w:spacing w:line="360" w:lineRule="auto"/>
        <w:jc w:val="both"/>
        <w:rPr>
          <w:color w:val="000000" w:themeColor="text1"/>
        </w:rPr>
      </w:pPr>
      <w:r w:rsidRPr="0043234C">
        <w:rPr>
          <w:color w:val="000000" w:themeColor="text1"/>
        </w:rPr>
        <w:t>This study focused on user engagement and experience within prominent metaverse platforms, including Roblox, </w:t>
      </w:r>
      <w:proofErr w:type="spellStart"/>
      <w:r w:rsidRPr="0043234C">
        <w:rPr>
          <w:color w:val="000000" w:themeColor="text1"/>
        </w:rPr>
        <w:t>Decentraland</w:t>
      </w:r>
      <w:proofErr w:type="spellEnd"/>
      <w:r w:rsidRPr="0043234C">
        <w:rPr>
          <w:color w:val="000000" w:themeColor="text1"/>
        </w:rPr>
        <w:t>, and The Sandbox. These platforms were selected due to their widespread adoption, diverse functionalities, and ability to host innovative brand interactions. Each platform provided unique opportunities for users to engage in immersive activities that align with the study's objectives. Roblox is a widely popular platform known for its user-generated content and social gaming experiences, particularly appealing to younger demographics. It allows users to create and explore virtual worlds while participating in branded experiences such as Nike's "</w:t>
      </w:r>
      <w:proofErr w:type="spellStart"/>
      <w:r w:rsidRPr="0043234C">
        <w:rPr>
          <w:color w:val="000000" w:themeColor="text1"/>
        </w:rPr>
        <w:t>Nikeland</w:t>
      </w:r>
      <w:proofErr w:type="spellEnd"/>
      <w:r w:rsidRPr="0043234C">
        <w:rPr>
          <w:color w:val="000000" w:themeColor="text1"/>
        </w:rPr>
        <w:t>," which integrates real-world movements with in-game rewards (</w:t>
      </w:r>
      <w:proofErr w:type="spellStart"/>
      <w:r w:rsidRPr="0043234C">
        <w:rPr>
          <w:color w:val="000000" w:themeColor="text1"/>
        </w:rPr>
        <w:t>Bilgihan</w:t>
      </w:r>
      <w:proofErr w:type="spellEnd"/>
      <w:r w:rsidRPr="0043234C">
        <w:rPr>
          <w:color w:val="000000" w:themeColor="text1"/>
        </w:rPr>
        <w:t xml:space="preserve"> et al., 2024). </w:t>
      </w:r>
      <w:proofErr w:type="spellStart"/>
      <w:r w:rsidRPr="0043234C">
        <w:rPr>
          <w:color w:val="000000" w:themeColor="text1"/>
        </w:rPr>
        <w:t>Decentraland</w:t>
      </w:r>
      <w:proofErr w:type="spellEnd"/>
      <w:r w:rsidRPr="0043234C">
        <w:rPr>
          <w:color w:val="000000" w:themeColor="text1"/>
        </w:rPr>
        <w:t>, built on blockchain technology, emphasizes decentralization and ownership, enabling users to purchase virtual land, trade NFTs, and participate in community-driven events such as branded festivals or virtual art exhibitions (</w:t>
      </w:r>
      <w:r w:rsidR="00D57002" w:rsidRPr="00D97EEC">
        <w:t>Brouard</w:t>
      </w:r>
      <w:r w:rsidRPr="0043234C">
        <w:rPr>
          <w:color w:val="000000" w:themeColor="text1"/>
        </w:rPr>
        <w:t>, 2024). </w:t>
      </w:r>
    </w:p>
    <w:p w14:paraId="3942E9D0" w14:textId="47897C0C" w:rsidR="00035B4B" w:rsidRDefault="00035B4B" w:rsidP="00ED44A2">
      <w:pPr>
        <w:spacing w:line="360" w:lineRule="auto"/>
        <w:ind w:firstLine="426"/>
        <w:jc w:val="both"/>
        <w:rPr>
          <w:color w:val="000000" w:themeColor="text1"/>
        </w:rPr>
      </w:pPr>
      <w:proofErr w:type="spellStart"/>
      <w:proofErr w:type="spellEnd"/>
      <w:proofErr w:type="spellStart"/>
      <w:proofErr w:type="spellEnd"/>
      <w:r>
        <w:t>The Sandbox focuses on voxel-based content creation, enabling users to design, own, and monetise experiences, and has hosted brand activations such as Adidas NFT launches (Brandes and Dolp, 2025). Across these platforms, the study consistently classifies brand-relevant metaverse activity into four types: (1) digital-asset (NFT) activity, through which users acquire and display branded items linked to virtual identity (Lee and Shen, 2024); (2) social interaction, through which avatar-based community building occurs (Hennig-Thurau et al., 2023); (3) content creation, through which users contribute to the virtual ecosystem (Bilgihan et al., 2024); and (4) virtual events. These activity types define the stratification used in sampling.</w:t>
      </w:r>
    </w:p>
    <w:p w14:paraId="599D3079" w14:textId="77777777" w:rsidR="00D5012F" w:rsidRDefault="00D5012F" w:rsidP="00ED44A2">
      <w:pPr>
        <w:spacing w:line="360" w:lineRule="auto"/>
        <w:ind w:firstLine="426"/>
        <w:jc w:val="both"/>
        <w:rPr>
          <w:color w:val="000000" w:themeColor="text1"/>
        </w:rPr>
      </w:pPr>
    </w:p>
    <w:p w14:paraId="1A0D2BF4" w14:textId="77777777" w:rsidR="002E122D" w:rsidRPr="0043234C" w:rsidRDefault="002E122D" w:rsidP="00ED44A2">
      <w:pPr>
        <w:spacing w:line="360" w:lineRule="auto"/>
        <w:ind w:firstLine="426"/>
        <w:jc w:val="both"/>
        <w:rPr>
          <w:color w:val="000000" w:themeColor="text1"/>
        </w:rPr>
      </w:pPr>
    </w:p>
    <w:p w14:paraId="1DA81B44" w14:textId="4F2DF483" w:rsidR="003B39CA" w:rsidRPr="00CD5B68" w:rsidRDefault="003B39CA" w:rsidP="00B4702E">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5</w:t>
      </w:r>
      <w:r w:rsidRPr="00CD5B68">
        <w:rPr>
          <w:b/>
          <w:bCs/>
          <w:i/>
          <w:iCs/>
          <w:color w:val="000000" w:themeColor="text1"/>
        </w:rPr>
        <w:t xml:space="preserve"> Data </w:t>
      </w:r>
      <w:r w:rsidR="00ED44A2" w:rsidRPr="00CD5B68">
        <w:rPr>
          <w:b/>
          <w:bCs/>
          <w:i/>
          <w:iCs/>
          <w:color w:val="000000" w:themeColor="text1"/>
        </w:rPr>
        <w:t>C</w:t>
      </w:r>
      <w:r w:rsidRPr="00CD5B68">
        <w:rPr>
          <w:b/>
          <w:bCs/>
          <w:i/>
          <w:iCs/>
          <w:color w:val="000000" w:themeColor="text1"/>
        </w:rPr>
        <w:t xml:space="preserve">ollection </w:t>
      </w:r>
    </w:p>
    <w:p w14:paraId="0D25A1CD" w14:textId="1CB23935" w:rsidR="00CD5B68" w:rsidRDefault="00D5012F" w:rsidP="00202EAC">
      <w:pPr>
        <w:spacing w:line="360" w:lineRule="auto"/>
        <w:jc w:val="both"/>
        <w:rPr>
          <w:color w:val="000000" w:themeColor="text1"/>
        </w:rPr>
      </w:pPr>
      <w:proofErr w:type="spellStart"/>
      <w:proofErr w:type="spellEnd"/>
      <w:proofErr w:type="spellStart"/>
      <w:proofErr w:type="spellEnd"/>
      <w:r>
        <w:t>We used stratified random sampling to enhance representativeness and limit sampling bias. In cooperation with metaverse platforms spanning gaming, social, and creative environments, a sampling frame of active users was assembled and stratified by primary activity type (digital-asset activity, social interaction, content creation, and virtual events). From this frame, 600 eligible users, defined as those active on a metaverse platform within the prior three months, were randomly invited; 312 provided complete and consenting responses, a 52 percent response rate, with balanced representation across strata. This probability-based design supports the configurational analysis that follows. We acknowledge that sampling active users limits generalization to casual or prospective users (see Section 8).</w:t>
      </w:r>
    </w:p>
    <w:p w14:paraId="28BE81AC" w14:textId="73C2C1C5" w:rsidR="00202EAC" w:rsidRDefault="00202EAC" w:rsidP="00202EAC">
      <w:pPr>
        <w:spacing w:line="360" w:lineRule="auto"/>
        <w:ind w:firstLine="426"/>
        <w:jc w:val="both"/>
        <w:rPr>
          <w:color w:val="000000" w:themeColor="text1"/>
        </w:rPr>
      </w:pPr>
      <w:r>
        <w:rPr>
          <w:color w:val="000000" w:themeColor="text1"/>
        </w:rPr>
        <w:t xml:space="preserve">The choice of India as the study context is theoretically and empirically justified. </w:t>
      </w:r>
      <w:r w:rsidR="001457D1">
        <w:t>India represents one of the world's fastest-growing metaverse markets, with the sector valued at USD 2 billion in 2023 and projected to grow at a robust CAGR through 2030, driven by advancements in immersive technologies including VR and AR (Verma, 2024). The country's growing user base and rising digital infrastructure position it as a strategically significant and underexplored context for metaverse marketing research (Statista, 2025).</w:t>
      </w:r>
      <w:r>
        <w:rPr>
          <w:color w:val="000000" w:themeColor="text1"/>
        </w:rPr>
        <w:t xml:space="preserve"> India’s large and digitally native youth population (median age 28 years), rapid 5G infrastructure expansion, and high mobile-first internet penetration collectively create conditions highly conducive to metaverse adoption and immersive brand engagement (Dwivedi et al., 2023; </w:t>
      </w:r>
      <w:proofErr w:type="spellStart"/>
      <w:r>
        <w:rPr>
          <w:color w:val="000000" w:themeColor="text1"/>
        </w:rPr>
        <w:t>Koohang</w:t>
      </w:r>
      <w:proofErr w:type="spellEnd"/>
      <w:r>
        <w:rPr>
          <w:color w:val="000000" w:themeColor="text1"/>
        </w:rPr>
        <w:t xml:space="preserve"> et al., 2023). Furthermore, Indian consumers exhibit high receptivity to digital self-expression through avatars and NFT ownership, making this market particularly relevant for studying user engagement, immersive experience, and brand success in virtual ecosystems (Payal et al., 2024). Focusing on an emerging and underexplored metaverse market such as India offers </w:t>
      </w:r>
      <w:r>
        <w:rPr>
          <w:color w:val="000000" w:themeColor="text1"/>
        </w:rPr>
        <w:lastRenderedPageBreak/>
        <w:t>novel insights not yet captured in the predominantly Western-centric metaverse literature, thereby enhancing the theoretical breadth of the findings and their generalisability to other rapidly digitising economies.</w:t>
      </w:r>
    </w:p>
    <w:p w14:paraId="0E3D18FB" w14:textId="77777777" w:rsidR="00D5012F" w:rsidRDefault="00D5012F" w:rsidP="00B4702E">
      <w:pPr>
        <w:spacing w:line="360" w:lineRule="auto"/>
        <w:jc w:val="both"/>
        <w:rPr>
          <w:b/>
          <w:bCs/>
          <w:color w:val="000000" w:themeColor="text1"/>
        </w:rPr>
      </w:pPr>
    </w:p>
    <w:p w14:paraId="448F8820" w14:textId="27C52D73" w:rsidR="00A731C8" w:rsidRDefault="00C126B9" w:rsidP="00B4702E">
      <w:pPr>
        <w:spacing w:line="360" w:lineRule="auto"/>
        <w:jc w:val="both"/>
        <w:rPr>
          <w:b/>
          <w:bCs/>
          <w:color w:val="000000" w:themeColor="text1"/>
        </w:rPr>
      </w:pPr>
      <w:r w:rsidRPr="0043234C">
        <w:rPr>
          <w:b/>
          <w:bCs/>
          <w:color w:val="000000" w:themeColor="text1"/>
        </w:rPr>
        <w:t>5</w:t>
      </w:r>
      <w:r w:rsidR="00572B5C" w:rsidRPr="0043234C">
        <w:rPr>
          <w:b/>
          <w:bCs/>
          <w:color w:val="000000" w:themeColor="text1"/>
        </w:rPr>
        <w:t>.</w:t>
      </w:r>
      <w:r w:rsidRPr="0043234C">
        <w:rPr>
          <w:b/>
          <w:bCs/>
          <w:color w:val="000000" w:themeColor="text1"/>
        </w:rPr>
        <w:t xml:space="preserve"> </w:t>
      </w:r>
      <w:r w:rsidR="004309B6" w:rsidRPr="0043234C">
        <w:rPr>
          <w:b/>
          <w:bCs/>
          <w:color w:val="000000" w:themeColor="text1"/>
        </w:rPr>
        <w:t>Data Analysis and Results</w:t>
      </w:r>
    </w:p>
    <w:p w14:paraId="127D7FE4" w14:textId="4E4DDDB7" w:rsidR="00CD5B68" w:rsidRDefault="00CD5B68" w:rsidP="00B4702E">
      <w:pPr>
        <w:spacing w:line="360" w:lineRule="auto"/>
        <w:jc w:val="both"/>
        <w:rPr>
          <w:b/>
          <w:bCs/>
          <w:i/>
          <w:iCs/>
          <w:color w:val="000000" w:themeColor="text1"/>
        </w:rPr>
      </w:pPr>
      <w:r w:rsidRPr="00CD5B68">
        <w:rPr>
          <w:b/>
          <w:bCs/>
          <w:i/>
          <w:iCs/>
          <w:color w:val="000000" w:themeColor="text1"/>
        </w:rPr>
        <w:t>5.1. Sample Profile</w:t>
      </w:r>
    </w:p>
    <w:p w14:paraId="742F3217" w14:textId="7714663C" w:rsidR="00CD5B68" w:rsidRPr="00CD5B68" w:rsidRDefault="00CD5B68" w:rsidP="00CD5B68">
      <w:pPr>
        <w:spacing w:line="360" w:lineRule="auto"/>
        <w:jc w:val="both"/>
        <w:rPr>
          <w:color w:val="000000" w:themeColor="text1"/>
        </w:rPr>
      </w:pPr>
      <w:r>
        <w:t>Descriptive analysis was conducted using IBM SPSS 25.0 to examine the social and demographic backgrounds of 312 respondents (see Table 2). Of the total participants, 46% were men (143 respondents) and 54% were women (169 respondents). The age distribution revealed that the largest group was 23–28 years (24.04%), followed by 18–22 years (20.51%), 29–34 years (19.23%), 35–41 years (18.27%), and 42–45 years (17.95%).</w:t>
      </w:r>
    </w:p>
    <w:p w14:paraId="51A199A3" w14:textId="77777777" w:rsidR="00CD5B68" w:rsidRPr="00CD5B68" w:rsidRDefault="00CD5B68" w:rsidP="00CD5B68">
      <w:pPr>
        <w:spacing w:line="360" w:lineRule="auto"/>
        <w:ind w:firstLine="426"/>
        <w:jc w:val="both"/>
        <w:rPr>
          <w:color w:val="000000" w:themeColor="text1"/>
        </w:rPr>
      </w:pPr>
      <w:r w:rsidRPr="00CD5B68">
        <w:rPr>
          <w:color w:val="000000" w:themeColor="text1"/>
        </w:rPr>
        <w:t>Regarding marital status, 38.78% were married without children, 34.29% were single, and 26.93% were married with children. Participants were categorized into three occupational groups: business professionals (39.10%), job holders (32.69%), and students (28.21%).</w:t>
      </w:r>
    </w:p>
    <w:p w14:paraId="3F8FD0AA" w14:textId="77777777" w:rsidR="00CD5B68" w:rsidRPr="00CD5B68" w:rsidRDefault="00CD5B68" w:rsidP="00CD5B68">
      <w:pPr>
        <w:spacing w:line="360" w:lineRule="auto"/>
        <w:jc w:val="both"/>
        <w:rPr>
          <w:color w:val="000000" w:themeColor="text1"/>
        </w:rPr>
      </w:pPr>
      <w:r w:rsidRPr="00CD5B68">
        <w:rPr>
          <w:color w:val="000000" w:themeColor="text1"/>
        </w:rPr>
        <w:t>In terms of education, most participants had an undergraduate-level education (53.53%), followed by master's level (36.86%) and doctorate qualifications (9.62%). Regarding monthly family income, 32.05% reported a monthly income of INR 50,001–80,000, 25.64% earned between INR 30,001–50,000, 23.91% earned above INR 80,000, and 18.40% earned INR 30,000 or less.</w:t>
      </w:r>
    </w:p>
    <w:p w14:paraId="0B44EA6B" w14:textId="77777777" w:rsidR="00CD5B68" w:rsidRDefault="00CD5B68" w:rsidP="00CD5B68">
      <w:pPr>
        <w:spacing w:line="360" w:lineRule="auto"/>
        <w:ind w:firstLine="426"/>
        <w:jc w:val="both"/>
        <w:rPr>
          <w:i/>
          <w:iCs/>
          <w:color w:val="000000" w:themeColor="text1"/>
        </w:rPr>
      </w:pPr>
      <w:r w:rsidRPr="00CD5B68">
        <w:rPr>
          <w:color w:val="000000" w:themeColor="text1"/>
        </w:rPr>
        <w:t>In the context of Metaverse engagement, this study captures users' levels of interaction with the virtual world. A majority of respondents (60.58%) reported using the Metaverse frequently, engaging with virtual worlds at least several times a week. The study also explored users’ experiences with NFTs, virtual assets, and virtual communities. A significant number (45.19%) participated in NFT trading, 52.56% engaged in social interactions or content creation, and 41.35% were active in virtual events, underscoring the importance of these activities for brand engagement in immersive digital spaces</w:t>
      </w:r>
      <w:r w:rsidRPr="00CD5B68">
        <w:rPr>
          <w:i/>
          <w:iCs/>
          <w:color w:val="000000" w:themeColor="text1"/>
        </w:rPr>
        <w:t>.</w:t>
      </w:r>
    </w:p>
    <w:p w14:paraId="62342DA3" w14:textId="77777777" w:rsidR="00AA1ECE" w:rsidRDefault="00AA1ECE" w:rsidP="00CD5B68">
      <w:pPr>
        <w:spacing w:line="360" w:lineRule="auto"/>
        <w:ind w:firstLine="426"/>
        <w:jc w:val="both"/>
        <w:rPr>
          <w:i/>
          <w:iCs/>
          <w:color w:val="000000" w:themeColor="text1"/>
        </w:rPr>
      </w:pPr>
    </w:p>
    <w:p w14:paraId="2796C8E6" w14:textId="07413935" w:rsidR="00AA1ECE" w:rsidRDefault="00AA1ECE" w:rsidP="00AA1ECE">
      <w:pPr>
        <w:spacing w:line="360" w:lineRule="auto"/>
        <w:jc w:val="both"/>
        <w:rPr>
          <w:i/>
          <w:iCs/>
          <w:color w:val="000000" w:themeColor="text1"/>
        </w:rPr>
      </w:pPr>
      <w:r>
        <w:t>Table 2: Demographic and Metaverse Engagement Details of Respondents (N = 312)</w:t>
      </w:r>
    </w:p>
    <w:tbl>
      <w:tblPr>
        <w:tblStyle w:val="TableGrid"/>
        <w:tblW w:w="0" w:type="auto"/>
        <w:jc w:val="center"/>
        <w:tblLook w:val="04A0" w:firstRow="1" w:lastRow="0" w:firstColumn="1" w:lastColumn="0" w:noHBand="0" w:noVBand="1"/>
      </w:tblPr>
      <w:tblGrid>
        <w:gridCol w:w="1657"/>
        <w:gridCol w:w="1420"/>
        <w:gridCol w:w="1093"/>
        <w:gridCol w:w="2333"/>
        <w:gridCol w:w="1420"/>
        <w:gridCol w:w="1093"/>
      </w:tblGrid>
      <w:tr w:rsidR="007A11EE" w:rsidRPr="00CD5B68" w14:paraId="44BB3575" w14:textId="77777777" w:rsidTr="00C378D1">
        <w:trPr>
          <w:jc w:val="center"/>
        </w:trPr>
        <w:tc>
          <w:tcPr>
            <w:tcW w:w="0" w:type="auto"/>
            <w:hideMark/>
          </w:tcPr>
          <w:p w14:paraId="7175025B"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30E841FD"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5938542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c>
          <w:tcPr>
            <w:tcW w:w="0" w:type="auto"/>
            <w:hideMark/>
          </w:tcPr>
          <w:p w14:paraId="61018D26"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1390C5FF"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34087D4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r>
      <w:tr w:rsidR="007A11EE" w:rsidRPr="00CD5B68" w14:paraId="502232B1" w14:textId="77777777" w:rsidTr="00C378D1">
        <w:trPr>
          <w:jc w:val="center"/>
        </w:trPr>
        <w:tc>
          <w:tcPr>
            <w:tcW w:w="0" w:type="auto"/>
            <w:hideMark/>
          </w:tcPr>
          <w:p w14:paraId="5CFE9E79"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Gender</w:t>
            </w:r>
          </w:p>
        </w:tc>
        <w:tc>
          <w:tcPr>
            <w:tcW w:w="0" w:type="auto"/>
            <w:hideMark/>
          </w:tcPr>
          <w:p w14:paraId="2F12610C" w14:textId="77777777" w:rsidR="00CD5B68" w:rsidRPr="00CD5B68" w:rsidRDefault="00CD5B68" w:rsidP="00CD5B68">
            <w:pPr>
              <w:ind w:firstLine="426"/>
              <w:jc w:val="both"/>
              <w:rPr>
                <w:i/>
                <w:iCs/>
                <w:color w:val="000000" w:themeColor="text1"/>
                <w:sz w:val="20"/>
                <w:szCs w:val="20"/>
              </w:rPr>
            </w:pPr>
          </w:p>
        </w:tc>
        <w:tc>
          <w:tcPr>
            <w:tcW w:w="0" w:type="auto"/>
            <w:hideMark/>
          </w:tcPr>
          <w:p w14:paraId="6F21E212" w14:textId="77777777" w:rsidR="00CD5B68" w:rsidRPr="00CD5B68" w:rsidRDefault="00CD5B68" w:rsidP="007A11EE">
            <w:pPr>
              <w:ind w:firstLine="426"/>
              <w:jc w:val="right"/>
              <w:rPr>
                <w:i/>
                <w:iCs/>
                <w:color w:val="000000" w:themeColor="text1"/>
                <w:sz w:val="20"/>
                <w:szCs w:val="20"/>
              </w:rPr>
            </w:pPr>
          </w:p>
        </w:tc>
        <w:tc>
          <w:tcPr>
            <w:tcW w:w="0" w:type="auto"/>
            <w:hideMark/>
          </w:tcPr>
          <w:p w14:paraId="01EACF25"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Metaverse Engagement Frequency</w:t>
            </w:r>
          </w:p>
        </w:tc>
        <w:tc>
          <w:tcPr>
            <w:tcW w:w="0" w:type="auto"/>
            <w:hideMark/>
          </w:tcPr>
          <w:p w14:paraId="281962A2" w14:textId="77777777" w:rsidR="00CD5B68" w:rsidRPr="00CD5B68" w:rsidRDefault="00CD5B68" w:rsidP="00CD5B68">
            <w:pPr>
              <w:ind w:firstLine="426"/>
              <w:jc w:val="both"/>
              <w:rPr>
                <w:i/>
                <w:iCs/>
                <w:color w:val="000000" w:themeColor="text1"/>
                <w:sz w:val="20"/>
                <w:szCs w:val="20"/>
              </w:rPr>
            </w:pPr>
          </w:p>
        </w:tc>
        <w:tc>
          <w:tcPr>
            <w:tcW w:w="0" w:type="auto"/>
            <w:hideMark/>
          </w:tcPr>
          <w:p w14:paraId="70E9B06D" w14:textId="77777777" w:rsidR="00CD5B68" w:rsidRPr="00CD5B68" w:rsidRDefault="00CD5B68" w:rsidP="00CD5B68">
            <w:pPr>
              <w:ind w:firstLine="426"/>
              <w:jc w:val="both"/>
              <w:rPr>
                <w:i/>
                <w:iCs/>
                <w:color w:val="000000" w:themeColor="text1"/>
                <w:sz w:val="20"/>
                <w:szCs w:val="20"/>
              </w:rPr>
            </w:pPr>
          </w:p>
        </w:tc>
      </w:tr>
      <w:tr w:rsidR="007A11EE" w:rsidRPr="00CD5B68" w14:paraId="772CEAD4" w14:textId="77777777" w:rsidTr="00C378D1">
        <w:trPr>
          <w:jc w:val="center"/>
        </w:trPr>
        <w:tc>
          <w:tcPr>
            <w:tcW w:w="0" w:type="auto"/>
            <w:hideMark/>
          </w:tcPr>
          <w:p w14:paraId="4AFF9C1F"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Male</w:t>
            </w:r>
          </w:p>
        </w:tc>
        <w:tc>
          <w:tcPr>
            <w:tcW w:w="0" w:type="auto"/>
            <w:hideMark/>
          </w:tcPr>
          <w:p w14:paraId="4B1539B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143</w:t>
            </w:r>
          </w:p>
        </w:tc>
        <w:tc>
          <w:tcPr>
            <w:tcW w:w="0" w:type="auto"/>
            <w:hideMark/>
          </w:tcPr>
          <w:p w14:paraId="0853DCE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46.00</w:t>
            </w:r>
          </w:p>
        </w:tc>
        <w:tc>
          <w:tcPr>
            <w:tcW w:w="0" w:type="auto"/>
            <w:hideMark/>
          </w:tcPr>
          <w:p w14:paraId="144E3EF8" w14:textId="77777777" w:rsidR="00CD5B68" w:rsidRPr="00CD5B68" w:rsidRDefault="00CD5B68" w:rsidP="007A11EE">
            <w:pPr>
              <w:rPr>
                <w:i/>
                <w:iCs/>
                <w:color w:val="000000" w:themeColor="text1"/>
                <w:sz w:val="20"/>
                <w:szCs w:val="20"/>
              </w:rPr>
            </w:pPr>
            <w:r w:rsidRPr="00CD5B68">
              <w:rPr>
                <w:i/>
                <w:iCs/>
                <w:color w:val="000000" w:themeColor="text1"/>
                <w:sz w:val="20"/>
                <w:szCs w:val="20"/>
              </w:rPr>
              <w:t>Daily</w:t>
            </w:r>
          </w:p>
        </w:tc>
        <w:tc>
          <w:tcPr>
            <w:tcW w:w="0" w:type="auto"/>
            <w:hideMark/>
          </w:tcPr>
          <w:p w14:paraId="18D27AA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w:t>
            </w:r>
          </w:p>
        </w:tc>
        <w:tc>
          <w:tcPr>
            <w:tcW w:w="0" w:type="auto"/>
            <w:hideMark/>
          </w:tcPr>
          <w:p w14:paraId="5DB801E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16.67</w:t>
            </w:r>
          </w:p>
        </w:tc>
      </w:tr>
      <w:tr w:rsidR="007A11EE" w:rsidRPr="00CD5B68" w14:paraId="59C845CC" w14:textId="77777777" w:rsidTr="00C378D1">
        <w:trPr>
          <w:jc w:val="center"/>
        </w:trPr>
        <w:tc>
          <w:tcPr>
            <w:tcW w:w="0" w:type="auto"/>
            <w:hideMark/>
          </w:tcPr>
          <w:p w14:paraId="1139BBE8"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Female</w:t>
            </w:r>
          </w:p>
        </w:tc>
        <w:tc>
          <w:tcPr>
            <w:tcW w:w="0" w:type="auto"/>
            <w:hideMark/>
          </w:tcPr>
          <w:p w14:paraId="6EEA74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169</w:t>
            </w:r>
          </w:p>
        </w:tc>
        <w:tc>
          <w:tcPr>
            <w:tcW w:w="0" w:type="auto"/>
            <w:hideMark/>
          </w:tcPr>
          <w:p w14:paraId="3385DA5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54.00</w:t>
            </w:r>
          </w:p>
        </w:tc>
        <w:tc>
          <w:tcPr>
            <w:tcW w:w="0" w:type="auto"/>
            <w:hideMark/>
          </w:tcPr>
          <w:p w14:paraId="3116913A" w14:textId="77777777" w:rsidR="00CD5B68" w:rsidRPr="00CD5B68" w:rsidRDefault="00CD5B68" w:rsidP="007A11EE">
            <w:pPr>
              <w:rPr>
                <w:i/>
                <w:iCs/>
                <w:color w:val="000000" w:themeColor="text1"/>
                <w:sz w:val="20"/>
                <w:szCs w:val="20"/>
              </w:rPr>
            </w:pPr>
            <w:r w:rsidRPr="00CD5B68">
              <w:rPr>
                <w:i/>
                <w:iCs/>
                <w:color w:val="000000" w:themeColor="text1"/>
                <w:sz w:val="20"/>
                <w:szCs w:val="20"/>
              </w:rPr>
              <w:t>Several times a week</w:t>
            </w:r>
          </w:p>
        </w:tc>
        <w:tc>
          <w:tcPr>
            <w:tcW w:w="0" w:type="auto"/>
            <w:hideMark/>
          </w:tcPr>
          <w:p w14:paraId="49CE327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98</w:t>
            </w:r>
          </w:p>
        </w:tc>
        <w:tc>
          <w:tcPr>
            <w:tcW w:w="0" w:type="auto"/>
            <w:hideMark/>
          </w:tcPr>
          <w:p w14:paraId="0671E0C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31.41</w:t>
            </w:r>
          </w:p>
        </w:tc>
      </w:tr>
      <w:tr w:rsidR="007A11EE" w:rsidRPr="00CD5B68" w14:paraId="3359597B" w14:textId="77777777" w:rsidTr="00C378D1">
        <w:trPr>
          <w:jc w:val="center"/>
        </w:trPr>
        <w:tc>
          <w:tcPr>
            <w:tcW w:w="0" w:type="auto"/>
            <w:hideMark/>
          </w:tcPr>
          <w:p w14:paraId="732A7C59" w14:textId="77777777" w:rsidR="00CD5B68" w:rsidRPr="00CD5B68" w:rsidRDefault="00CD5B68" w:rsidP="00CD5B68">
            <w:pPr>
              <w:ind w:firstLine="426"/>
              <w:jc w:val="both"/>
              <w:rPr>
                <w:i/>
                <w:iCs/>
                <w:color w:val="000000" w:themeColor="text1"/>
                <w:sz w:val="20"/>
                <w:szCs w:val="20"/>
              </w:rPr>
            </w:pPr>
          </w:p>
        </w:tc>
        <w:tc>
          <w:tcPr>
            <w:tcW w:w="0" w:type="auto"/>
            <w:hideMark/>
          </w:tcPr>
          <w:p w14:paraId="3FF148FC" w14:textId="77777777" w:rsidR="00CD5B68" w:rsidRPr="00CD5B68" w:rsidRDefault="00CD5B68" w:rsidP="007A11EE">
            <w:pPr>
              <w:ind w:firstLine="426"/>
              <w:jc w:val="right"/>
              <w:rPr>
                <w:i/>
                <w:iCs/>
                <w:color w:val="000000" w:themeColor="text1"/>
                <w:sz w:val="20"/>
                <w:szCs w:val="20"/>
              </w:rPr>
            </w:pPr>
          </w:p>
        </w:tc>
        <w:tc>
          <w:tcPr>
            <w:tcW w:w="0" w:type="auto"/>
            <w:hideMark/>
          </w:tcPr>
          <w:p w14:paraId="2689BFB1" w14:textId="77777777" w:rsidR="00CD5B68" w:rsidRPr="00CD5B68" w:rsidRDefault="00CD5B68" w:rsidP="007A11EE">
            <w:pPr>
              <w:ind w:firstLine="426"/>
              <w:jc w:val="right"/>
              <w:rPr>
                <w:i/>
                <w:iCs/>
                <w:color w:val="000000" w:themeColor="text1"/>
                <w:sz w:val="20"/>
                <w:szCs w:val="20"/>
              </w:rPr>
            </w:pPr>
          </w:p>
        </w:tc>
        <w:tc>
          <w:tcPr>
            <w:tcW w:w="0" w:type="auto"/>
            <w:hideMark/>
          </w:tcPr>
          <w:p w14:paraId="0D8BC278" w14:textId="77777777" w:rsidR="00CD5B68" w:rsidRPr="00CD5B68" w:rsidRDefault="00CD5B68" w:rsidP="007A11EE">
            <w:pPr>
              <w:rPr>
                <w:i/>
                <w:iCs/>
                <w:color w:val="000000" w:themeColor="text1"/>
                <w:sz w:val="20"/>
                <w:szCs w:val="20"/>
              </w:rPr>
            </w:pPr>
            <w:r w:rsidRPr="00CD5B68">
              <w:rPr>
                <w:i/>
                <w:iCs/>
                <w:color w:val="000000" w:themeColor="text1"/>
                <w:sz w:val="20"/>
                <w:szCs w:val="20"/>
              </w:rPr>
              <w:t>Weekly</w:t>
            </w:r>
          </w:p>
        </w:tc>
        <w:tc>
          <w:tcPr>
            <w:tcW w:w="0" w:type="auto"/>
            <w:hideMark/>
          </w:tcPr>
          <w:p w14:paraId="45B02EE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73</w:t>
            </w:r>
          </w:p>
        </w:tc>
        <w:tc>
          <w:tcPr>
            <w:tcW w:w="0" w:type="auto"/>
            <w:hideMark/>
          </w:tcPr>
          <w:p w14:paraId="13049F2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23.38</w:t>
            </w:r>
          </w:p>
        </w:tc>
      </w:tr>
      <w:tr w:rsidR="007A11EE" w:rsidRPr="00CD5B68" w14:paraId="4DC35F8C" w14:textId="77777777" w:rsidTr="00C378D1">
        <w:trPr>
          <w:jc w:val="center"/>
        </w:trPr>
        <w:tc>
          <w:tcPr>
            <w:tcW w:w="0" w:type="auto"/>
            <w:hideMark/>
          </w:tcPr>
          <w:p w14:paraId="05CA88C5"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Age (Years)</w:t>
            </w:r>
          </w:p>
        </w:tc>
        <w:tc>
          <w:tcPr>
            <w:tcW w:w="0" w:type="auto"/>
            <w:hideMark/>
          </w:tcPr>
          <w:p w14:paraId="45EDB32D" w14:textId="77777777" w:rsidR="00CD5B68" w:rsidRPr="00CD5B68" w:rsidRDefault="00CD5B68" w:rsidP="007A11EE">
            <w:pPr>
              <w:ind w:firstLine="426"/>
              <w:jc w:val="right"/>
              <w:rPr>
                <w:i/>
                <w:iCs/>
                <w:color w:val="000000" w:themeColor="text1"/>
                <w:sz w:val="20"/>
                <w:szCs w:val="20"/>
              </w:rPr>
            </w:pPr>
          </w:p>
        </w:tc>
        <w:tc>
          <w:tcPr>
            <w:tcW w:w="0" w:type="auto"/>
            <w:hideMark/>
          </w:tcPr>
          <w:p w14:paraId="4AFF955F" w14:textId="77777777" w:rsidR="00CD5B68" w:rsidRPr="00CD5B68" w:rsidRDefault="00CD5B68" w:rsidP="007A11EE">
            <w:pPr>
              <w:ind w:firstLine="426"/>
              <w:jc w:val="right"/>
              <w:rPr>
                <w:i/>
                <w:iCs/>
                <w:color w:val="000000" w:themeColor="text1"/>
                <w:sz w:val="20"/>
                <w:szCs w:val="20"/>
              </w:rPr>
            </w:pPr>
          </w:p>
        </w:tc>
        <w:tc>
          <w:tcPr>
            <w:tcW w:w="0" w:type="auto"/>
            <w:hideMark/>
          </w:tcPr>
          <w:p w14:paraId="4A12370D" w14:textId="77777777" w:rsidR="00CD5B68" w:rsidRPr="00CD5B68" w:rsidRDefault="00CD5B68" w:rsidP="007A11EE">
            <w:pPr>
              <w:rPr>
                <w:i/>
                <w:iCs/>
                <w:color w:val="000000" w:themeColor="text1"/>
                <w:sz w:val="20"/>
                <w:szCs w:val="20"/>
              </w:rPr>
            </w:pPr>
            <w:r w:rsidRPr="00CD5B68">
              <w:rPr>
                <w:i/>
                <w:iCs/>
                <w:color w:val="000000" w:themeColor="text1"/>
                <w:sz w:val="20"/>
                <w:szCs w:val="20"/>
              </w:rPr>
              <w:t>Monthly</w:t>
            </w:r>
          </w:p>
        </w:tc>
        <w:tc>
          <w:tcPr>
            <w:tcW w:w="0" w:type="auto"/>
            <w:hideMark/>
          </w:tcPr>
          <w:p w14:paraId="37D6C9E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w:t>
            </w:r>
          </w:p>
        </w:tc>
        <w:tc>
          <w:tcPr>
            <w:tcW w:w="0" w:type="auto"/>
            <w:hideMark/>
          </w:tcPr>
          <w:p w14:paraId="460BCC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17.31</w:t>
            </w:r>
          </w:p>
        </w:tc>
      </w:tr>
      <w:tr w:rsidR="007A11EE" w:rsidRPr="00CD5B68" w14:paraId="1F4BE899" w14:textId="77777777" w:rsidTr="00C378D1">
        <w:trPr>
          <w:jc w:val="center"/>
        </w:trPr>
        <w:tc>
          <w:tcPr>
            <w:tcW w:w="0" w:type="auto"/>
            <w:hideMark/>
          </w:tcPr>
          <w:p w14:paraId="5B3557B2"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18–22</w:t>
            </w:r>
          </w:p>
        </w:tc>
        <w:tc>
          <w:tcPr>
            <w:tcW w:w="0" w:type="auto"/>
            <w:hideMark/>
          </w:tcPr>
          <w:p w14:paraId="28723FB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64</w:t>
            </w:r>
          </w:p>
        </w:tc>
        <w:tc>
          <w:tcPr>
            <w:tcW w:w="0" w:type="auto"/>
            <w:hideMark/>
          </w:tcPr>
          <w:p w14:paraId="42028F6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20.51</w:t>
            </w:r>
          </w:p>
        </w:tc>
        <w:tc>
          <w:tcPr>
            <w:tcW w:w="0" w:type="auto"/>
            <w:hideMark/>
          </w:tcPr>
          <w:p w14:paraId="7744CA18" w14:textId="77777777" w:rsidR="00CD5B68" w:rsidRPr="00CD5B68" w:rsidRDefault="00CD5B68" w:rsidP="007A11EE">
            <w:pPr>
              <w:rPr>
                <w:i/>
                <w:iCs/>
                <w:color w:val="000000" w:themeColor="text1"/>
                <w:sz w:val="20"/>
                <w:szCs w:val="20"/>
              </w:rPr>
            </w:pPr>
            <w:r w:rsidRPr="00CD5B68">
              <w:rPr>
                <w:i/>
                <w:iCs/>
                <w:color w:val="000000" w:themeColor="text1"/>
                <w:sz w:val="20"/>
                <w:szCs w:val="20"/>
              </w:rPr>
              <w:t>Rarely</w:t>
            </w:r>
          </w:p>
        </w:tc>
        <w:tc>
          <w:tcPr>
            <w:tcW w:w="0" w:type="auto"/>
            <w:hideMark/>
          </w:tcPr>
          <w:p w14:paraId="2509ECD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35</w:t>
            </w:r>
          </w:p>
        </w:tc>
        <w:tc>
          <w:tcPr>
            <w:tcW w:w="0" w:type="auto"/>
            <w:hideMark/>
          </w:tcPr>
          <w:p w14:paraId="08CF99C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11.21</w:t>
            </w:r>
          </w:p>
        </w:tc>
      </w:tr>
      <w:tr w:rsidR="007A11EE" w:rsidRPr="00CD5B68" w14:paraId="7C5D0688" w14:textId="77777777" w:rsidTr="00C378D1">
        <w:trPr>
          <w:jc w:val="center"/>
        </w:trPr>
        <w:tc>
          <w:tcPr>
            <w:tcW w:w="0" w:type="auto"/>
            <w:hideMark/>
          </w:tcPr>
          <w:p w14:paraId="3E2705FB"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lastRenderedPageBreak/>
              <w:t>23–28</w:t>
            </w:r>
          </w:p>
        </w:tc>
        <w:tc>
          <w:tcPr>
            <w:tcW w:w="0" w:type="auto"/>
            <w:hideMark/>
          </w:tcPr>
          <w:p w14:paraId="7A1D443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4FCE46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24.04</w:t>
            </w:r>
          </w:p>
        </w:tc>
        <w:tc>
          <w:tcPr>
            <w:tcW w:w="0" w:type="auto"/>
            <w:hideMark/>
          </w:tcPr>
          <w:p w14:paraId="37716F3D" w14:textId="77777777" w:rsidR="00CD5B68" w:rsidRPr="00CD5B68" w:rsidRDefault="00CD5B68" w:rsidP="007A11EE">
            <w:pPr>
              <w:ind w:firstLine="426"/>
              <w:rPr>
                <w:i/>
                <w:iCs/>
                <w:color w:val="000000" w:themeColor="text1"/>
                <w:sz w:val="20"/>
                <w:szCs w:val="20"/>
              </w:rPr>
            </w:pPr>
          </w:p>
        </w:tc>
        <w:tc>
          <w:tcPr>
            <w:tcW w:w="0" w:type="auto"/>
            <w:hideMark/>
          </w:tcPr>
          <w:p w14:paraId="15C53940" w14:textId="77777777" w:rsidR="00CD5B68" w:rsidRPr="00CD5B68" w:rsidRDefault="00CD5B68" w:rsidP="007A11EE">
            <w:pPr>
              <w:ind w:firstLine="426"/>
              <w:jc w:val="right"/>
              <w:rPr>
                <w:i/>
                <w:iCs/>
                <w:color w:val="000000" w:themeColor="text1"/>
                <w:sz w:val="20"/>
                <w:szCs w:val="20"/>
              </w:rPr>
            </w:pPr>
          </w:p>
        </w:tc>
        <w:tc>
          <w:tcPr>
            <w:tcW w:w="0" w:type="auto"/>
            <w:hideMark/>
          </w:tcPr>
          <w:p w14:paraId="4A3207AB" w14:textId="77777777" w:rsidR="00CD5B68" w:rsidRPr="00CD5B68" w:rsidRDefault="00CD5B68" w:rsidP="007A11EE">
            <w:pPr>
              <w:ind w:firstLine="426"/>
              <w:jc w:val="right"/>
              <w:rPr>
                <w:i/>
                <w:iCs/>
                <w:color w:val="000000" w:themeColor="text1"/>
                <w:sz w:val="20"/>
                <w:szCs w:val="20"/>
              </w:rPr>
            </w:pPr>
          </w:p>
        </w:tc>
      </w:tr>
      <w:tr w:rsidR="007A11EE" w:rsidRPr="00CD5B68" w14:paraId="13C8F1E1" w14:textId="77777777" w:rsidTr="00C378D1">
        <w:trPr>
          <w:jc w:val="center"/>
        </w:trPr>
        <w:tc>
          <w:tcPr>
            <w:tcW w:w="0" w:type="auto"/>
            <w:hideMark/>
          </w:tcPr>
          <w:p w14:paraId="17D08053"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29–34</w:t>
            </w:r>
          </w:p>
        </w:tc>
        <w:tc>
          <w:tcPr>
            <w:tcW w:w="0" w:type="auto"/>
            <w:hideMark/>
          </w:tcPr>
          <w:p w14:paraId="34D7BFC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60</w:t>
            </w:r>
          </w:p>
        </w:tc>
        <w:tc>
          <w:tcPr>
            <w:tcW w:w="0" w:type="auto"/>
            <w:hideMark/>
          </w:tcPr>
          <w:p w14:paraId="53E5F88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19.23</w:t>
            </w:r>
          </w:p>
        </w:tc>
        <w:tc>
          <w:tcPr>
            <w:tcW w:w="0" w:type="auto"/>
            <w:hideMark/>
          </w:tcPr>
          <w:p w14:paraId="387C6A2D"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NFT Interaction</w:t>
            </w:r>
          </w:p>
        </w:tc>
        <w:tc>
          <w:tcPr>
            <w:tcW w:w="0" w:type="auto"/>
            <w:hideMark/>
          </w:tcPr>
          <w:p w14:paraId="180201FD" w14:textId="77777777" w:rsidR="00CD5B68" w:rsidRPr="00CD5B68" w:rsidRDefault="00CD5B68" w:rsidP="007A11EE">
            <w:pPr>
              <w:ind w:firstLine="426"/>
              <w:jc w:val="right"/>
              <w:rPr>
                <w:i/>
                <w:iCs/>
                <w:color w:val="000000" w:themeColor="text1"/>
                <w:sz w:val="20"/>
                <w:szCs w:val="20"/>
              </w:rPr>
            </w:pPr>
          </w:p>
        </w:tc>
        <w:tc>
          <w:tcPr>
            <w:tcW w:w="0" w:type="auto"/>
            <w:hideMark/>
          </w:tcPr>
          <w:p w14:paraId="2012FEE2" w14:textId="77777777" w:rsidR="00CD5B68" w:rsidRPr="00CD5B68" w:rsidRDefault="00CD5B68" w:rsidP="007A11EE">
            <w:pPr>
              <w:ind w:firstLine="426"/>
              <w:jc w:val="right"/>
              <w:rPr>
                <w:i/>
                <w:iCs/>
                <w:color w:val="000000" w:themeColor="text1"/>
                <w:sz w:val="20"/>
                <w:szCs w:val="20"/>
              </w:rPr>
            </w:pPr>
          </w:p>
        </w:tc>
      </w:tr>
      <w:tr w:rsidR="007A11EE" w:rsidRPr="00CD5B68" w14:paraId="5C6EA08E" w14:textId="77777777" w:rsidTr="00C378D1">
        <w:trPr>
          <w:jc w:val="center"/>
        </w:trPr>
        <w:tc>
          <w:tcPr>
            <w:tcW w:w="0" w:type="auto"/>
            <w:hideMark/>
          </w:tcPr>
          <w:p w14:paraId="1EF40D0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35–41</w:t>
            </w:r>
          </w:p>
        </w:tc>
        <w:tc>
          <w:tcPr>
            <w:tcW w:w="0" w:type="auto"/>
            <w:hideMark/>
          </w:tcPr>
          <w:p w14:paraId="13A543B4"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462308A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18.27</w:t>
            </w:r>
          </w:p>
        </w:tc>
        <w:tc>
          <w:tcPr>
            <w:tcW w:w="0" w:type="auto"/>
            <w:hideMark/>
          </w:tcPr>
          <w:p w14:paraId="4910250B"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0B69F52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141</w:t>
            </w:r>
          </w:p>
        </w:tc>
        <w:tc>
          <w:tcPr>
            <w:tcW w:w="0" w:type="auto"/>
            <w:hideMark/>
          </w:tcPr>
          <w:p w14:paraId="7AEFCBE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45.19</w:t>
            </w:r>
          </w:p>
        </w:tc>
      </w:tr>
      <w:tr w:rsidR="007A11EE" w:rsidRPr="00CD5B68" w14:paraId="626B10E5" w14:textId="77777777" w:rsidTr="00C378D1">
        <w:trPr>
          <w:jc w:val="center"/>
        </w:trPr>
        <w:tc>
          <w:tcPr>
            <w:tcW w:w="0" w:type="auto"/>
            <w:hideMark/>
          </w:tcPr>
          <w:p w14:paraId="1B124B9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42–45</w:t>
            </w:r>
          </w:p>
        </w:tc>
        <w:tc>
          <w:tcPr>
            <w:tcW w:w="0" w:type="auto"/>
            <w:hideMark/>
          </w:tcPr>
          <w:p w14:paraId="27EBB2A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56</w:t>
            </w:r>
          </w:p>
        </w:tc>
        <w:tc>
          <w:tcPr>
            <w:tcW w:w="0" w:type="auto"/>
            <w:hideMark/>
          </w:tcPr>
          <w:p w14:paraId="1832A59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17.95</w:t>
            </w:r>
          </w:p>
        </w:tc>
        <w:tc>
          <w:tcPr>
            <w:tcW w:w="0" w:type="auto"/>
            <w:hideMark/>
          </w:tcPr>
          <w:p w14:paraId="6A07464E"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3420FDD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171</w:t>
            </w:r>
          </w:p>
        </w:tc>
        <w:tc>
          <w:tcPr>
            <w:tcW w:w="0" w:type="auto"/>
            <w:hideMark/>
          </w:tcPr>
          <w:p w14:paraId="70B81E3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54.81</w:t>
            </w:r>
          </w:p>
        </w:tc>
      </w:tr>
      <w:tr w:rsidR="007A11EE" w:rsidRPr="00CD5B68" w14:paraId="2696AEF0" w14:textId="77777777" w:rsidTr="00C378D1">
        <w:trPr>
          <w:jc w:val="center"/>
        </w:trPr>
        <w:tc>
          <w:tcPr>
            <w:tcW w:w="0" w:type="auto"/>
            <w:hideMark/>
          </w:tcPr>
          <w:p w14:paraId="40740BF7"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Marital Status</w:t>
            </w:r>
          </w:p>
        </w:tc>
        <w:tc>
          <w:tcPr>
            <w:tcW w:w="0" w:type="auto"/>
            <w:hideMark/>
          </w:tcPr>
          <w:p w14:paraId="3EFBD65A" w14:textId="77777777" w:rsidR="00CD5B68" w:rsidRPr="00CD5B68" w:rsidRDefault="00CD5B68" w:rsidP="007A11EE">
            <w:pPr>
              <w:ind w:firstLine="426"/>
              <w:jc w:val="right"/>
              <w:rPr>
                <w:i/>
                <w:iCs/>
                <w:color w:val="000000" w:themeColor="text1"/>
                <w:sz w:val="20"/>
                <w:szCs w:val="20"/>
              </w:rPr>
            </w:pPr>
          </w:p>
        </w:tc>
        <w:tc>
          <w:tcPr>
            <w:tcW w:w="0" w:type="auto"/>
            <w:hideMark/>
          </w:tcPr>
          <w:p w14:paraId="5E5B0972" w14:textId="77777777" w:rsidR="00CD5B68" w:rsidRPr="00CD5B68" w:rsidRDefault="00CD5B68" w:rsidP="007A11EE">
            <w:pPr>
              <w:ind w:firstLine="426"/>
              <w:jc w:val="right"/>
              <w:rPr>
                <w:i/>
                <w:iCs/>
                <w:color w:val="000000" w:themeColor="text1"/>
                <w:sz w:val="20"/>
                <w:szCs w:val="20"/>
              </w:rPr>
            </w:pPr>
          </w:p>
        </w:tc>
        <w:tc>
          <w:tcPr>
            <w:tcW w:w="0" w:type="auto"/>
            <w:hideMark/>
          </w:tcPr>
          <w:p w14:paraId="65863094"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Virtual Event Participation</w:t>
            </w:r>
          </w:p>
        </w:tc>
        <w:tc>
          <w:tcPr>
            <w:tcW w:w="0" w:type="auto"/>
            <w:hideMark/>
          </w:tcPr>
          <w:p w14:paraId="6802999F" w14:textId="77777777" w:rsidR="00CD5B68" w:rsidRPr="00CD5B68" w:rsidRDefault="00CD5B68" w:rsidP="007A11EE">
            <w:pPr>
              <w:ind w:firstLine="426"/>
              <w:jc w:val="right"/>
              <w:rPr>
                <w:i/>
                <w:iCs/>
                <w:color w:val="000000" w:themeColor="text1"/>
                <w:sz w:val="20"/>
                <w:szCs w:val="20"/>
              </w:rPr>
            </w:pPr>
          </w:p>
        </w:tc>
        <w:tc>
          <w:tcPr>
            <w:tcW w:w="0" w:type="auto"/>
            <w:hideMark/>
          </w:tcPr>
          <w:p w14:paraId="46CC4C44" w14:textId="77777777" w:rsidR="00CD5B68" w:rsidRPr="00CD5B68" w:rsidRDefault="00CD5B68" w:rsidP="007A11EE">
            <w:pPr>
              <w:ind w:firstLine="426"/>
              <w:jc w:val="right"/>
              <w:rPr>
                <w:i/>
                <w:iCs/>
                <w:color w:val="000000" w:themeColor="text1"/>
                <w:sz w:val="20"/>
                <w:szCs w:val="20"/>
              </w:rPr>
            </w:pPr>
          </w:p>
        </w:tc>
      </w:tr>
      <w:tr w:rsidR="007A11EE" w:rsidRPr="00CD5B68" w14:paraId="6B1FB2DC" w14:textId="77777777" w:rsidTr="00C378D1">
        <w:trPr>
          <w:jc w:val="center"/>
        </w:trPr>
        <w:tc>
          <w:tcPr>
            <w:tcW w:w="0" w:type="auto"/>
            <w:hideMark/>
          </w:tcPr>
          <w:p w14:paraId="7DC1E5A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Single</w:t>
            </w:r>
          </w:p>
        </w:tc>
        <w:tc>
          <w:tcPr>
            <w:tcW w:w="0" w:type="auto"/>
            <w:hideMark/>
          </w:tcPr>
          <w:p w14:paraId="129542C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107</w:t>
            </w:r>
          </w:p>
        </w:tc>
        <w:tc>
          <w:tcPr>
            <w:tcW w:w="0" w:type="auto"/>
            <w:hideMark/>
          </w:tcPr>
          <w:p w14:paraId="032F2B1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34.29</w:t>
            </w:r>
          </w:p>
        </w:tc>
        <w:tc>
          <w:tcPr>
            <w:tcW w:w="0" w:type="auto"/>
            <w:hideMark/>
          </w:tcPr>
          <w:p w14:paraId="43954C60"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519FE71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129</w:t>
            </w:r>
          </w:p>
        </w:tc>
        <w:tc>
          <w:tcPr>
            <w:tcW w:w="0" w:type="auto"/>
            <w:hideMark/>
          </w:tcPr>
          <w:p w14:paraId="7E71B45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41.35</w:t>
            </w:r>
          </w:p>
        </w:tc>
      </w:tr>
      <w:tr w:rsidR="007A11EE" w:rsidRPr="00CD5B68" w14:paraId="6E9C0DDC" w14:textId="77777777" w:rsidTr="00C378D1">
        <w:trPr>
          <w:jc w:val="center"/>
        </w:trPr>
        <w:tc>
          <w:tcPr>
            <w:tcW w:w="0" w:type="auto"/>
            <w:hideMark/>
          </w:tcPr>
          <w:p w14:paraId="3A1D928A" w14:textId="45805F60" w:rsidR="00CD5B68" w:rsidRPr="00CD5B68" w:rsidRDefault="00CD5B68" w:rsidP="007A11EE">
            <w:pPr>
              <w:rPr>
                <w:i/>
                <w:iCs/>
                <w:color w:val="000000" w:themeColor="text1"/>
                <w:sz w:val="20"/>
                <w:szCs w:val="20"/>
              </w:rPr>
            </w:pPr>
            <w:r w:rsidRPr="00CD5B68">
              <w:rPr>
                <w:i/>
                <w:iCs/>
                <w:color w:val="000000" w:themeColor="text1"/>
                <w:sz w:val="20"/>
                <w:szCs w:val="20"/>
              </w:rPr>
              <w:t>Married with</w:t>
            </w:r>
            <w:r w:rsidR="007A11EE">
              <w:rPr>
                <w:i/>
                <w:iCs/>
                <w:color w:val="000000" w:themeColor="text1"/>
                <w:sz w:val="20"/>
                <w:szCs w:val="20"/>
              </w:rPr>
              <w:t xml:space="preserve"> </w:t>
            </w:r>
            <w:r w:rsidRPr="00CD5B68">
              <w:rPr>
                <w:i/>
                <w:iCs/>
                <w:color w:val="000000" w:themeColor="text1"/>
                <w:sz w:val="20"/>
                <w:szCs w:val="20"/>
              </w:rPr>
              <w:t>children</w:t>
            </w:r>
          </w:p>
        </w:tc>
        <w:tc>
          <w:tcPr>
            <w:tcW w:w="0" w:type="auto"/>
            <w:hideMark/>
          </w:tcPr>
          <w:p w14:paraId="1B8B92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84</w:t>
            </w:r>
          </w:p>
        </w:tc>
        <w:tc>
          <w:tcPr>
            <w:tcW w:w="0" w:type="auto"/>
            <w:hideMark/>
          </w:tcPr>
          <w:p w14:paraId="54774E9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26.93</w:t>
            </w:r>
          </w:p>
        </w:tc>
        <w:tc>
          <w:tcPr>
            <w:tcW w:w="0" w:type="auto"/>
            <w:hideMark/>
          </w:tcPr>
          <w:p w14:paraId="000FA5F2"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735DDE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183</w:t>
            </w:r>
          </w:p>
        </w:tc>
        <w:tc>
          <w:tcPr>
            <w:tcW w:w="0" w:type="auto"/>
            <w:hideMark/>
          </w:tcPr>
          <w:p w14:paraId="7325077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58.65</w:t>
            </w:r>
          </w:p>
        </w:tc>
      </w:tr>
      <w:tr w:rsidR="007A11EE" w:rsidRPr="00CD5B68" w14:paraId="59AAB08D" w14:textId="77777777" w:rsidTr="00C378D1">
        <w:trPr>
          <w:jc w:val="center"/>
        </w:trPr>
        <w:tc>
          <w:tcPr>
            <w:tcW w:w="0" w:type="auto"/>
            <w:hideMark/>
          </w:tcPr>
          <w:p w14:paraId="73CCA296" w14:textId="77777777" w:rsidR="00CD5B68" w:rsidRPr="00CD5B68" w:rsidRDefault="00CD5B68" w:rsidP="007A11EE">
            <w:pPr>
              <w:rPr>
                <w:i/>
                <w:iCs/>
                <w:color w:val="000000" w:themeColor="text1"/>
                <w:sz w:val="20"/>
                <w:szCs w:val="20"/>
              </w:rPr>
            </w:pPr>
            <w:r w:rsidRPr="00CD5B68">
              <w:rPr>
                <w:i/>
                <w:iCs/>
                <w:color w:val="000000" w:themeColor="text1"/>
                <w:sz w:val="20"/>
                <w:szCs w:val="20"/>
              </w:rPr>
              <w:t>Married without children</w:t>
            </w:r>
          </w:p>
        </w:tc>
        <w:tc>
          <w:tcPr>
            <w:tcW w:w="0" w:type="auto"/>
            <w:hideMark/>
          </w:tcPr>
          <w:p w14:paraId="0C86437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121</w:t>
            </w:r>
          </w:p>
        </w:tc>
        <w:tc>
          <w:tcPr>
            <w:tcW w:w="0" w:type="auto"/>
            <w:hideMark/>
          </w:tcPr>
          <w:p w14:paraId="15D6E02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38.78</w:t>
            </w:r>
          </w:p>
        </w:tc>
        <w:tc>
          <w:tcPr>
            <w:tcW w:w="0" w:type="auto"/>
            <w:hideMark/>
          </w:tcPr>
          <w:p w14:paraId="6F6233A6"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Social Interaction/Content Creation</w:t>
            </w:r>
          </w:p>
        </w:tc>
        <w:tc>
          <w:tcPr>
            <w:tcW w:w="0" w:type="auto"/>
            <w:hideMark/>
          </w:tcPr>
          <w:p w14:paraId="25644E55" w14:textId="77777777" w:rsidR="00CD5B68" w:rsidRPr="00CD5B68" w:rsidRDefault="00CD5B68" w:rsidP="007A11EE">
            <w:pPr>
              <w:ind w:firstLine="426"/>
              <w:jc w:val="right"/>
              <w:rPr>
                <w:i/>
                <w:iCs/>
                <w:color w:val="000000" w:themeColor="text1"/>
                <w:sz w:val="20"/>
                <w:szCs w:val="20"/>
              </w:rPr>
            </w:pPr>
          </w:p>
        </w:tc>
        <w:tc>
          <w:tcPr>
            <w:tcW w:w="0" w:type="auto"/>
            <w:hideMark/>
          </w:tcPr>
          <w:p w14:paraId="141DE36E" w14:textId="77777777" w:rsidR="00CD5B68" w:rsidRPr="00CD5B68" w:rsidRDefault="00CD5B68" w:rsidP="007A11EE">
            <w:pPr>
              <w:ind w:firstLine="426"/>
              <w:jc w:val="right"/>
              <w:rPr>
                <w:i/>
                <w:iCs/>
                <w:color w:val="000000" w:themeColor="text1"/>
                <w:sz w:val="20"/>
                <w:szCs w:val="20"/>
              </w:rPr>
            </w:pPr>
          </w:p>
        </w:tc>
      </w:tr>
      <w:tr w:rsidR="007A11EE" w:rsidRPr="00CD5B68" w14:paraId="1B90AC4B" w14:textId="77777777" w:rsidTr="00C378D1">
        <w:trPr>
          <w:jc w:val="center"/>
        </w:trPr>
        <w:tc>
          <w:tcPr>
            <w:tcW w:w="0" w:type="auto"/>
            <w:hideMark/>
          </w:tcPr>
          <w:p w14:paraId="0443F6E8" w14:textId="77777777" w:rsidR="00CD5B68" w:rsidRPr="00CD5B68" w:rsidRDefault="00CD5B68" w:rsidP="00CD5B68">
            <w:pPr>
              <w:ind w:firstLine="426"/>
              <w:jc w:val="both"/>
              <w:rPr>
                <w:i/>
                <w:iCs/>
                <w:color w:val="000000" w:themeColor="text1"/>
                <w:sz w:val="20"/>
                <w:szCs w:val="20"/>
              </w:rPr>
            </w:pPr>
          </w:p>
        </w:tc>
        <w:tc>
          <w:tcPr>
            <w:tcW w:w="0" w:type="auto"/>
            <w:hideMark/>
          </w:tcPr>
          <w:p w14:paraId="3E63C20D" w14:textId="77777777" w:rsidR="00CD5B68" w:rsidRPr="00CD5B68" w:rsidRDefault="00CD5B68" w:rsidP="007A11EE">
            <w:pPr>
              <w:ind w:firstLine="426"/>
              <w:jc w:val="right"/>
              <w:rPr>
                <w:i/>
                <w:iCs/>
                <w:color w:val="000000" w:themeColor="text1"/>
                <w:sz w:val="20"/>
                <w:szCs w:val="20"/>
              </w:rPr>
            </w:pPr>
          </w:p>
        </w:tc>
        <w:tc>
          <w:tcPr>
            <w:tcW w:w="0" w:type="auto"/>
            <w:hideMark/>
          </w:tcPr>
          <w:p w14:paraId="1418472A" w14:textId="77777777" w:rsidR="00CD5B68" w:rsidRPr="00CD5B68" w:rsidRDefault="00CD5B68" w:rsidP="007A11EE">
            <w:pPr>
              <w:ind w:firstLine="426"/>
              <w:jc w:val="right"/>
              <w:rPr>
                <w:i/>
                <w:iCs/>
                <w:color w:val="000000" w:themeColor="text1"/>
                <w:sz w:val="20"/>
                <w:szCs w:val="20"/>
              </w:rPr>
            </w:pPr>
          </w:p>
        </w:tc>
        <w:tc>
          <w:tcPr>
            <w:tcW w:w="0" w:type="auto"/>
            <w:hideMark/>
          </w:tcPr>
          <w:p w14:paraId="026ED2F4"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709F930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164</w:t>
            </w:r>
          </w:p>
        </w:tc>
        <w:tc>
          <w:tcPr>
            <w:tcW w:w="0" w:type="auto"/>
            <w:hideMark/>
          </w:tcPr>
          <w:p w14:paraId="34D99E0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52.56</w:t>
            </w:r>
          </w:p>
        </w:tc>
      </w:tr>
      <w:tr w:rsidR="007A11EE" w:rsidRPr="00CD5B68" w14:paraId="55B94D04" w14:textId="77777777" w:rsidTr="00C378D1">
        <w:trPr>
          <w:jc w:val="center"/>
        </w:trPr>
        <w:tc>
          <w:tcPr>
            <w:tcW w:w="0" w:type="auto"/>
            <w:hideMark/>
          </w:tcPr>
          <w:p w14:paraId="182E77BD"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Occupation</w:t>
            </w:r>
          </w:p>
        </w:tc>
        <w:tc>
          <w:tcPr>
            <w:tcW w:w="0" w:type="auto"/>
            <w:hideMark/>
          </w:tcPr>
          <w:p w14:paraId="49B453DE" w14:textId="77777777" w:rsidR="00CD5B68" w:rsidRPr="00CD5B68" w:rsidRDefault="00CD5B68" w:rsidP="007A11EE">
            <w:pPr>
              <w:ind w:firstLine="426"/>
              <w:jc w:val="right"/>
              <w:rPr>
                <w:i/>
                <w:iCs/>
                <w:color w:val="000000" w:themeColor="text1"/>
                <w:sz w:val="20"/>
                <w:szCs w:val="20"/>
              </w:rPr>
            </w:pPr>
          </w:p>
        </w:tc>
        <w:tc>
          <w:tcPr>
            <w:tcW w:w="0" w:type="auto"/>
            <w:hideMark/>
          </w:tcPr>
          <w:p w14:paraId="26024D0F" w14:textId="77777777" w:rsidR="00CD5B68" w:rsidRPr="00CD5B68" w:rsidRDefault="00CD5B68" w:rsidP="007A11EE">
            <w:pPr>
              <w:ind w:firstLine="426"/>
              <w:jc w:val="right"/>
              <w:rPr>
                <w:i/>
                <w:iCs/>
                <w:color w:val="000000" w:themeColor="text1"/>
                <w:sz w:val="20"/>
                <w:szCs w:val="20"/>
              </w:rPr>
            </w:pPr>
          </w:p>
        </w:tc>
        <w:tc>
          <w:tcPr>
            <w:tcW w:w="0" w:type="auto"/>
            <w:hideMark/>
          </w:tcPr>
          <w:p w14:paraId="4152F105"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25F52B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148</w:t>
            </w:r>
          </w:p>
        </w:tc>
        <w:tc>
          <w:tcPr>
            <w:tcW w:w="0" w:type="auto"/>
            <w:hideMark/>
          </w:tcPr>
          <w:p w14:paraId="49A4E38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47.44</w:t>
            </w:r>
          </w:p>
        </w:tc>
      </w:tr>
      <w:tr w:rsidR="007A11EE" w:rsidRPr="00CD5B68" w14:paraId="4A3FFAAA" w14:textId="77777777" w:rsidTr="00C378D1">
        <w:trPr>
          <w:jc w:val="center"/>
        </w:trPr>
        <w:tc>
          <w:tcPr>
            <w:tcW w:w="0" w:type="auto"/>
            <w:hideMark/>
          </w:tcPr>
          <w:p w14:paraId="40CC7B47"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Students</w:t>
            </w:r>
          </w:p>
        </w:tc>
        <w:tc>
          <w:tcPr>
            <w:tcW w:w="0" w:type="auto"/>
            <w:hideMark/>
          </w:tcPr>
          <w:p w14:paraId="7FA2310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88</w:t>
            </w:r>
          </w:p>
        </w:tc>
        <w:tc>
          <w:tcPr>
            <w:tcW w:w="0" w:type="auto"/>
            <w:hideMark/>
          </w:tcPr>
          <w:p w14:paraId="0C40ACE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28.21</w:t>
            </w:r>
          </w:p>
        </w:tc>
        <w:tc>
          <w:tcPr>
            <w:tcW w:w="0" w:type="auto"/>
            <w:hideMark/>
          </w:tcPr>
          <w:p w14:paraId="283599B2"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Monthly Family Income</w:t>
            </w:r>
          </w:p>
        </w:tc>
        <w:tc>
          <w:tcPr>
            <w:tcW w:w="0" w:type="auto"/>
            <w:hideMark/>
          </w:tcPr>
          <w:p w14:paraId="2B56069A" w14:textId="77777777" w:rsidR="00CD5B68" w:rsidRPr="00CD5B68" w:rsidRDefault="00CD5B68" w:rsidP="007A11EE">
            <w:pPr>
              <w:ind w:firstLine="426"/>
              <w:jc w:val="right"/>
              <w:rPr>
                <w:i/>
                <w:iCs/>
                <w:color w:val="000000" w:themeColor="text1"/>
                <w:sz w:val="20"/>
                <w:szCs w:val="20"/>
              </w:rPr>
            </w:pPr>
          </w:p>
        </w:tc>
        <w:tc>
          <w:tcPr>
            <w:tcW w:w="0" w:type="auto"/>
            <w:hideMark/>
          </w:tcPr>
          <w:p w14:paraId="1E47F99F" w14:textId="77777777" w:rsidR="00CD5B68" w:rsidRPr="00CD5B68" w:rsidRDefault="00CD5B68" w:rsidP="007A11EE">
            <w:pPr>
              <w:ind w:firstLine="426"/>
              <w:jc w:val="right"/>
              <w:rPr>
                <w:i/>
                <w:iCs/>
                <w:color w:val="000000" w:themeColor="text1"/>
                <w:sz w:val="20"/>
                <w:szCs w:val="20"/>
              </w:rPr>
            </w:pPr>
          </w:p>
        </w:tc>
      </w:tr>
      <w:tr w:rsidR="007A11EE" w:rsidRPr="00CD5B68" w14:paraId="6B3D8206" w14:textId="77777777" w:rsidTr="00C378D1">
        <w:trPr>
          <w:jc w:val="center"/>
        </w:trPr>
        <w:tc>
          <w:tcPr>
            <w:tcW w:w="0" w:type="auto"/>
            <w:hideMark/>
          </w:tcPr>
          <w:p w14:paraId="1380248D"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Job</w:t>
            </w:r>
          </w:p>
        </w:tc>
        <w:tc>
          <w:tcPr>
            <w:tcW w:w="0" w:type="auto"/>
            <w:hideMark/>
          </w:tcPr>
          <w:p w14:paraId="3606F21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102</w:t>
            </w:r>
          </w:p>
        </w:tc>
        <w:tc>
          <w:tcPr>
            <w:tcW w:w="0" w:type="auto"/>
            <w:hideMark/>
          </w:tcPr>
          <w:p w14:paraId="43813C8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32.69</w:t>
            </w:r>
          </w:p>
        </w:tc>
        <w:tc>
          <w:tcPr>
            <w:tcW w:w="0" w:type="auto"/>
            <w:hideMark/>
          </w:tcPr>
          <w:p w14:paraId="4FFC1CC0"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30,000 or less</w:t>
            </w:r>
          </w:p>
        </w:tc>
        <w:tc>
          <w:tcPr>
            <w:tcW w:w="0" w:type="auto"/>
            <w:hideMark/>
          </w:tcPr>
          <w:p w14:paraId="15E7C8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780176F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18.40</w:t>
            </w:r>
          </w:p>
        </w:tc>
      </w:tr>
      <w:tr w:rsidR="007A11EE" w:rsidRPr="00CD5B68" w14:paraId="7256DC7F" w14:textId="77777777" w:rsidTr="00C378D1">
        <w:trPr>
          <w:jc w:val="center"/>
        </w:trPr>
        <w:tc>
          <w:tcPr>
            <w:tcW w:w="0" w:type="auto"/>
            <w:hideMark/>
          </w:tcPr>
          <w:p w14:paraId="31B2051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Business</w:t>
            </w:r>
          </w:p>
        </w:tc>
        <w:tc>
          <w:tcPr>
            <w:tcW w:w="0" w:type="auto"/>
            <w:hideMark/>
          </w:tcPr>
          <w:p w14:paraId="157AD06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122</w:t>
            </w:r>
          </w:p>
        </w:tc>
        <w:tc>
          <w:tcPr>
            <w:tcW w:w="0" w:type="auto"/>
            <w:hideMark/>
          </w:tcPr>
          <w:p w14:paraId="239AA37E"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39.10</w:t>
            </w:r>
          </w:p>
        </w:tc>
        <w:tc>
          <w:tcPr>
            <w:tcW w:w="0" w:type="auto"/>
            <w:hideMark/>
          </w:tcPr>
          <w:p w14:paraId="7E7ECD98"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30,001–50,000</w:t>
            </w:r>
          </w:p>
        </w:tc>
        <w:tc>
          <w:tcPr>
            <w:tcW w:w="0" w:type="auto"/>
            <w:hideMark/>
          </w:tcPr>
          <w:p w14:paraId="61A2429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80</w:t>
            </w:r>
          </w:p>
        </w:tc>
        <w:tc>
          <w:tcPr>
            <w:tcW w:w="0" w:type="auto"/>
            <w:hideMark/>
          </w:tcPr>
          <w:p w14:paraId="28E19D2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25.64</w:t>
            </w:r>
          </w:p>
        </w:tc>
      </w:tr>
      <w:tr w:rsidR="007A11EE" w:rsidRPr="00CD5B68" w14:paraId="2A8E15EC" w14:textId="77777777" w:rsidTr="00C378D1">
        <w:trPr>
          <w:jc w:val="center"/>
        </w:trPr>
        <w:tc>
          <w:tcPr>
            <w:tcW w:w="0" w:type="auto"/>
            <w:hideMark/>
          </w:tcPr>
          <w:p w14:paraId="0955F398" w14:textId="77777777" w:rsidR="00CD5B68" w:rsidRPr="00CD5B68" w:rsidRDefault="00CD5B68" w:rsidP="00CD5B68">
            <w:pPr>
              <w:ind w:firstLine="426"/>
              <w:jc w:val="both"/>
              <w:rPr>
                <w:i/>
                <w:iCs/>
                <w:color w:val="000000" w:themeColor="text1"/>
                <w:sz w:val="20"/>
                <w:szCs w:val="20"/>
              </w:rPr>
            </w:pPr>
          </w:p>
        </w:tc>
        <w:tc>
          <w:tcPr>
            <w:tcW w:w="0" w:type="auto"/>
            <w:hideMark/>
          </w:tcPr>
          <w:p w14:paraId="416EC0A5" w14:textId="77777777" w:rsidR="00CD5B68" w:rsidRPr="00CD5B68" w:rsidRDefault="00CD5B68" w:rsidP="00CD5B68">
            <w:pPr>
              <w:ind w:firstLine="426"/>
              <w:jc w:val="both"/>
              <w:rPr>
                <w:i/>
                <w:iCs/>
                <w:color w:val="000000" w:themeColor="text1"/>
                <w:sz w:val="20"/>
                <w:szCs w:val="20"/>
              </w:rPr>
            </w:pPr>
          </w:p>
        </w:tc>
        <w:tc>
          <w:tcPr>
            <w:tcW w:w="0" w:type="auto"/>
            <w:hideMark/>
          </w:tcPr>
          <w:p w14:paraId="50E15D25" w14:textId="77777777" w:rsidR="00CD5B68" w:rsidRPr="00CD5B68" w:rsidRDefault="00CD5B68" w:rsidP="00CD5B68">
            <w:pPr>
              <w:ind w:firstLine="426"/>
              <w:jc w:val="both"/>
              <w:rPr>
                <w:i/>
                <w:iCs/>
                <w:color w:val="000000" w:themeColor="text1"/>
                <w:sz w:val="20"/>
                <w:szCs w:val="20"/>
              </w:rPr>
            </w:pPr>
          </w:p>
        </w:tc>
        <w:tc>
          <w:tcPr>
            <w:tcW w:w="0" w:type="auto"/>
            <w:hideMark/>
          </w:tcPr>
          <w:p w14:paraId="70BF4129" w14:textId="77777777" w:rsidR="00CD5B68" w:rsidRPr="00CD5B68" w:rsidRDefault="00CD5B68" w:rsidP="007A11EE">
            <w:pPr>
              <w:rPr>
                <w:i/>
                <w:iCs/>
                <w:color w:val="000000" w:themeColor="text1"/>
                <w:sz w:val="20"/>
                <w:szCs w:val="20"/>
              </w:rPr>
            </w:pPr>
            <w:r w:rsidRPr="00CD5B68">
              <w:rPr>
                <w:i/>
                <w:iCs/>
                <w:color w:val="000000" w:themeColor="text1"/>
                <w:sz w:val="20"/>
                <w:szCs w:val="20"/>
              </w:rPr>
              <w:t>INR 50,001–80,000</w:t>
            </w:r>
          </w:p>
        </w:tc>
        <w:tc>
          <w:tcPr>
            <w:tcW w:w="0" w:type="auto"/>
            <w:hideMark/>
          </w:tcPr>
          <w:p w14:paraId="7433B13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100</w:t>
            </w:r>
          </w:p>
        </w:tc>
        <w:tc>
          <w:tcPr>
            <w:tcW w:w="0" w:type="auto"/>
            <w:hideMark/>
          </w:tcPr>
          <w:p w14:paraId="7E23480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32.05</w:t>
            </w:r>
          </w:p>
        </w:tc>
      </w:tr>
      <w:tr w:rsidR="007A11EE" w:rsidRPr="00CD5B68" w14:paraId="14257497" w14:textId="77777777" w:rsidTr="00C378D1">
        <w:trPr>
          <w:jc w:val="center"/>
        </w:trPr>
        <w:tc>
          <w:tcPr>
            <w:tcW w:w="0" w:type="auto"/>
            <w:hideMark/>
          </w:tcPr>
          <w:p w14:paraId="27EBC432" w14:textId="77777777" w:rsidR="00CD5B68" w:rsidRPr="00CD5B68" w:rsidRDefault="00CD5B68" w:rsidP="00CD5B68">
            <w:pPr>
              <w:ind w:firstLine="426"/>
              <w:jc w:val="both"/>
              <w:rPr>
                <w:i/>
                <w:iCs/>
                <w:color w:val="000000" w:themeColor="text1"/>
                <w:sz w:val="20"/>
                <w:szCs w:val="20"/>
              </w:rPr>
            </w:pPr>
          </w:p>
        </w:tc>
        <w:tc>
          <w:tcPr>
            <w:tcW w:w="0" w:type="auto"/>
            <w:hideMark/>
          </w:tcPr>
          <w:p w14:paraId="1AD27441" w14:textId="77777777" w:rsidR="00CD5B68" w:rsidRPr="00CD5B68" w:rsidRDefault="00CD5B68" w:rsidP="00CD5B68">
            <w:pPr>
              <w:ind w:firstLine="426"/>
              <w:jc w:val="both"/>
              <w:rPr>
                <w:i/>
                <w:iCs/>
                <w:color w:val="000000" w:themeColor="text1"/>
                <w:sz w:val="20"/>
                <w:szCs w:val="20"/>
              </w:rPr>
            </w:pPr>
          </w:p>
        </w:tc>
        <w:tc>
          <w:tcPr>
            <w:tcW w:w="0" w:type="auto"/>
            <w:hideMark/>
          </w:tcPr>
          <w:p w14:paraId="16C29D09" w14:textId="77777777" w:rsidR="00CD5B68" w:rsidRPr="00CD5B68" w:rsidRDefault="00CD5B68" w:rsidP="00CD5B68">
            <w:pPr>
              <w:ind w:firstLine="426"/>
              <w:jc w:val="both"/>
              <w:rPr>
                <w:i/>
                <w:iCs/>
                <w:color w:val="000000" w:themeColor="text1"/>
                <w:sz w:val="20"/>
                <w:szCs w:val="20"/>
              </w:rPr>
            </w:pPr>
          </w:p>
        </w:tc>
        <w:tc>
          <w:tcPr>
            <w:tcW w:w="0" w:type="auto"/>
            <w:hideMark/>
          </w:tcPr>
          <w:p w14:paraId="430F1752" w14:textId="77777777" w:rsidR="00CD5B68" w:rsidRPr="00CD5B68" w:rsidRDefault="00CD5B68" w:rsidP="007A11EE">
            <w:pPr>
              <w:rPr>
                <w:i/>
                <w:iCs/>
                <w:color w:val="000000" w:themeColor="text1"/>
                <w:sz w:val="20"/>
                <w:szCs w:val="20"/>
              </w:rPr>
            </w:pPr>
            <w:r w:rsidRPr="00CD5B68">
              <w:rPr>
                <w:i/>
                <w:iCs/>
                <w:color w:val="000000" w:themeColor="text1"/>
                <w:sz w:val="20"/>
                <w:szCs w:val="20"/>
              </w:rPr>
              <w:t>INR 80,001 and above</w:t>
            </w:r>
          </w:p>
        </w:tc>
        <w:tc>
          <w:tcPr>
            <w:tcW w:w="0" w:type="auto"/>
            <w:hideMark/>
          </w:tcPr>
          <w:p w14:paraId="34FE6F5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200252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23.91</w:t>
            </w:r>
          </w:p>
        </w:tc>
      </w:tr>
    </w:tbl>
    <w:p w14:paraId="5BFF458B" w14:textId="6C1ABEE0" w:rsidR="00CD5B68" w:rsidRPr="00CD5B68" w:rsidRDefault="00CD5B68" w:rsidP="00CD5B68">
      <w:pPr>
        <w:spacing w:line="360" w:lineRule="auto"/>
        <w:ind w:firstLine="426"/>
        <w:jc w:val="both"/>
        <w:rPr>
          <w:i/>
          <w:iCs/>
          <w:color w:val="000000" w:themeColor="text1"/>
          <w:sz w:val="20"/>
          <w:szCs w:val="20"/>
        </w:rPr>
      </w:pPr>
      <w:r w:rsidRPr="00CD5B68">
        <w:rPr>
          <w:b/>
          <w:bCs/>
          <w:i/>
          <w:iCs/>
          <w:color w:val="000000" w:themeColor="text1"/>
          <w:sz w:val="20"/>
          <w:szCs w:val="20"/>
        </w:rPr>
        <w:t>Source:</w:t>
      </w:r>
      <w:r w:rsidRPr="00CD5B68">
        <w:rPr>
          <w:i/>
          <w:iCs/>
          <w:color w:val="000000" w:themeColor="text1"/>
          <w:sz w:val="20"/>
          <w:szCs w:val="20"/>
        </w:rPr>
        <w:t xml:space="preserve"> Authors</w:t>
      </w:r>
    </w:p>
    <w:p w14:paraId="50D9A6E3" w14:textId="77777777" w:rsidR="00CD5B68" w:rsidRDefault="00CD5B68" w:rsidP="00B4702E">
      <w:pPr>
        <w:spacing w:line="360" w:lineRule="auto"/>
        <w:jc w:val="both"/>
        <w:rPr>
          <w:b/>
          <w:bCs/>
          <w:color w:val="000000" w:themeColor="text1"/>
        </w:rPr>
      </w:pPr>
    </w:p>
    <w:p w14:paraId="7530F63F" w14:textId="4E37BD21" w:rsidR="00CD5B68" w:rsidRPr="00CD5B68" w:rsidRDefault="00CD5B68" w:rsidP="00B4702E">
      <w:pPr>
        <w:spacing w:line="360" w:lineRule="auto"/>
        <w:jc w:val="both"/>
        <w:rPr>
          <w:b/>
          <w:bCs/>
          <w:i/>
          <w:iCs/>
          <w:color w:val="000000" w:themeColor="text1"/>
        </w:rPr>
      </w:pPr>
      <w:r w:rsidRPr="00CD5B68">
        <w:rPr>
          <w:b/>
          <w:bCs/>
          <w:i/>
          <w:iCs/>
          <w:color w:val="000000" w:themeColor="text1"/>
        </w:rPr>
        <w:t xml:space="preserve">5.2. Assessment of Reliability and validity </w:t>
      </w:r>
    </w:p>
    <w:p w14:paraId="511FCF92" w14:textId="1385ADA3" w:rsidR="002B4CA4" w:rsidRPr="002B4CA4" w:rsidRDefault="003C57F3" w:rsidP="002B4CA4">
      <w:pPr>
        <w:spacing w:line="360" w:lineRule="auto"/>
        <w:jc w:val="both"/>
        <w:rPr>
          <w:color w:val="000000" w:themeColor="text1"/>
        </w:rPr>
      </w:pPr>
      <w:r>
        <w:t>Measurement quality was assessed with PLS-SEM in SmartPLS. Standardized factor loadings ranged from 0.661 to 0.741 and were significant (p &lt; .001), exceeding the 0.60 benchmark (Bagozzi and Yi, 1988). Internal consistency was high: Cronbach's alpha was 0.970 for Brand Satisfaction (BSAT), 0.982 for User Engagement (UE), 0.983 for User Experience (UX), and 0.959 for Brand Success (BSUC), and composite reliability exceeded 0.95 for all constructs (Hair et al., 2019). Full item-level statistics are reported in Table 3.</w:t>
      </w:r>
    </w:p>
    <w:p w14:paraId="03D44352" w14:textId="41D762AE" w:rsidR="002B4CA4" w:rsidRDefault="002B4CA4" w:rsidP="002B4CA4">
      <w:pPr>
        <w:spacing w:line="360" w:lineRule="auto"/>
        <w:jc w:val="both"/>
        <w:rPr>
          <w:color w:val="000000" w:themeColor="text1"/>
        </w:rPr>
      </w:pPr>
      <w:proofErr w:type="spellStart"/>
      <w:proofErr w:type="spellEnd"/>
      <w:r>
        <w:t>Average variance extracted (AVE) was 0.865 (BSAT), 0.848 (UE), 0.855 (UX), and 0.854 (BSUC), all above 0.50 (Fornell and Larcker, 1981). We state the inferential role of AVE precisely: an AVE above 0.50 indicates that a construct's indicators share more variance with the construct than with error, supporting indicator convergence and reliability; because AVE excludes systematic error, it is not, on its own, a test of validity in the broader sense. We therefore report it as evidence of convergence and reliability rather than as proof of convergent validity.</w:t>
      </w:r>
    </w:p>
    <w:p w14:paraId="1C824C0E" w14:textId="77777777" w:rsidR="0069183E" w:rsidRDefault="0069183E" w:rsidP="0069183E">
      <w:pPr>
        <w:spacing w:line="360" w:lineRule="auto"/>
        <w:ind w:firstLine="426"/>
        <w:jc w:val="both"/>
        <w:rPr>
          <w:color w:val="000000" w:themeColor="text1"/>
        </w:rPr>
      </w:pPr>
      <w:r>
        <w:t>Because the data are self-reported through a single instrument, common method bias was assessed using multiple procedures rather than a single test. Procedurally, respondents were assured of anonymity, predictor and criterion items were separated, and validated scales were used. Statistically, Harman's single-factor test returned a first unrotated factor accounting for 31.4 percent of variance (below the 50 percent threshold); however, because Harman's test is widely regarded as insensitive, and indeed Podsakoff et al. (2003) caution against relying on it, we do not treat it as sufficient. We additionally conducted a full collinearity assessment using construct-level variance inflation factors (Kock, 2015); evaluated against the conservative 3.3 threshold, the model showed no evidence of method-induced collinearity. The low inter-construct HTMT values reported below provide convergent evidence that the constructs are empirically distinct rather than method artefacts. Where a theoretically unrelated marker variable or a common-latent-factor specification is available, either can further corroborate this assessment; we report the full-collinearity test as the primary post-hoc diagnostic and interpret the evidence cautiously rather than treating method bias as fully ruled out.</w:t>
      </w:r>
    </w:p>
    <w:p w14:paraId="4DAC741A" w14:textId="77777777" w:rsidR="0069183E" w:rsidRDefault="0069183E" w:rsidP="0069183E">
      <w:pPr>
        <w:spacing w:line="360" w:lineRule="auto"/>
        <w:ind w:firstLine="426"/>
        <w:jc w:val="both"/>
        <w:rPr>
          <w:color w:val="000000" w:themeColor="text1"/>
        </w:rPr>
      </w:pPr>
      <w:proofErr w:type="spellStart"/>
      <w:proofErr w:type="spellEnd"/>
      <w:proofErr w:type="spellStart"/>
      <w:proofErr w:type="spellEnd"/>
      <w:r>
        <w:t>Discriminant validity was evaluated using the heterotrait-monotrait (HTMT) ratio of correlations, now standard practice in PLS-SEM (Henseler et al., 2015). All HTMT values fell below the conservative 0.85 threshold, the highest being 0.814 for the UX-UE pair, confirming that the four constructs are empirically distinct. The strong but sub-threshold UX-UE association is consistent with Proposition 3, namely that engagement and experience are complementary rather than redundant. The HTMT matrix is reported in Table 4 and also serves as the construct-level association matrix for the structural analysis.</w:t>
      </w:r>
    </w:p>
    <w:p w14:paraId="58CA10C4" w14:textId="1EA0E448" w:rsidR="003C57F3" w:rsidRPr="006D3229" w:rsidRDefault="004653A9" w:rsidP="005A1FB3">
      <w:pPr>
        <w:spacing w:line="360" w:lineRule="auto"/>
        <w:jc w:val="both"/>
        <w:rPr>
          <w:b/>
          <w:bCs/>
          <w:i/>
          <w:iCs/>
          <w:color w:val="000000" w:themeColor="text1"/>
        </w:rPr>
      </w:pPr>
      <w:r>
        <w:t>Table 3. Reliability and Convergent-Convergence Statistics (Standardised Loadings, Cronbach's Alpha, Composite Reliability, and AVE)</w:t>
      </w:r>
    </w:p>
    <w:tbl>
      <w:tblPr>
        <w:tblW w:w="4590" w:type="pct"/>
        <w:tblCellSpacing w:w="15" w:type="dxa"/>
        <w:tblCellMar>
          <w:top w:w="15" w:type="dxa"/>
          <w:left w:w="15" w:type="dxa"/>
          <w:bottom w:w="15" w:type="dxa"/>
          <w:right w:w="15" w:type="dxa"/>
        </w:tblCellMar>
        <w:tblLook w:val="04A0" w:firstRow="1" w:lastRow="0" w:firstColumn="1" w:lastColumn="0" w:noHBand="0" w:noVBand="1"/>
      </w:tblPr>
      <w:tblGrid>
        <w:gridCol w:w="1330"/>
        <w:gridCol w:w="1149"/>
        <w:gridCol w:w="993"/>
        <w:gridCol w:w="1237"/>
        <w:gridCol w:w="900"/>
        <w:gridCol w:w="1427"/>
        <w:gridCol w:w="620"/>
        <w:gridCol w:w="630"/>
      </w:tblGrid>
      <w:tr w:rsidR="00EB6D56" w:rsidRPr="003D7AFA" w14:paraId="1034B077" w14:textId="63BE781C" w:rsidTr="005E6819">
        <w:trPr>
          <w:cantSplit/>
          <w:tblHeader/>
          <w:tblCellSpacing w:w="15" w:type="dxa"/>
        </w:trPr>
        <w:tc>
          <w:tcPr>
            <w:tcW w:w="4164" w:type="pct"/>
            <w:gridSpan w:val="6"/>
            <w:tcBorders>
              <w:top w:val="nil"/>
              <w:left w:val="nil"/>
              <w:bottom w:val="single" w:sz="4" w:space="0" w:color="333333"/>
              <w:right w:val="nil"/>
            </w:tcBorders>
            <w:tcMar>
              <w:top w:w="60" w:type="dxa"/>
              <w:left w:w="0" w:type="dxa"/>
              <w:bottom w:w="60" w:type="dxa"/>
              <w:right w:w="120" w:type="dxa"/>
            </w:tcMar>
            <w:vAlign w:val="bottom"/>
            <w:hideMark/>
          </w:tcPr>
          <w:p w14:paraId="50E22F12" w14:textId="77777777" w:rsidR="00B31225" w:rsidRPr="003D7AFA" w:rsidRDefault="00B31225" w:rsidP="003D7AFA">
            <w:pPr>
              <w:jc w:val="both"/>
              <w:rPr>
                <w:b/>
                <w:bCs/>
                <w:i/>
                <w:iCs/>
                <w:color w:val="000000" w:themeColor="text1"/>
                <w:sz w:val="20"/>
                <w:szCs w:val="20"/>
              </w:rPr>
            </w:pPr>
            <w:r w:rsidRPr="003D7AFA">
              <w:rPr>
                <w:b/>
                <w:bCs/>
                <w:i/>
                <w:iCs/>
                <w:color w:val="000000" w:themeColor="text1"/>
                <w:sz w:val="20"/>
                <w:szCs w:val="20"/>
              </w:rPr>
              <w:t>Factor Loadings</w:t>
            </w:r>
          </w:p>
        </w:tc>
        <w:tc>
          <w:tcPr>
            <w:tcW w:w="384" w:type="pct"/>
            <w:tcBorders>
              <w:top w:val="nil"/>
              <w:left w:val="nil"/>
              <w:bottom w:val="single" w:sz="4" w:space="0" w:color="333333"/>
              <w:right w:val="nil"/>
            </w:tcBorders>
          </w:tcPr>
          <w:p w14:paraId="038FAA27" w14:textId="77777777" w:rsidR="00B31225" w:rsidRPr="003D7AFA" w:rsidRDefault="00B31225" w:rsidP="003D7AFA">
            <w:pPr>
              <w:jc w:val="both"/>
              <w:rPr>
                <w:b/>
                <w:bCs/>
                <w:i/>
                <w:iCs/>
                <w:color w:val="000000" w:themeColor="text1"/>
                <w:sz w:val="20"/>
                <w:szCs w:val="20"/>
              </w:rPr>
            </w:pPr>
          </w:p>
        </w:tc>
        <w:tc>
          <w:tcPr>
            <w:tcW w:w="380" w:type="pct"/>
            <w:tcBorders>
              <w:top w:val="nil"/>
              <w:left w:val="nil"/>
              <w:bottom w:val="single" w:sz="4" w:space="0" w:color="333333"/>
              <w:right w:val="nil"/>
            </w:tcBorders>
          </w:tcPr>
          <w:p w14:paraId="1D12B180" w14:textId="77777777" w:rsidR="00B31225" w:rsidRPr="003D7AFA" w:rsidRDefault="00B31225" w:rsidP="003D7AFA">
            <w:pPr>
              <w:jc w:val="both"/>
              <w:rPr>
                <w:b/>
                <w:bCs/>
                <w:i/>
                <w:iCs/>
                <w:color w:val="000000" w:themeColor="text1"/>
                <w:sz w:val="20"/>
                <w:szCs w:val="20"/>
              </w:rPr>
            </w:pPr>
          </w:p>
        </w:tc>
      </w:tr>
      <w:tr w:rsidR="005E6819" w:rsidRPr="003D7AFA" w14:paraId="7EE631E7" w14:textId="7130417B" w:rsidTr="005E6819">
        <w:trPr>
          <w:cantSplit/>
          <w:tblHeader/>
          <w:tblCellSpacing w:w="15" w:type="dxa"/>
        </w:trPr>
        <w:tc>
          <w:tcPr>
            <w:tcW w:w="775" w:type="pct"/>
            <w:tcBorders>
              <w:top w:val="nil"/>
              <w:left w:val="nil"/>
              <w:bottom w:val="single" w:sz="4" w:space="0" w:color="333333"/>
              <w:right w:val="nil"/>
            </w:tcBorders>
            <w:tcMar>
              <w:top w:w="60" w:type="dxa"/>
              <w:left w:w="120" w:type="dxa"/>
              <w:bottom w:w="60" w:type="dxa"/>
              <w:right w:w="120" w:type="dxa"/>
            </w:tcMar>
            <w:vAlign w:val="center"/>
            <w:hideMark/>
          </w:tcPr>
          <w:p w14:paraId="5062806C"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Factor</w:t>
            </w:r>
          </w:p>
        </w:tc>
        <w:tc>
          <w:tcPr>
            <w:tcW w:w="675" w:type="pct"/>
            <w:tcBorders>
              <w:top w:val="nil"/>
              <w:left w:val="nil"/>
              <w:bottom w:val="single" w:sz="4" w:space="0" w:color="333333"/>
              <w:right w:val="nil"/>
            </w:tcBorders>
            <w:tcMar>
              <w:top w:w="60" w:type="dxa"/>
              <w:left w:w="120" w:type="dxa"/>
              <w:bottom w:w="60" w:type="dxa"/>
              <w:right w:w="120" w:type="dxa"/>
            </w:tcMar>
            <w:vAlign w:val="center"/>
            <w:hideMark/>
          </w:tcPr>
          <w:p w14:paraId="6DE59C1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Indicator</w:t>
            </w:r>
          </w:p>
        </w:tc>
        <w:tc>
          <w:tcPr>
            <w:tcW w:w="581" w:type="pct"/>
            <w:tcBorders>
              <w:top w:val="nil"/>
              <w:left w:val="nil"/>
              <w:bottom w:val="single" w:sz="4" w:space="0" w:color="333333"/>
              <w:right w:val="nil"/>
            </w:tcBorders>
            <w:tcMar>
              <w:top w:w="60" w:type="dxa"/>
              <w:left w:w="120" w:type="dxa"/>
              <w:bottom w:w="60" w:type="dxa"/>
              <w:right w:w="120" w:type="dxa"/>
            </w:tcMar>
            <w:vAlign w:val="center"/>
            <w:hideMark/>
          </w:tcPr>
          <w:p w14:paraId="1CA28EB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Estimate</w:t>
            </w:r>
          </w:p>
        </w:tc>
        <w:tc>
          <w:tcPr>
            <w:tcW w:w="728" w:type="pct"/>
            <w:tcBorders>
              <w:top w:val="nil"/>
              <w:left w:val="nil"/>
              <w:bottom w:val="single" w:sz="4" w:space="0" w:color="333333"/>
              <w:right w:val="nil"/>
            </w:tcBorders>
            <w:tcMar>
              <w:top w:w="60" w:type="dxa"/>
              <w:left w:w="120" w:type="dxa"/>
              <w:bottom w:w="60" w:type="dxa"/>
              <w:right w:w="120" w:type="dxa"/>
            </w:tcMar>
            <w:vAlign w:val="center"/>
          </w:tcPr>
          <w:p w14:paraId="234A4406" w14:textId="30A82AD1" w:rsidR="00B31225" w:rsidRPr="003D7AFA" w:rsidRDefault="00B31225" w:rsidP="00B31225">
            <w:pPr>
              <w:jc w:val="both"/>
              <w:rPr>
                <w:b/>
                <w:bCs/>
                <w:i/>
                <w:iCs/>
                <w:color w:val="000000" w:themeColor="text1"/>
                <w:sz w:val="20"/>
                <w:szCs w:val="20"/>
              </w:rPr>
            </w:pPr>
            <w:r w:rsidRPr="00B31225">
              <w:rPr>
                <w:b/>
                <w:bCs/>
                <w:i/>
                <w:iCs/>
                <w:color w:val="000000" w:themeColor="text1"/>
                <w:sz w:val="20"/>
                <w:szCs w:val="20"/>
              </w:rPr>
              <w:t xml:space="preserve">Cronbach’s </w:t>
            </w:r>
            <w:r>
              <w:rPr>
                <w:b/>
                <w:bCs/>
                <w:i/>
                <w:iCs/>
                <w:color w:val="000000" w:themeColor="text1"/>
                <w:sz w:val="20"/>
                <w:szCs w:val="20"/>
              </w:rPr>
              <w:t>A</w:t>
            </w:r>
            <w:r w:rsidRPr="00B31225">
              <w:rPr>
                <w:b/>
                <w:bCs/>
                <w:i/>
                <w:iCs/>
                <w:color w:val="000000" w:themeColor="text1"/>
                <w:sz w:val="20"/>
                <w:szCs w:val="20"/>
              </w:rPr>
              <w:t>lpha</w:t>
            </w:r>
          </w:p>
        </w:tc>
        <w:tc>
          <w:tcPr>
            <w:tcW w:w="525" w:type="pct"/>
            <w:tcBorders>
              <w:top w:val="nil"/>
              <w:left w:val="nil"/>
              <w:bottom w:val="single" w:sz="4" w:space="0" w:color="333333"/>
              <w:right w:val="nil"/>
            </w:tcBorders>
            <w:tcMar>
              <w:top w:w="60" w:type="dxa"/>
              <w:left w:w="120" w:type="dxa"/>
              <w:bottom w:w="60" w:type="dxa"/>
              <w:right w:w="120" w:type="dxa"/>
            </w:tcMar>
            <w:vAlign w:val="center"/>
          </w:tcPr>
          <w:p w14:paraId="73205479" w14:textId="0E7685EF" w:rsidR="00B31225" w:rsidRPr="003D7AFA" w:rsidRDefault="00B31225" w:rsidP="00B31225">
            <w:pPr>
              <w:jc w:val="both"/>
              <w:rPr>
                <w:b/>
                <w:bCs/>
                <w:i/>
                <w:iCs/>
                <w:color w:val="000000" w:themeColor="text1"/>
                <w:sz w:val="20"/>
                <w:szCs w:val="20"/>
              </w:rPr>
            </w:pPr>
            <w:r>
              <w:rPr>
                <w:b/>
                <w:bCs/>
                <w:i/>
                <w:iCs/>
                <w:color w:val="000000" w:themeColor="text1"/>
                <w:sz w:val="20"/>
                <w:szCs w:val="20"/>
              </w:rPr>
              <w:t>AVE</w:t>
            </w:r>
          </w:p>
        </w:tc>
        <w:tc>
          <w:tcPr>
            <w:tcW w:w="789" w:type="pct"/>
            <w:tcBorders>
              <w:top w:val="nil"/>
              <w:left w:val="nil"/>
              <w:bottom w:val="single" w:sz="4" w:space="0" w:color="333333"/>
              <w:right w:val="nil"/>
            </w:tcBorders>
            <w:tcMar>
              <w:top w:w="60" w:type="dxa"/>
              <w:left w:w="120" w:type="dxa"/>
              <w:bottom w:w="60" w:type="dxa"/>
              <w:right w:w="120" w:type="dxa"/>
            </w:tcMar>
            <w:vAlign w:val="center"/>
          </w:tcPr>
          <w:p w14:paraId="3A558BEF" w14:textId="20F86788"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SE</w:t>
            </w:r>
          </w:p>
        </w:tc>
        <w:tc>
          <w:tcPr>
            <w:tcW w:w="384" w:type="pct"/>
            <w:tcBorders>
              <w:top w:val="nil"/>
              <w:left w:val="nil"/>
              <w:bottom w:val="single" w:sz="4" w:space="0" w:color="333333"/>
              <w:right w:val="nil"/>
            </w:tcBorders>
            <w:vAlign w:val="center"/>
          </w:tcPr>
          <w:p w14:paraId="63654987" w14:textId="74A88AE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Z</w:t>
            </w:r>
          </w:p>
        </w:tc>
        <w:tc>
          <w:tcPr>
            <w:tcW w:w="380" w:type="pct"/>
            <w:tcBorders>
              <w:top w:val="nil"/>
              <w:left w:val="nil"/>
              <w:bottom w:val="single" w:sz="4" w:space="0" w:color="333333"/>
              <w:right w:val="nil"/>
            </w:tcBorders>
            <w:vAlign w:val="center"/>
          </w:tcPr>
          <w:p w14:paraId="634CFE8C" w14:textId="00E55F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p</w:t>
            </w:r>
          </w:p>
        </w:tc>
      </w:tr>
      <w:tr w:rsidR="00EB6D56" w:rsidRPr="003D7AFA" w14:paraId="19695BF8" w14:textId="1BCE2C3C"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6015623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Brand Satisfaction</w:t>
            </w:r>
          </w:p>
        </w:tc>
        <w:tc>
          <w:tcPr>
            <w:tcW w:w="675" w:type="pct"/>
            <w:tcBorders>
              <w:top w:val="nil"/>
              <w:left w:val="nil"/>
              <w:bottom w:val="nil"/>
              <w:right w:val="nil"/>
            </w:tcBorders>
            <w:tcMar>
              <w:top w:w="120" w:type="dxa"/>
              <w:left w:w="120" w:type="dxa"/>
              <w:bottom w:w="60" w:type="dxa"/>
              <w:right w:w="120" w:type="dxa"/>
            </w:tcMar>
            <w:hideMark/>
          </w:tcPr>
          <w:p w14:paraId="2F654553" w14:textId="77777777" w:rsidR="00EB6D56" w:rsidRPr="003D7AFA" w:rsidRDefault="00EB6D56" w:rsidP="00B31225">
            <w:pPr>
              <w:jc w:val="both"/>
              <w:rPr>
                <w:b/>
                <w:bCs/>
                <w:i/>
                <w:iCs/>
                <w:color w:val="000000" w:themeColor="text1"/>
                <w:sz w:val="20"/>
                <w:szCs w:val="20"/>
              </w:rPr>
            </w:pPr>
            <w:r>
              <w:t>BSAT_1</w:t>
            </w:r>
          </w:p>
        </w:tc>
        <w:tc>
          <w:tcPr>
            <w:tcW w:w="581" w:type="pct"/>
            <w:tcBorders>
              <w:top w:val="nil"/>
              <w:left w:val="nil"/>
              <w:bottom w:val="nil"/>
              <w:right w:val="nil"/>
            </w:tcBorders>
            <w:tcMar>
              <w:top w:w="120" w:type="dxa"/>
              <w:left w:w="120" w:type="dxa"/>
              <w:bottom w:w="30" w:type="dxa"/>
              <w:right w:w="300" w:type="dxa"/>
            </w:tcMar>
            <w:hideMark/>
          </w:tcPr>
          <w:p w14:paraId="5B2152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val="restart"/>
            <w:tcBorders>
              <w:top w:val="nil"/>
              <w:left w:val="nil"/>
              <w:right w:val="nil"/>
            </w:tcBorders>
            <w:tcMar>
              <w:top w:w="120" w:type="dxa"/>
              <w:left w:w="120" w:type="dxa"/>
              <w:bottom w:w="30" w:type="dxa"/>
              <w:right w:w="300" w:type="dxa"/>
            </w:tcMar>
          </w:tcPr>
          <w:p w14:paraId="59EF6663" w14:textId="77777777" w:rsidR="00EB6D56" w:rsidRDefault="00EB6D56" w:rsidP="00B31225">
            <w:pPr>
              <w:jc w:val="center"/>
              <w:rPr>
                <w:b/>
                <w:bCs/>
                <w:i/>
                <w:iCs/>
                <w:color w:val="000000" w:themeColor="text1"/>
                <w:sz w:val="20"/>
                <w:szCs w:val="20"/>
              </w:rPr>
            </w:pPr>
          </w:p>
          <w:p w14:paraId="07CF3E9D" w14:textId="77777777" w:rsidR="00EB6D56" w:rsidRDefault="00EB6D56" w:rsidP="00B31225">
            <w:pPr>
              <w:jc w:val="center"/>
              <w:rPr>
                <w:b/>
                <w:bCs/>
                <w:i/>
                <w:iCs/>
                <w:color w:val="000000" w:themeColor="text1"/>
                <w:sz w:val="20"/>
                <w:szCs w:val="20"/>
              </w:rPr>
            </w:pPr>
          </w:p>
          <w:p w14:paraId="3A580ACD" w14:textId="77777777" w:rsidR="00EB6D56" w:rsidRDefault="00EB6D56" w:rsidP="00B31225">
            <w:pPr>
              <w:jc w:val="center"/>
              <w:rPr>
                <w:b/>
                <w:bCs/>
                <w:i/>
                <w:iCs/>
                <w:color w:val="000000" w:themeColor="text1"/>
                <w:sz w:val="20"/>
                <w:szCs w:val="20"/>
              </w:rPr>
            </w:pPr>
          </w:p>
          <w:p w14:paraId="285C4314" w14:textId="2357A8EE" w:rsidR="00EB6D56" w:rsidRPr="003D7AFA" w:rsidRDefault="00EB6D56" w:rsidP="00B31225">
            <w:pPr>
              <w:rPr>
                <w:b/>
                <w:bCs/>
                <w:i/>
                <w:iCs/>
                <w:color w:val="000000" w:themeColor="text1"/>
                <w:sz w:val="20"/>
                <w:szCs w:val="20"/>
              </w:rPr>
            </w:pPr>
            <w:r>
              <w:rPr>
                <w:b/>
                <w:bCs/>
                <w:i/>
                <w:iCs/>
                <w:color w:val="000000" w:themeColor="text1"/>
                <w:sz w:val="20"/>
                <w:szCs w:val="20"/>
              </w:rPr>
              <w:t>0.970</w:t>
            </w:r>
          </w:p>
        </w:tc>
        <w:tc>
          <w:tcPr>
            <w:tcW w:w="525" w:type="pct"/>
            <w:vMerge w:val="restart"/>
            <w:tcBorders>
              <w:top w:val="nil"/>
              <w:left w:val="nil"/>
              <w:right w:val="nil"/>
            </w:tcBorders>
            <w:tcMar>
              <w:top w:w="120" w:type="dxa"/>
              <w:left w:w="120" w:type="dxa"/>
              <w:bottom w:w="30" w:type="dxa"/>
              <w:right w:w="300" w:type="dxa"/>
            </w:tcMar>
          </w:tcPr>
          <w:p w14:paraId="15F71C0C" w14:textId="77777777" w:rsidR="00EB6D56" w:rsidRDefault="00EB6D56" w:rsidP="00B31225">
            <w:pPr>
              <w:jc w:val="both"/>
              <w:rPr>
                <w:b/>
                <w:bCs/>
                <w:i/>
                <w:iCs/>
                <w:color w:val="000000" w:themeColor="text1"/>
                <w:sz w:val="20"/>
                <w:szCs w:val="20"/>
              </w:rPr>
            </w:pPr>
          </w:p>
          <w:p w14:paraId="284F8A2D" w14:textId="77777777" w:rsidR="00EB6D56" w:rsidRPr="00EB6D56" w:rsidRDefault="00EB6D56" w:rsidP="00EB6D56">
            <w:pPr>
              <w:rPr>
                <w:sz w:val="20"/>
                <w:szCs w:val="20"/>
              </w:rPr>
            </w:pPr>
          </w:p>
          <w:p w14:paraId="2BD5FA9E" w14:textId="77777777" w:rsidR="00EB6D56" w:rsidRDefault="00EB6D56" w:rsidP="00EB6D56">
            <w:pPr>
              <w:rPr>
                <w:b/>
                <w:bCs/>
                <w:i/>
                <w:iCs/>
                <w:color w:val="000000" w:themeColor="text1"/>
                <w:sz w:val="20"/>
                <w:szCs w:val="20"/>
              </w:rPr>
            </w:pPr>
          </w:p>
          <w:p w14:paraId="76861F18" w14:textId="79EE8A23" w:rsidR="00EB6D56" w:rsidRPr="003D7AFA" w:rsidRDefault="00EB6D56" w:rsidP="00EB6D56">
            <w:pPr>
              <w:rPr>
                <w:sz w:val="20"/>
                <w:szCs w:val="20"/>
              </w:rPr>
            </w:pPr>
            <w:r w:rsidRPr="00EB6D56">
              <w:rPr>
                <w:b/>
                <w:bCs/>
                <w:i/>
                <w:iCs/>
                <w:color w:val="000000" w:themeColor="text1"/>
                <w:sz w:val="20"/>
                <w:szCs w:val="20"/>
              </w:rPr>
              <w:t>0.865</w:t>
            </w:r>
          </w:p>
        </w:tc>
        <w:tc>
          <w:tcPr>
            <w:tcW w:w="789" w:type="pct"/>
            <w:tcBorders>
              <w:top w:val="nil"/>
              <w:left w:val="nil"/>
              <w:bottom w:val="nil"/>
              <w:right w:val="nil"/>
            </w:tcBorders>
            <w:tcMar>
              <w:top w:w="120" w:type="dxa"/>
              <w:left w:w="120" w:type="dxa"/>
              <w:bottom w:w="30" w:type="dxa"/>
              <w:right w:w="300" w:type="dxa"/>
            </w:tcMar>
          </w:tcPr>
          <w:p w14:paraId="1263CAD7" w14:textId="7A979D5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27FDC01F" w14:textId="257B38B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21.8</w:t>
            </w:r>
          </w:p>
        </w:tc>
        <w:tc>
          <w:tcPr>
            <w:tcW w:w="380" w:type="pct"/>
            <w:tcBorders>
              <w:top w:val="nil"/>
              <w:left w:val="nil"/>
              <w:bottom w:val="nil"/>
              <w:right w:val="nil"/>
            </w:tcBorders>
          </w:tcPr>
          <w:p w14:paraId="4F83B870" w14:textId="033AC4E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A204A61" w14:textId="0B4774D6" w:rsidTr="005E6819">
        <w:trPr>
          <w:cantSplit/>
          <w:tblCellSpacing w:w="15" w:type="dxa"/>
        </w:trPr>
        <w:tc>
          <w:tcPr>
            <w:tcW w:w="775" w:type="pct"/>
            <w:vMerge/>
            <w:tcBorders>
              <w:top w:val="nil"/>
              <w:left w:val="nil"/>
              <w:bottom w:val="nil"/>
              <w:right w:val="nil"/>
            </w:tcBorders>
            <w:vAlign w:val="center"/>
            <w:hideMark/>
          </w:tcPr>
          <w:p w14:paraId="79FA05F8"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C3E2E0" w14:textId="77777777" w:rsidR="00EB6D56" w:rsidRPr="003D7AFA" w:rsidRDefault="00EB6D56" w:rsidP="00B31225">
            <w:pPr>
              <w:jc w:val="both"/>
              <w:rPr>
                <w:b/>
                <w:bCs/>
                <w:i/>
                <w:iCs/>
                <w:color w:val="000000" w:themeColor="text1"/>
                <w:sz w:val="20"/>
                <w:szCs w:val="20"/>
              </w:rPr>
            </w:pPr>
            <w:r>
              <w:t>BSAT_2</w:t>
            </w:r>
          </w:p>
        </w:tc>
        <w:tc>
          <w:tcPr>
            <w:tcW w:w="581" w:type="pct"/>
            <w:tcBorders>
              <w:top w:val="nil"/>
              <w:left w:val="nil"/>
              <w:bottom w:val="nil"/>
              <w:right w:val="nil"/>
            </w:tcBorders>
            <w:tcMar>
              <w:top w:w="30" w:type="dxa"/>
              <w:left w:w="120" w:type="dxa"/>
              <w:bottom w:w="30" w:type="dxa"/>
              <w:right w:w="300" w:type="dxa"/>
            </w:tcMar>
            <w:hideMark/>
          </w:tcPr>
          <w:p w14:paraId="00E34E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0.741</w:t>
            </w:r>
          </w:p>
        </w:tc>
        <w:tc>
          <w:tcPr>
            <w:tcW w:w="728" w:type="pct"/>
            <w:vMerge/>
            <w:tcBorders>
              <w:left w:val="nil"/>
              <w:right w:val="nil"/>
            </w:tcBorders>
            <w:tcMar>
              <w:top w:w="30" w:type="dxa"/>
              <w:left w:w="120" w:type="dxa"/>
              <w:bottom w:w="30" w:type="dxa"/>
              <w:right w:w="300" w:type="dxa"/>
            </w:tcMar>
          </w:tcPr>
          <w:p w14:paraId="2B47FF10" w14:textId="5C6DC91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410CBE1" w14:textId="103856F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6A2529" w14:textId="009FB8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0.0337</w:t>
            </w:r>
          </w:p>
        </w:tc>
        <w:tc>
          <w:tcPr>
            <w:tcW w:w="384" w:type="pct"/>
            <w:tcBorders>
              <w:top w:val="nil"/>
              <w:left w:val="nil"/>
              <w:bottom w:val="nil"/>
              <w:right w:val="nil"/>
            </w:tcBorders>
          </w:tcPr>
          <w:p w14:paraId="01341451" w14:textId="0A80068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4F59E88B" w14:textId="6C884D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A982BA" w14:textId="473AFC2E" w:rsidTr="005E6819">
        <w:trPr>
          <w:cantSplit/>
          <w:tblCellSpacing w:w="15" w:type="dxa"/>
        </w:trPr>
        <w:tc>
          <w:tcPr>
            <w:tcW w:w="775" w:type="pct"/>
            <w:vMerge/>
            <w:tcBorders>
              <w:top w:val="nil"/>
              <w:left w:val="nil"/>
              <w:bottom w:val="nil"/>
              <w:right w:val="nil"/>
            </w:tcBorders>
            <w:vAlign w:val="center"/>
            <w:hideMark/>
          </w:tcPr>
          <w:p w14:paraId="73D2616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F0E0F3" w14:textId="77777777" w:rsidR="00EB6D56" w:rsidRPr="003D7AFA" w:rsidRDefault="00EB6D56" w:rsidP="00B31225">
            <w:pPr>
              <w:jc w:val="both"/>
              <w:rPr>
                <w:b/>
                <w:bCs/>
                <w:i/>
                <w:iCs/>
                <w:color w:val="000000" w:themeColor="text1"/>
                <w:sz w:val="20"/>
                <w:szCs w:val="20"/>
              </w:rPr>
            </w:pPr>
            <w:r>
              <w:t>BSAT_3</w:t>
            </w:r>
          </w:p>
        </w:tc>
        <w:tc>
          <w:tcPr>
            <w:tcW w:w="581" w:type="pct"/>
            <w:tcBorders>
              <w:top w:val="nil"/>
              <w:left w:val="nil"/>
              <w:bottom w:val="nil"/>
              <w:right w:val="nil"/>
            </w:tcBorders>
            <w:tcMar>
              <w:top w:w="30" w:type="dxa"/>
              <w:left w:w="120" w:type="dxa"/>
              <w:bottom w:w="30" w:type="dxa"/>
              <w:right w:w="300" w:type="dxa"/>
            </w:tcMar>
            <w:hideMark/>
          </w:tcPr>
          <w:p w14:paraId="7BF2AD6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0.721</w:t>
            </w:r>
          </w:p>
        </w:tc>
        <w:tc>
          <w:tcPr>
            <w:tcW w:w="728" w:type="pct"/>
            <w:vMerge/>
            <w:tcBorders>
              <w:left w:val="nil"/>
              <w:right w:val="nil"/>
            </w:tcBorders>
            <w:tcMar>
              <w:top w:w="30" w:type="dxa"/>
              <w:left w:w="120" w:type="dxa"/>
              <w:bottom w:w="30" w:type="dxa"/>
              <w:right w:w="300" w:type="dxa"/>
            </w:tcMar>
          </w:tcPr>
          <w:p w14:paraId="27F35489" w14:textId="49946B2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FED905" w14:textId="05CDF749"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7D87913" w14:textId="441C63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7583CBDC" w14:textId="1026D41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3CE948D4" w14:textId="3CA3E7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55EE1FB" w14:textId="5C9BB7DE" w:rsidTr="005E6819">
        <w:trPr>
          <w:cantSplit/>
          <w:tblCellSpacing w:w="15" w:type="dxa"/>
        </w:trPr>
        <w:tc>
          <w:tcPr>
            <w:tcW w:w="775" w:type="pct"/>
            <w:vMerge/>
            <w:tcBorders>
              <w:top w:val="nil"/>
              <w:left w:val="nil"/>
              <w:bottom w:val="nil"/>
              <w:right w:val="nil"/>
            </w:tcBorders>
            <w:vAlign w:val="center"/>
            <w:hideMark/>
          </w:tcPr>
          <w:p w14:paraId="1008F5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2C23111" w14:textId="77777777" w:rsidR="00EB6D56" w:rsidRPr="003D7AFA" w:rsidRDefault="00EB6D56" w:rsidP="00B31225">
            <w:pPr>
              <w:jc w:val="both"/>
              <w:rPr>
                <w:b/>
                <w:bCs/>
                <w:i/>
                <w:iCs/>
                <w:color w:val="000000" w:themeColor="text1"/>
                <w:sz w:val="20"/>
                <w:szCs w:val="20"/>
              </w:rPr>
            </w:pPr>
            <w:r>
              <w:t>BSAT_4</w:t>
            </w:r>
          </w:p>
        </w:tc>
        <w:tc>
          <w:tcPr>
            <w:tcW w:w="581" w:type="pct"/>
            <w:tcBorders>
              <w:top w:val="nil"/>
              <w:left w:val="nil"/>
              <w:bottom w:val="nil"/>
              <w:right w:val="nil"/>
            </w:tcBorders>
            <w:tcMar>
              <w:top w:w="30" w:type="dxa"/>
              <w:left w:w="120" w:type="dxa"/>
              <w:bottom w:w="30" w:type="dxa"/>
              <w:right w:w="300" w:type="dxa"/>
            </w:tcMar>
            <w:hideMark/>
          </w:tcPr>
          <w:p w14:paraId="2EE12E2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0.719</w:t>
            </w:r>
          </w:p>
        </w:tc>
        <w:tc>
          <w:tcPr>
            <w:tcW w:w="728" w:type="pct"/>
            <w:vMerge/>
            <w:tcBorders>
              <w:left w:val="nil"/>
              <w:right w:val="nil"/>
            </w:tcBorders>
            <w:tcMar>
              <w:top w:w="30" w:type="dxa"/>
              <w:left w:w="120" w:type="dxa"/>
              <w:bottom w:w="30" w:type="dxa"/>
              <w:right w:w="300" w:type="dxa"/>
            </w:tcMar>
          </w:tcPr>
          <w:p w14:paraId="0FB41A89" w14:textId="06C20F6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B6AAC20" w14:textId="4945686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659FD80" w14:textId="76F9BA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0.0335</w:t>
            </w:r>
          </w:p>
        </w:tc>
        <w:tc>
          <w:tcPr>
            <w:tcW w:w="384" w:type="pct"/>
            <w:tcBorders>
              <w:top w:val="nil"/>
              <w:left w:val="nil"/>
              <w:bottom w:val="nil"/>
              <w:right w:val="nil"/>
            </w:tcBorders>
          </w:tcPr>
          <w:p w14:paraId="554FA88A" w14:textId="65736329"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CE9AB18" w14:textId="16B006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29392D" w14:textId="0B55A3B2" w:rsidTr="005E6819">
        <w:trPr>
          <w:cantSplit/>
          <w:tblCellSpacing w:w="15" w:type="dxa"/>
        </w:trPr>
        <w:tc>
          <w:tcPr>
            <w:tcW w:w="775" w:type="pct"/>
            <w:vMerge/>
            <w:tcBorders>
              <w:top w:val="nil"/>
              <w:left w:val="nil"/>
              <w:bottom w:val="nil"/>
              <w:right w:val="nil"/>
            </w:tcBorders>
            <w:vAlign w:val="center"/>
            <w:hideMark/>
          </w:tcPr>
          <w:p w14:paraId="741022C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A137999" w14:textId="77777777" w:rsidR="00EB6D56" w:rsidRPr="003D7AFA" w:rsidRDefault="00EB6D56" w:rsidP="00B31225">
            <w:pPr>
              <w:jc w:val="both"/>
              <w:rPr>
                <w:b/>
                <w:bCs/>
                <w:i/>
                <w:iCs/>
                <w:color w:val="000000" w:themeColor="text1"/>
                <w:sz w:val="20"/>
                <w:szCs w:val="20"/>
              </w:rPr>
            </w:pPr>
            <w:r>
              <w:t>BSAT_5</w:t>
            </w:r>
          </w:p>
        </w:tc>
        <w:tc>
          <w:tcPr>
            <w:tcW w:w="581" w:type="pct"/>
            <w:tcBorders>
              <w:top w:val="nil"/>
              <w:left w:val="nil"/>
              <w:bottom w:val="nil"/>
              <w:right w:val="nil"/>
            </w:tcBorders>
            <w:tcMar>
              <w:top w:w="30" w:type="dxa"/>
              <w:left w:w="120" w:type="dxa"/>
              <w:bottom w:w="30" w:type="dxa"/>
              <w:right w:w="300" w:type="dxa"/>
            </w:tcMar>
            <w:hideMark/>
          </w:tcPr>
          <w:p w14:paraId="482CB0B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0.699</w:t>
            </w:r>
          </w:p>
        </w:tc>
        <w:tc>
          <w:tcPr>
            <w:tcW w:w="728" w:type="pct"/>
            <w:vMerge/>
            <w:tcBorders>
              <w:left w:val="nil"/>
              <w:bottom w:val="nil"/>
              <w:right w:val="nil"/>
            </w:tcBorders>
            <w:tcMar>
              <w:top w:w="30" w:type="dxa"/>
              <w:left w:w="120" w:type="dxa"/>
              <w:bottom w:w="30" w:type="dxa"/>
              <w:right w:w="300" w:type="dxa"/>
            </w:tcMar>
          </w:tcPr>
          <w:p w14:paraId="7584E114" w14:textId="5A1C182B"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05BBB2BB" w14:textId="128381ED"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CC46A28" w14:textId="79F6E1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13C92BF3" w14:textId="0F48F0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6F758D52" w14:textId="7C5215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097AB45" w14:textId="0BBB82B2"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683597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Engagement</w:t>
            </w:r>
          </w:p>
        </w:tc>
        <w:tc>
          <w:tcPr>
            <w:tcW w:w="675" w:type="pct"/>
            <w:tcBorders>
              <w:top w:val="nil"/>
              <w:left w:val="nil"/>
              <w:bottom w:val="nil"/>
              <w:right w:val="nil"/>
            </w:tcBorders>
            <w:tcMar>
              <w:top w:w="120" w:type="dxa"/>
              <w:left w:w="120" w:type="dxa"/>
              <w:bottom w:w="60" w:type="dxa"/>
              <w:right w:w="120" w:type="dxa"/>
            </w:tcMar>
            <w:hideMark/>
          </w:tcPr>
          <w:p w14:paraId="080C66E7" w14:textId="77777777" w:rsidR="00EB6D56" w:rsidRPr="003D7AFA" w:rsidRDefault="00EB6D56" w:rsidP="00B31225">
            <w:pPr>
              <w:jc w:val="both"/>
              <w:rPr>
                <w:b/>
                <w:bCs/>
                <w:i/>
                <w:iCs/>
                <w:color w:val="000000" w:themeColor="text1"/>
                <w:sz w:val="20"/>
                <w:szCs w:val="20"/>
              </w:rPr>
            </w:pPr>
            <w:r>
              <w:t>UE_1</w:t>
            </w:r>
          </w:p>
        </w:tc>
        <w:tc>
          <w:tcPr>
            <w:tcW w:w="581" w:type="pct"/>
            <w:tcBorders>
              <w:top w:val="nil"/>
              <w:left w:val="nil"/>
              <w:bottom w:val="nil"/>
              <w:right w:val="nil"/>
            </w:tcBorders>
            <w:tcMar>
              <w:top w:w="120" w:type="dxa"/>
              <w:left w:w="120" w:type="dxa"/>
              <w:bottom w:w="30" w:type="dxa"/>
              <w:right w:w="300" w:type="dxa"/>
            </w:tcMar>
            <w:hideMark/>
          </w:tcPr>
          <w:p w14:paraId="5ED46DA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val="restart"/>
            <w:tcBorders>
              <w:top w:val="nil"/>
              <w:left w:val="nil"/>
              <w:right w:val="nil"/>
            </w:tcBorders>
            <w:tcMar>
              <w:top w:w="120" w:type="dxa"/>
              <w:left w:w="120" w:type="dxa"/>
              <w:bottom w:w="30" w:type="dxa"/>
              <w:right w:w="300" w:type="dxa"/>
            </w:tcMar>
          </w:tcPr>
          <w:p w14:paraId="45FA7CA7" w14:textId="77777777" w:rsidR="00EB6D56" w:rsidRDefault="00EB6D56" w:rsidP="00B31225">
            <w:pPr>
              <w:jc w:val="both"/>
              <w:rPr>
                <w:b/>
                <w:bCs/>
                <w:i/>
                <w:iCs/>
                <w:color w:val="000000" w:themeColor="text1"/>
                <w:sz w:val="20"/>
                <w:szCs w:val="20"/>
              </w:rPr>
            </w:pPr>
          </w:p>
          <w:p w14:paraId="79C48F9F" w14:textId="77777777" w:rsidR="00EB6D56" w:rsidRDefault="00EB6D56" w:rsidP="00B31225">
            <w:pPr>
              <w:jc w:val="both"/>
              <w:rPr>
                <w:b/>
                <w:bCs/>
                <w:i/>
                <w:iCs/>
                <w:color w:val="000000" w:themeColor="text1"/>
                <w:sz w:val="20"/>
                <w:szCs w:val="20"/>
              </w:rPr>
            </w:pPr>
          </w:p>
          <w:p w14:paraId="56591FAB" w14:textId="77777777" w:rsidR="00EB6D56" w:rsidRDefault="00EB6D56" w:rsidP="00B31225">
            <w:pPr>
              <w:jc w:val="both"/>
              <w:rPr>
                <w:b/>
                <w:bCs/>
                <w:i/>
                <w:iCs/>
                <w:color w:val="000000" w:themeColor="text1"/>
                <w:sz w:val="20"/>
                <w:szCs w:val="20"/>
              </w:rPr>
            </w:pPr>
          </w:p>
          <w:p w14:paraId="6A5F341C" w14:textId="77777777" w:rsidR="00EB6D56" w:rsidRDefault="00EB6D56" w:rsidP="00B31225">
            <w:pPr>
              <w:jc w:val="both"/>
              <w:rPr>
                <w:b/>
                <w:bCs/>
                <w:i/>
                <w:iCs/>
                <w:color w:val="000000" w:themeColor="text1"/>
                <w:sz w:val="20"/>
                <w:szCs w:val="20"/>
              </w:rPr>
            </w:pPr>
          </w:p>
          <w:p w14:paraId="15ED6971" w14:textId="77777777" w:rsidR="00EB6D56" w:rsidRDefault="00EB6D56" w:rsidP="00B31225">
            <w:pPr>
              <w:jc w:val="both"/>
              <w:rPr>
                <w:b/>
                <w:bCs/>
                <w:i/>
                <w:iCs/>
                <w:color w:val="000000" w:themeColor="text1"/>
                <w:sz w:val="20"/>
                <w:szCs w:val="20"/>
              </w:rPr>
            </w:pPr>
          </w:p>
          <w:p w14:paraId="2FE03796" w14:textId="77777777" w:rsidR="00EB6D56" w:rsidRDefault="00EB6D56" w:rsidP="00B31225">
            <w:pPr>
              <w:jc w:val="both"/>
              <w:rPr>
                <w:b/>
                <w:bCs/>
                <w:i/>
                <w:iCs/>
                <w:color w:val="000000" w:themeColor="text1"/>
                <w:sz w:val="20"/>
                <w:szCs w:val="20"/>
              </w:rPr>
            </w:pPr>
          </w:p>
          <w:p w14:paraId="167E9ECB" w14:textId="692D6A85" w:rsidR="00EB6D56" w:rsidRPr="003D7AFA" w:rsidRDefault="00EB6D56" w:rsidP="00B31225">
            <w:pPr>
              <w:jc w:val="both"/>
              <w:rPr>
                <w:b/>
                <w:bCs/>
                <w:i/>
                <w:iCs/>
                <w:color w:val="000000" w:themeColor="text1"/>
                <w:sz w:val="20"/>
                <w:szCs w:val="20"/>
              </w:rPr>
            </w:pPr>
            <w:r>
              <w:rPr>
                <w:b/>
                <w:bCs/>
                <w:i/>
                <w:iCs/>
                <w:color w:val="000000" w:themeColor="text1"/>
                <w:sz w:val="20"/>
                <w:szCs w:val="20"/>
              </w:rPr>
              <w:t>0.982</w:t>
            </w:r>
          </w:p>
        </w:tc>
        <w:tc>
          <w:tcPr>
            <w:tcW w:w="525" w:type="pct"/>
            <w:vMerge w:val="restart"/>
            <w:tcBorders>
              <w:top w:val="nil"/>
              <w:left w:val="nil"/>
              <w:right w:val="nil"/>
            </w:tcBorders>
            <w:tcMar>
              <w:top w:w="120" w:type="dxa"/>
              <w:left w:w="120" w:type="dxa"/>
              <w:bottom w:w="30" w:type="dxa"/>
              <w:right w:w="300" w:type="dxa"/>
            </w:tcMar>
          </w:tcPr>
          <w:p w14:paraId="500010A5" w14:textId="77777777" w:rsidR="00EB6D56" w:rsidRDefault="00EB6D56" w:rsidP="00B31225">
            <w:pPr>
              <w:jc w:val="both"/>
              <w:rPr>
                <w:b/>
                <w:bCs/>
                <w:i/>
                <w:iCs/>
                <w:color w:val="000000" w:themeColor="text1"/>
                <w:sz w:val="20"/>
                <w:szCs w:val="20"/>
              </w:rPr>
            </w:pPr>
          </w:p>
          <w:p w14:paraId="5A70DF72" w14:textId="77777777" w:rsidR="00EB6D56" w:rsidRDefault="00EB6D56" w:rsidP="00B31225">
            <w:pPr>
              <w:jc w:val="both"/>
              <w:rPr>
                <w:b/>
                <w:bCs/>
                <w:i/>
                <w:iCs/>
                <w:color w:val="000000" w:themeColor="text1"/>
                <w:sz w:val="20"/>
                <w:szCs w:val="20"/>
              </w:rPr>
            </w:pPr>
          </w:p>
          <w:p w14:paraId="1DCC83A2" w14:textId="77777777" w:rsidR="00EB6D56" w:rsidRDefault="00EB6D56" w:rsidP="00B31225">
            <w:pPr>
              <w:jc w:val="both"/>
              <w:rPr>
                <w:b/>
                <w:bCs/>
                <w:i/>
                <w:iCs/>
                <w:color w:val="000000" w:themeColor="text1"/>
                <w:sz w:val="20"/>
                <w:szCs w:val="20"/>
              </w:rPr>
            </w:pPr>
          </w:p>
          <w:p w14:paraId="1746AEA7" w14:textId="77777777" w:rsidR="00EB6D56" w:rsidRDefault="00EB6D56" w:rsidP="00B31225">
            <w:pPr>
              <w:jc w:val="both"/>
              <w:rPr>
                <w:b/>
                <w:bCs/>
                <w:i/>
                <w:iCs/>
                <w:color w:val="000000" w:themeColor="text1"/>
                <w:sz w:val="20"/>
                <w:szCs w:val="20"/>
              </w:rPr>
            </w:pPr>
          </w:p>
          <w:p w14:paraId="58350EAA" w14:textId="77777777" w:rsidR="00EB6D56" w:rsidRDefault="00EB6D56" w:rsidP="00B31225">
            <w:pPr>
              <w:jc w:val="both"/>
              <w:rPr>
                <w:b/>
                <w:bCs/>
                <w:i/>
                <w:iCs/>
                <w:color w:val="000000" w:themeColor="text1"/>
                <w:sz w:val="20"/>
                <w:szCs w:val="20"/>
              </w:rPr>
            </w:pPr>
          </w:p>
          <w:p w14:paraId="08F811E5" w14:textId="77777777" w:rsidR="00EB6D56" w:rsidRDefault="00EB6D56" w:rsidP="00B31225">
            <w:pPr>
              <w:jc w:val="both"/>
              <w:rPr>
                <w:b/>
                <w:bCs/>
                <w:i/>
                <w:iCs/>
                <w:color w:val="000000" w:themeColor="text1"/>
                <w:sz w:val="20"/>
                <w:szCs w:val="20"/>
              </w:rPr>
            </w:pPr>
          </w:p>
          <w:p w14:paraId="129E9B67" w14:textId="32293E1F" w:rsidR="00EB6D56" w:rsidRPr="003D7AFA" w:rsidRDefault="00EB6D56" w:rsidP="00B31225">
            <w:pPr>
              <w:jc w:val="both"/>
              <w:rPr>
                <w:b/>
                <w:bCs/>
                <w:i/>
                <w:iCs/>
                <w:color w:val="000000" w:themeColor="text1"/>
                <w:sz w:val="20"/>
                <w:szCs w:val="20"/>
              </w:rPr>
            </w:pPr>
            <w:r>
              <w:rPr>
                <w:b/>
                <w:bCs/>
                <w:i/>
                <w:iCs/>
                <w:color w:val="000000" w:themeColor="text1"/>
                <w:sz w:val="20"/>
                <w:szCs w:val="20"/>
              </w:rPr>
              <w:t>0.848</w:t>
            </w:r>
          </w:p>
        </w:tc>
        <w:tc>
          <w:tcPr>
            <w:tcW w:w="789" w:type="pct"/>
            <w:tcBorders>
              <w:top w:val="nil"/>
              <w:left w:val="nil"/>
              <w:bottom w:val="nil"/>
              <w:right w:val="nil"/>
            </w:tcBorders>
            <w:tcMar>
              <w:top w:w="120" w:type="dxa"/>
              <w:left w:w="120" w:type="dxa"/>
              <w:bottom w:w="30" w:type="dxa"/>
              <w:right w:w="300" w:type="dxa"/>
            </w:tcMar>
          </w:tcPr>
          <w:p w14:paraId="69BC8719" w14:textId="7419E3B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0.0322</w:t>
            </w:r>
          </w:p>
        </w:tc>
        <w:tc>
          <w:tcPr>
            <w:tcW w:w="384" w:type="pct"/>
            <w:tcBorders>
              <w:top w:val="nil"/>
              <w:left w:val="nil"/>
              <w:bottom w:val="nil"/>
              <w:right w:val="nil"/>
            </w:tcBorders>
          </w:tcPr>
          <w:p w14:paraId="6B17B1BA" w14:textId="204178F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33919C8A" w14:textId="0ACB3A7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6175DB0" w14:textId="742F249C" w:rsidTr="005E6819">
        <w:trPr>
          <w:cantSplit/>
          <w:tblCellSpacing w:w="15" w:type="dxa"/>
        </w:trPr>
        <w:tc>
          <w:tcPr>
            <w:tcW w:w="775" w:type="pct"/>
            <w:vMerge/>
            <w:tcBorders>
              <w:top w:val="nil"/>
              <w:left w:val="nil"/>
              <w:bottom w:val="nil"/>
              <w:right w:val="nil"/>
            </w:tcBorders>
            <w:vAlign w:val="center"/>
            <w:hideMark/>
          </w:tcPr>
          <w:p w14:paraId="559219BB"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0F20675" w14:textId="77777777" w:rsidR="00EB6D56" w:rsidRPr="003D7AFA" w:rsidRDefault="00EB6D56" w:rsidP="00B31225">
            <w:pPr>
              <w:jc w:val="both"/>
              <w:rPr>
                <w:b/>
                <w:bCs/>
                <w:i/>
                <w:iCs/>
                <w:color w:val="000000" w:themeColor="text1"/>
                <w:sz w:val="20"/>
                <w:szCs w:val="20"/>
              </w:rPr>
            </w:pPr>
            <w:r>
              <w:t>UE_2</w:t>
            </w:r>
          </w:p>
        </w:tc>
        <w:tc>
          <w:tcPr>
            <w:tcW w:w="581" w:type="pct"/>
            <w:tcBorders>
              <w:top w:val="nil"/>
              <w:left w:val="nil"/>
              <w:bottom w:val="nil"/>
              <w:right w:val="nil"/>
            </w:tcBorders>
            <w:tcMar>
              <w:top w:w="30" w:type="dxa"/>
              <w:left w:w="120" w:type="dxa"/>
              <w:bottom w:w="30" w:type="dxa"/>
              <w:right w:w="300" w:type="dxa"/>
            </w:tcMar>
            <w:hideMark/>
          </w:tcPr>
          <w:p w14:paraId="3FEE8E8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0.696</w:t>
            </w:r>
          </w:p>
        </w:tc>
        <w:tc>
          <w:tcPr>
            <w:tcW w:w="728" w:type="pct"/>
            <w:vMerge/>
            <w:tcBorders>
              <w:left w:val="nil"/>
              <w:right w:val="nil"/>
            </w:tcBorders>
            <w:tcMar>
              <w:top w:w="30" w:type="dxa"/>
              <w:left w:w="120" w:type="dxa"/>
              <w:bottom w:w="30" w:type="dxa"/>
              <w:right w:w="300" w:type="dxa"/>
            </w:tcMar>
          </w:tcPr>
          <w:p w14:paraId="3DDF54BF" w14:textId="6FFC8CD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BC2EC98" w14:textId="4DFFF8E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FFB4874" w14:textId="318F5FD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2C6FF929" w14:textId="645CAF2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4F9C63A4" w14:textId="52B8EC5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F5A6238" w14:textId="3DA764DE" w:rsidTr="005E6819">
        <w:trPr>
          <w:cantSplit/>
          <w:tblCellSpacing w:w="15" w:type="dxa"/>
        </w:trPr>
        <w:tc>
          <w:tcPr>
            <w:tcW w:w="775" w:type="pct"/>
            <w:vMerge/>
            <w:tcBorders>
              <w:top w:val="nil"/>
              <w:left w:val="nil"/>
              <w:bottom w:val="nil"/>
              <w:right w:val="nil"/>
            </w:tcBorders>
            <w:vAlign w:val="center"/>
            <w:hideMark/>
          </w:tcPr>
          <w:p w14:paraId="6971F0B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32C9D22" w14:textId="77777777" w:rsidR="00EB6D56" w:rsidRPr="003D7AFA" w:rsidRDefault="00EB6D56" w:rsidP="00B31225">
            <w:pPr>
              <w:jc w:val="both"/>
              <w:rPr>
                <w:b/>
                <w:bCs/>
                <w:i/>
                <w:iCs/>
                <w:color w:val="000000" w:themeColor="text1"/>
                <w:sz w:val="20"/>
                <w:szCs w:val="20"/>
              </w:rPr>
            </w:pPr>
            <w:r>
              <w:t>UE_3</w:t>
            </w:r>
          </w:p>
        </w:tc>
        <w:tc>
          <w:tcPr>
            <w:tcW w:w="581" w:type="pct"/>
            <w:tcBorders>
              <w:top w:val="nil"/>
              <w:left w:val="nil"/>
              <w:bottom w:val="nil"/>
              <w:right w:val="nil"/>
            </w:tcBorders>
            <w:tcMar>
              <w:top w:w="30" w:type="dxa"/>
              <w:left w:w="120" w:type="dxa"/>
              <w:bottom w:w="30" w:type="dxa"/>
              <w:right w:w="300" w:type="dxa"/>
            </w:tcMar>
            <w:hideMark/>
          </w:tcPr>
          <w:p w14:paraId="7194F67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AC0409E" w14:textId="6AB442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7BE44F" w14:textId="7847848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7F28EBA" w14:textId="1B4EEE9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1704762C" w14:textId="3E24DB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59D56DC4" w14:textId="26FDB96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EE22407" w14:textId="6BE0DF3A" w:rsidTr="005E6819">
        <w:trPr>
          <w:cantSplit/>
          <w:tblCellSpacing w:w="15" w:type="dxa"/>
        </w:trPr>
        <w:tc>
          <w:tcPr>
            <w:tcW w:w="775" w:type="pct"/>
            <w:vMerge/>
            <w:tcBorders>
              <w:top w:val="nil"/>
              <w:left w:val="nil"/>
              <w:bottom w:val="nil"/>
              <w:right w:val="nil"/>
            </w:tcBorders>
            <w:vAlign w:val="center"/>
            <w:hideMark/>
          </w:tcPr>
          <w:p w14:paraId="3976C08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BC3FD9E" w14:textId="77777777" w:rsidR="00EB6D56" w:rsidRPr="003D7AFA" w:rsidRDefault="00EB6D56" w:rsidP="00B31225">
            <w:pPr>
              <w:jc w:val="both"/>
              <w:rPr>
                <w:b/>
                <w:bCs/>
                <w:i/>
                <w:iCs/>
                <w:color w:val="000000" w:themeColor="text1"/>
                <w:sz w:val="20"/>
                <w:szCs w:val="20"/>
              </w:rPr>
            </w:pPr>
            <w:r>
              <w:t>UE_4</w:t>
            </w:r>
          </w:p>
        </w:tc>
        <w:tc>
          <w:tcPr>
            <w:tcW w:w="581" w:type="pct"/>
            <w:tcBorders>
              <w:top w:val="nil"/>
              <w:left w:val="nil"/>
              <w:bottom w:val="nil"/>
              <w:right w:val="nil"/>
            </w:tcBorders>
            <w:tcMar>
              <w:top w:w="30" w:type="dxa"/>
              <w:left w:w="120" w:type="dxa"/>
              <w:bottom w:w="30" w:type="dxa"/>
              <w:right w:w="300" w:type="dxa"/>
            </w:tcMar>
            <w:hideMark/>
          </w:tcPr>
          <w:p w14:paraId="48E5475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tcBorders>
              <w:left w:val="nil"/>
              <w:right w:val="nil"/>
            </w:tcBorders>
            <w:tcMar>
              <w:top w:w="30" w:type="dxa"/>
              <w:left w:w="120" w:type="dxa"/>
              <w:bottom w:w="30" w:type="dxa"/>
              <w:right w:w="300" w:type="dxa"/>
            </w:tcMar>
          </w:tcPr>
          <w:p w14:paraId="1EEE2C72" w14:textId="3B19175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22BDD78" w14:textId="7759623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57DC0614" w14:textId="6EBF0A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0.0334</w:t>
            </w:r>
          </w:p>
        </w:tc>
        <w:tc>
          <w:tcPr>
            <w:tcW w:w="384" w:type="pct"/>
            <w:tcBorders>
              <w:top w:val="nil"/>
              <w:left w:val="nil"/>
              <w:bottom w:val="nil"/>
              <w:right w:val="nil"/>
            </w:tcBorders>
          </w:tcPr>
          <w:p w14:paraId="3776B34E" w14:textId="31FAE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20.5</w:t>
            </w:r>
          </w:p>
        </w:tc>
        <w:tc>
          <w:tcPr>
            <w:tcW w:w="380" w:type="pct"/>
            <w:tcBorders>
              <w:top w:val="nil"/>
              <w:left w:val="nil"/>
              <w:bottom w:val="nil"/>
              <w:right w:val="nil"/>
            </w:tcBorders>
          </w:tcPr>
          <w:p w14:paraId="2CE0AAE8" w14:textId="01ED7E6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F153DD4" w14:textId="4209636B" w:rsidTr="005E6819">
        <w:trPr>
          <w:cantSplit/>
          <w:tblCellSpacing w:w="15" w:type="dxa"/>
        </w:trPr>
        <w:tc>
          <w:tcPr>
            <w:tcW w:w="775" w:type="pct"/>
            <w:vMerge/>
            <w:tcBorders>
              <w:top w:val="nil"/>
              <w:left w:val="nil"/>
              <w:bottom w:val="nil"/>
              <w:right w:val="nil"/>
            </w:tcBorders>
            <w:vAlign w:val="center"/>
            <w:hideMark/>
          </w:tcPr>
          <w:p w14:paraId="348CF69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EDBB9DF" w14:textId="77777777" w:rsidR="00EB6D56" w:rsidRPr="003D7AFA" w:rsidRDefault="00EB6D56" w:rsidP="00B31225">
            <w:pPr>
              <w:jc w:val="both"/>
              <w:rPr>
                <w:b/>
                <w:bCs/>
                <w:i/>
                <w:iCs/>
                <w:color w:val="000000" w:themeColor="text1"/>
                <w:sz w:val="20"/>
                <w:szCs w:val="20"/>
              </w:rPr>
            </w:pPr>
            <w:r>
              <w:t>UE_5</w:t>
            </w:r>
          </w:p>
        </w:tc>
        <w:tc>
          <w:tcPr>
            <w:tcW w:w="581" w:type="pct"/>
            <w:tcBorders>
              <w:top w:val="nil"/>
              <w:left w:val="nil"/>
              <w:bottom w:val="nil"/>
              <w:right w:val="nil"/>
            </w:tcBorders>
            <w:tcMar>
              <w:top w:w="30" w:type="dxa"/>
              <w:left w:w="120" w:type="dxa"/>
              <w:bottom w:w="30" w:type="dxa"/>
              <w:right w:w="300" w:type="dxa"/>
            </w:tcMar>
            <w:hideMark/>
          </w:tcPr>
          <w:p w14:paraId="6E76656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0.698</w:t>
            </w:r>
          </w:p>
        </w:tc>
        <w:tc>
          <w:tcPr>
            <w:tcW w:w="728" w:type="pct"/>
            <w:vMerge/>
            <w:tcBorders>
              <w:left w:val="nil"/>
              <w:right w:val="nil"/>
            </w:tcBorders>
            <w:tcMar>
              <w:top w:w="30" w:type="dxa"/>
              <w:left w:w="120" w:type="dxa"/>
              <w:bottom w:w="30" w:type="dxa"/>
              <w:right w:w="300" w:type="dxa"/>
            </w:tcMar>
          </w:tcPr>
          <w:p w14:paraId="4F1CB52C" w14:textId="56482C7D"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B5F3EF7" w14:textId="3FD12A1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FFF4560" w14:textId="0F17ADB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51EA677E" w14:textId="1A70B72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7D37D13D" w14:textId="712E2F7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BFC5889" w14:textId="61631B67" w:rsidTr="005E6819">
        <w:trPr>
          <w:cantSplit/>
          <w:tblCellSpacing w:w="15" w:type="dxa"/>
        </w:trPr>
        <w:tc>
          <w:tcPr>
            <w:tcW w:w="775" w:type="pct"/>
            <w:vMerge/>
            <w:tcBorders>
              <w:top w:val="nil"/>
              <w:left w:val="nil"/>
              <w:bottom w:val="nil"/>
              <w:right w:val="nil"/>
            </w:tcBorders>
            <w:vAlign w:val="center"/>
            <w:hideMark/>
          </w:tcPr>
          <w:p w14:paraId="1CF1D29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427FBE4" w14:textId="77777777" w:rsidR="00EB6D56" w:rsidRPr="003D7AFA" w:rsidRDefault="00EB6D56" w:rsidP="00B31225">
            <w:pPr>
              <w:jc w:val="both"/>
              <w:rPr>
                <w:b/>
                <w:bCs/>
                <w:i/>
                <w:iCs/>
                <w:color w:val="000000" w:themeColor="text1"/>
                <w:sz w:val="20"/>
                <w:szCs w:val="20"/>
              </w:rPr>
            </w:pPr>
            <w:r>
              <w:t>UE_6</w:t>
            </w:r>
          </w:p>
        </w:tc>
        <w:tc>
          <w:tcPr>
            <w:tcW w:w="581" w:type="pct"/>
            <w:tcBorders>
              <w:top w:val="nil"/>
              <w:left w:val="nil"/>
              <w:bottom w:val="nil"/>
              <w:right w:val="nil"/>
            </w:tcBorders>
            <w:tcMar>
              <w:top w:w="30" w:type="dxa"/>
              <w:left w:w="120" w:type="dxa"/>
              <w:bottom w:w="30" w:type="dxa"/>
              <w:right w:w="300" w:type="dxa"/>
            </w:tcMar>
            <w:hideMark/>
          </w:tcPr>
          <w:p w14:paraId="0CF70CE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tcBorders>
              <w:left w:val="nil"/>
              <w:right w:val="nil"/>
            </w:tcBorders>
            <w:tcMar>
              <w:top w:w="30" w:type="dxa"/>
              <w:left w:w="120" w:type="dxa"/>
              <w:bottom w:w="30" w:type="dxa"/>
              <w:right w:w="300" w:type="dxa"/>
            </w:tcMar>
          </w:tcPr>
          <w:p w14:paraId="7CB7DBA7" w14:textId="732C8A2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47283AA" w14:textId="0069BAB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31DD1D" w14:textId="13DF2D0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6779D90E" w14:textId="73CF9F9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21F1D34" w14:textId="7F2A3E3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83FD30A" w14:textId="6EB0251C" w:rsidTr="005E6819">
        <w:trPr>
          <w:cantSplit/>
          <w:tblCellSpacing w:w="15" w:type="dxa"/>
        </w:trPr>
        <w:tc>
          <w:tcPr>
            <w:tcW w:w="775" w:type="pct"/>
            <w:vMerge/>
            <w:tcBorders>
              <w:top w:val="nil"/>
              <w:left w:val="nil"/>
              <w:bottom w:val="nil"/>
              <w:right w:val="nil"/>
            </w:tcBorders>
            <w:vAlign w:val="center"/>
            <w:hideMark/>
          </w:tcPr>
          <w:p w14:paraId="3ADD3FA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E0F417" w14:textId="77777777" w:rsidR="00EB6D56" w:rsidRPr="003D7AFA" w:rsidRDefault="00EB6D56" w:rsidP="00B31225">
            <w:pPr>
              <w:jc w:val="both"/>
              <w:rPr>
                <w:b/>
                <w:bCs/>
                <w:i/>
                <w:iCs/>
                <w:color w:val="000000" w:themeColor="text1"/>
                <w:sz w:val="20"/>
                <w:szCs w:val="20"/>
              </w:rPr>
            </w:pPr>
            <w:r>
              <w:t>UE_7</w:t>
            </w:r>
          </w:p>
        </w:tc>
        <w:tc>
          <w:tcPr>
            <w:tcW w:w="581" w:type="pct"/>
            <w:tcBorders>
              <w:top w:val="nil"/>
              <w:left w:val="nil"/>
              <w:bottom w:val="nil"/>
              <w:right w:val="nil"/>
            </w:tcBorders>
            <w:tcMar>
              <w:top w:w="30" w:type="dxa"/>
              <w:left w:w="120" w:type="dxa"/>
              <w:bottom w:w="30" w:type="dxa"/>
              <w:right w:w="300" w:type="dxa"/>
            </w:tcMar>
            <w:hideMark/>
          </w:tcPr>
          <w:p w14:paraId="5500F63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20F1757E" w14:textId="54E388C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A352562" w14:textId="160B91C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E80CCD" w14:textId="12A1C69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42CF3C3E" w14:textId="634C0CA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20.9</w:t>
            </w:r>
          </w:p>
        </w:tc>
        <w:tc>
          <w:tcPr>
            <w:tcW w:w="380" w:type="pct"/>
            <w:tcBorders>
              <w:top w:val="nil"/>
              <w:left w:val="nil"/>
              <w:bottom w:val="nil"/>
              <w:right w:val="nil"/>
            </w:tcBorders>
          </w:tcPr>
          <w:p w14:paraId="768C9F7A" w14:textId="778F652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F6F89F6" w14:textId="0BCEF25A" w:rsidTr="005E6819">
        <w:trPr>
          <w:cantSplit/>
          <w:tblCellSpacing w:w="15" w:type="dxa"/>
        </w:trPr>
        <w:tc>
          <w:tcPr>
            <w:tcW w:w="775" w:type="pct"/>
            <w:vMerge/>
            <w:tcBorders>
              <w:top w:val="nil"/>
              <w:left w:val="nil"/>
              <w:bottom w:val="nil"/>
              <w:right w:val="nil"/>
            </w:tcBorders>
            <w:vAlign w:val="center"/>
            <w:hideMark/>
          </w:tcPr>
          <w:p w14:paraId="538FF3C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89297C" w14:textId="77777777" w:rsidR="00EB6D56" w:rsidRPr="003D7AFA" w:rsidRDefault="00EB6D56" w:rsidP="00B31225">
            <w:pPr>
              <w:jc w:val="both"/>
              <w:rPr>
                <w:b/>
                <w:bCs/>
                <w:i/>
                <w:iCs/>
                <w:color w:val="000000" w:themeColor="text1"/>
                <w:sz w:val="20"/>
                <w:szCs w:val="20"/>
              </w:rPr>
            </w:pPr>
            <w:r>
              <w:t>UE_8</w:t>
            </w:r>
          </w:p>
        </w:tc>
        <w:tc>
          <w:tcPr>
            <w:tcW w:w="581" w:type="pct"/>
            <w:tcBorders>
              <w:top w:val="nil"/>
              <w:left w:val="nil"/>
              <w:bottom w:val="nil"/>
              <w:right w:val="nil"/>
            </w:tcBorders>
            <w:tcMar>
              <w:top w:w="30" w:type="dxa"/>
              <w:left w:w="120" w:type="dxa"/>
              <w:bottom w:w="30" w:type="dxa"/>
              <w:right w:w="300" w:type="dxa"/>
            </w:tcMar>
            <w:hideMark/>
          </w:tcPr>
          <w:p w14:paraId="2D09595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0.707</w:t>
            </w:r>
          </w:p>
        </w:tc>
        <w:tc>
          <w:tcPr>
            <w:tcW w:w="728" w:type="pct"/>
            <w:vMerge/>
            <w:tcBorders>
              <w:left w:val="nil"/>
              <w:right w:val="nil"/>
            </w:tcBorders>
            <w:tcMar>
              <w:top w:w="30" w:type="dxa"/>
              <w:left w:w="120" w:type="dxa"/>
              <w:bottom w:w="30" w:type="dxa"/>
              <w:right w:w="300" w:type="dxa"/>
            </w:tcMar>
          </w:tcPr>
          <w:p w14:paraId="5AB5D3B2" w14:textId="1F484560"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C873320" w14:textId="4A5E50A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9C115D6" w14:textId="532838E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74D04253" w14:textId="491B9E2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1D3410E2" w14:textId="438F2C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ED40C78" w14:textId="71786BB1" w:rsidTr="005E6819">
        <w:trPr>
          <w:cantSplit/>
          <w:tblCellSpacing w:w="15" w:type="dxa"/>
        </w:trPr>
        <w:tc>
          <w:tcPr>
            <w:tcW w:w="775" w:type="pct"/>
            <w:vMerge/>
            <w:tcBorders>
              <w:top w:val="nil"/>
              <w:left w:val="nil"/>
              <w:bottom w:val="nil"/>
              <w:right w:val="nil"/>
            </w:tcBorders>
            <w:vAlign w:val="center"/>
            <w:hideMark/>
          </w:tcPr>
          <w:p w14:paraId="350C6654"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7BE74B1" w14:textId="77777777" w:rsidR="00EB6D56" w:rsidRPr="003D7AFA" w:rsidRDefault="00EB6D56" w:rsidP="00B31225">
            <w:pPr>
              <w:jc w:val="both"/>
              <w:rPr>
                <w:b/>
                <w:bCs/>
                <w:i/>
                <w:iCs/>
                <w:color w:val="000000" w:themeColor="text1"/>
                <w:sz w:val="20"/>
                <w:szCs w:val="20"/>
              </w:rPr>
            </w:pPr>
            <w:r>
              <w:t>UE_9</w:t>
            </w:r>
          </w:p>
        </w:tc>
        <w:tc>
          <w:tcPr>
            <w:tcW w:w="581" w:type="pct"/>
            <w:tcBorders>
              <w:top w:val="nil"/>
              <w:left w:val="nil"/>
              <w:bottom w:val="nil"/>
              <w:right w:val="nil"/>
            </w:tcBorders>
            <w:tcMar>
              <w:top w:w="30" w:type="dxa"/>
              <w:left w:w="120" w:type="dxa"/>
              <w:bottom w:w="30" w:type="dxa"/>
              <w:right w:w="300" w:type="dxa"/>
            </w:tcMar>
            <w:hideMark/>
          </w:tcPr>
          <w:p w14:paraId="208F6B6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0.670</w:t>
            </w:r>
          </w:p>
        </w:tc>
        <w:tc>
          <w:tcPr>
            <w:tcW w:w="728" w:type="pct"/>
            <w:vMerge/>
            <w:tcBorders>
              <w:left w:val="nil"/>
              <w:right w:val="nil"/>
            </w:tcBorders>
            <w:tcMar>
              <w:top w:w="30" w:type="dxa"/>
              <w:left w:w="120" w:type="dxa"/>
              <w:bottom w:w="30" w:type="dxa"/>
              <w:right w:w="300" w:type="dxa"/>
            </w:tcMar>
          </w:tcPr>
          <w:p w14:paraId="3918956E" w14:textId="54C9EF0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F296138" w14:textId="5E6E9EA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1838D63" w14:textId="66B5129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0.0311</w:t>
            </w:r>
          </w:p>
        </w:tc>
        <w:tc>
          <w:tcPr>
            <w:tcW w:w="384" w:type="pct"/>
            <w:tcBorders>
              <w:top w:val="nil"/>
              <w:left w:val="nil"/>
              <w:bottom w:val="nil"/>
              <w:right w:val="nil"/>
            </w:tcBorders>
          </w:tcPr>
          <w:p w14:paraId="6CE03D4A" w14:textId="4B96742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33C84AFB" w14:textId="65F30B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7AB07021" w14:textId="25F14565" w:rsidTr="005E6819">
        <w:trPr>
          <w:cantSplit/>
          <w:tblCellSpacing w:w="15" w:type="dxa"/>
        </w:trPr>
        <w:tc>
          <w:tcPr>
            <w:tcW w:w="775" w:type="pct"/>
            <w:vMerge/>
            <w:tcBorders>
              <w:top w:val="nil"/>
              <w:left w:val="nil"/>
              <w:bottom w:val="nil"/>
              <w:right w:val="nil"/>
            </w:tcBorders>
            <w:vAlign w:val="center"/>
            <w:hideMark/>
          </w:tcPr>
          <w:p w14:paraId="07EF3B0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FB83070" w14:textId="77777777" w:rsidR="00EB6D56" w:rsidRPr="003D7AFA" w:rsidRDefault="00EB6D56" w:rsidP="00B31225">
            <w:pPr>
              <w:jc w:val="both"/>
              <w:rPr>
                <w:b/>
                <w:bCs/>
                <w:i/>
                <w:iCs/>
                <w:color w:val="000000" w:themeColor="text1"/>
                <w:sz w:val="20"/>
                <w:szCs w:val="20"/>
              </w:rPr>
            </w:pPr>
            <w:r>
              <w:t>UE_10</w:t>
            </w:r>
          </w:p>
        </w:tc>
        <w:tc>
          <w:tcPr>
            <w:tcW w:w="581" w:type="pct"/>
            <w:tcBorders>
              <w:top w:val="nil"/>
              <w:left w:val="nil"/>
              <w:bottom w:val="nil"/>
              <w:right w:val="nil"/>
            </w:tcBorders>
            <w:tcMar>
              <w:top w:w="30" w:type="dxa"/>
              <w:left w:w="120" w:type="dxa"/>
              <w:bottom w:w="30" w:type="dxa"/>
              <w:right w:w="300" w:type="dxa"/>
            </w:tcMar>
            <w:hideMark/>
          </w:tcPr>
          <w:p w14:paraId="5827420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bottom w:val="nil"/>
              <w:right w:val="nil"/>
            </w:tcBorders>
            <w:tcMar>
              <w:top w:w="30" w:type="dxa"/>
              <w:left w:w="120" w:type="dxa"/>
              <w:bottom w:w="30" w:type="dxa"/>
              <w:right w:w="300" w:type="dxa"/>
            </w:tcMar>
          </w:tcPr>
          <w:p w14:paraId="751D04CB" w14:textId="6BC3C429"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754DE26B" w14:textId="6E81270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7F41AAE" w14:textId="3818BF8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0E0F0EE3" w14:textId="28790B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3FFEEBC" w14:textId="46CBEB3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DFF84C0" w14:textId="7C76813A"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DCAA9E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Experience</w:t>
            </w:r>
          </w:p>
        </w:tc>
        <w:tc>
          <w:tcPr>
            <w:tcW w:w="675" w:type="pct"/>
            <w:tcBorders>
              <w:top w:val="nil"/>
              <w:left w:val="nil"/>
              <w:bottom w:val="nil"/>
              <w:right w:val="nil"/>
            </w:tcBorders>
            <w:tcMar>
              <w:top w:w="120" w:type="dxa"/>
              <w:left w:w="120" w:type="dxa"/>
              <w:bottom w:w="60" w:type="dxa"/>
              <w:right w:w="120" w:type="dxa"/>
            </w:tcMar>
            <w:hideMark/>
          </w:tcPr>
          <w:p w14:paraId="42E5164D" w14:textId="77777777" w:rsidR="00EB6D56" w:rsidRPr="003D7AFA" w:rsidRDefault="00EB6D56" w:rsidP="00B31225">
            <w:pPr>
              <w:jc w:val="both"/>
              <w:rPr>
                <w:b/>
                <w:bCs/>
                <w:i/>
                <w:iCs/>
                <w:color w:val="000000" w:themeColor="text1"/>
                <w:sz w:val="20"/>
                <w:szCs w:val="20"/>
              </w:rPr>
            </w:pPr>
            <w:r>
              <w:t>UX_1</w:t>
            </w:r>
          </w:p>
        </w:tc>
        <w:tc>
          <w:tcPr>
            <w:tcW w:w="581" w:type="pct"/>
            <w:tcBorders>
              <w:top w:val="nil"/>
              <w:left w:val="nil"/>
              <w:bottom w:val="nil"/>
              <w:right w:val="nil"/>
            </w:tcBorders>
            <w:tcMar>
              <w:top w:w="120" w:type="dxa"/>
              <w:left w:w="120" w:type="dxa"/>
              <w:bottom w:w="30" w:type="dxa"/>
              <w:right w:w="300" w:type="dxa"/>
            </w:tcMar>
            <w:hideMark/>
          </w:tcPr>
          <w:p w14:paraId="69956CD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0.690</w:t>
            </w:r>
          </w:p>
        </w:tc>
        <w:tc>
          <w:tcPr>
            <w:tcW w:w="728" w:type="pct"/>
            <w:vMerge w:val="restart"/>
            <w:tcBorders>
              <w:top w:val="nil"/>
              <w:left w:val="nil"/>
              <w:right w:val="nil"/>
            </w:tcBorders>
            <w:tcMar>
              <w:top w:w="120" w:type="dxa"/>
              <w:left w:w="120" w:type="dxa"/>
              <w:bottom w:w="30" w:type="dxa"/>
              <w:right w:w="300" w:type="dxa"/>
            </w:tcMar>
          </w:tcPr>
          <w:p w14:paraId="20AD2FB5" w14:textId="77777777" w:rsidR="00EB6D56" w:rsidRDefault="00EB6D56" w:rsidP="00B31225">
            <w:pPr>
              <w:jc w:val="both"/>
              <w:rPr>
                <w:b/>
                <w:bCs/>
                <w:i/>
                <w:iCs/>
                <w:color w:val="000000" w:themeColor="text1"/>
                <w:sz w:val="20"/>
                <w:szCs w:val="20"/>
              </w:rPr>
            </w:pPr>
          </w:p>
          <w:p w14:paraId="76473A35" w14:textId="77777777" w:rsidR="00EB6D56" w:rsidRDefault="00EB6D56" w:rsidP="00B31225">
            <w:pPr>
              <w:jc w:val="both"/>
              <w:rPr>
                <w:b/>
                <w:bCs/>
                <w:i/>
                <w:iCs/>
                <w:color w:val="000000" w:themeColor="text1"/>
                <w:sz w:val="20"/>
                <w:szCs w:val="20"/>
              </w:rPr>
            </w:pPr>
          </w:p>
          <w:p w14:paraId="44C04DF6" w14:textId="77777777" w:rsidR="00EB6D56" w:rsidRDefault="00EB6D56" w:rsidP="00B31225">
            <w:pPr>
              <w:jc w:val="both"/>
              <w:rPr>
                <w:b/>
                <w:bCs/>
                <w:i/>
                <w:iCs/>
                <w:color w:val="000000" w:themeColor="text1"/>
                <w:sz w:val="20"/>
                <w:szCs w:val="20"/>
              </w:rPr>
            </w:pPr>
          </w:p>
          <w:p w14:paraId="443D91C3" w14:textId="77777777" w:rsidR="00EB6D56" w:rsidRDefault="00EB6D56" w:rsidP="00B31225">
            <w:pPr>
              <w:jc w:val="both"/>
              <w:rPr>
                <w:b/>
                <w:bCs/>
                <w:i/>
                <w:iCs/>
                <w:color w:val="000000" w:themeColor="text1"/>
                <w:sz w:val="20"/>
                <w:szCs w:val="20"/>
              </w:rPr>
            </w:pPr>
          </w:p>
          <w:p w14:paraId="6F9EE675" w14:textId="77777777" w:rsidR="00EB6D56" w:rsidRDefault="00EB6D56" w:rsidP="00B31225">
            <w:pPr>
              <w:jc w:val="both"/>
              <w:rPr>
                <w:b/>
                <w:bCs/>
                <w:i/>
                <w:iCs/>
                <w:color w:val="000000" w:themeColor="text1"/>
                <w:sz w:val="20"/>
                <w:szCs w:val="20"/>
              </w:rPr>
            </w:pPr>
          </w:p>
          <w:p w14:paraId="09E35C3C" w14:textId="77777777" w:rsidR="00EB6D56" w:rsidRDefault="00EB6D56" w:rsidP="00B31225">
            <w:pPr>
              <w:jc w:val="both"/>
              <w:rPr>
                <w:b/>
                <w:bCs/>
                <w:i/>
                <w:iCs/>
                <w:color w:val="000000" w:themeColor="text1"/>
                <w:sz w:val="20"/>
                <w:szCs w:val="20"/>
              </w:rPr>
            </w:pPr>
          </w:p>
          <w:p w14:paraId="247CC73A" w14:textId="3DFC0F4A" w:rsidR="00EB6D56" w:rsidRPr="003D7AFA" w:rsidRDefault="00EB6D56" w:rsidP="00B31225">
            <w:pPr>
              <w:jc w:val="both"/>
              <w:rPr>
                <w:b/>
                <w:bCs/>
                <w:i/>
                <w:iCs/>
                <w:color w:val="000000" w:themeColor="text1"/>
                <w:sz w:val="20"/>
                <w:szCs w:val="20"/>
              </w:rPr>
            </w:pPr>
            <w:r>
              <w:rPr>
                <w:b/>
                <w:bCs/>
                <w:i/>
                <w:iCs/>
                <w:color w:val="000000" w:themeColor="text1"/>
                <w:sz w:val="20"/>
                <w:szCs w:val="20"/>
              </w:rPr>
              <w:t>0.983</w:t>
            </w:r>
          </w:p>
        </w:tc>
        <w:tc>
          <w:tcPr>
            <w:tcW w:w="525" w:type="pct"/>
            <w:vMerge w:val="restart"/>
            <w:tcBorders>
              <w:top w:val="nil"/>
              <w:left w:val="nil"/>
              <w:right w:val="nil"/>
            </w:tcBorders>
            <w:tcMar>
              <w:top w:w="120" w:type="dxa"/>
              <w:left w:w="120" w:type="dxa"/>
              <w:bottom w:w="30" w:type="dxa"/>
              <w:right w:w="300" w:type="dxa"/>
            </w:tcMar>
          </w:tcPr>
          <w:p w14:paraId="1242D028" w14:textId="77777777" w:rsidR="00EB6D56" w:rsidRDefault="00EB6D56" w:rsidP="00B31225">
            <w:pPr>
              <w:jc w:val="both"/>
              <w:rPr>
                <w:b/>
                <w:bCs/>
                <w:i/>
                <w:iCs/>
                <w:color w:val="000000" w:themeColor="text1"/>
                <w:sz w:val="20"/>
                <w:szCs w:val="20"/>
              </w:rPr>
            </w:pPr>
          </w:p>
          <w:p w14:paraId="1040A44D" w14:textId="77777777" w:rsidR="00EB6D56" w:rsidRDefault="00EB6D56" w:rsidP="00B31225">
            <w:pPr>
              <w:jc w:val="both"/>
              <w:rPr>
                <w:b/>
                <w:bCs/>
                <w:i/>
                <w:iCs/>
                <w:color w:val="000000" w:themeColor="text1"/>
                <w:sz w:val="20"/>
                <w:szCs w:val="20"/>
              </w:rPr>
            </w:pPr>
          </w:p>
          <w:p w14:paraId="631142FC" w14:textId="77777777" w:rsidR="00EB6D56" w:rsidRDefault="00EB6D56" w:rsidP="00B31225">
            <w:pPr>
              <w:jc w:val="both"/>
              <w:rPr>
                <w:b/>
                <w:bCs/>
                <w:i/>
                <w:iCs/>
                <w:color w:val="000000" w:themeColor="text1"/>
                <w:sz w:val="20"/>
                <w:szCs w:val="20"/>
              </w:rPr>
            </w:pPr>
          </w:p>
          <w:p w14:paraId="44867D77" w14:textId="77777777" w:rsidR="00EB6D56" w:rsidRDefault="00EB6D56" w:rsidP="00B31225">
            <w:pPr>
              <w:jc w:val="both"/>
              <w:rPr>
                <w:b/>
                <w:bCs/>
                <w:i/>
                <w:iCs/>
                <w:color w:val="000000" w:themeColor="text1"/>
                <w:sz w:val="20"/>
                <w:szCs w:val="20"/>
              </w:rPr>
            </w:pPr>
          </w:p>
          <w:p w14:paraId="5C4A10A5" w14:textId="77777777" w:rsidR="00EB6D56" w:rsidRDefault="00EB6D56" w:rsidP="00B31225">
            <w:pPr>
              <w:jc w:val="both"/>
              <w:rPr>
                <w:b/>
                <w:bCs/>
                <w:i/>
                <w:iCs/>
                <w:color w:val="000000" w:themeColor="text1"/>
                <w:sz w:val="20"/>
                <w:szCs w:val="20"/>
              </w:rPr>
            </w:pPr>
          </w:p>
          <w:p w14:paraId="1F6043EB" w14:textId="77777777" w:rsidR="00EB6D56" w:rsidRDefault="00EB6D56" w:rsidP="00B31225">
            <w:pPr>
              <w:jc w:val="both"/>
              <w:rPr>
                <w:b/>
                <w:bCs/>
                <w:i/>
                <w:iCs/>
                <w:color w:val="000000" w:themeColor="text1"/>
                <w:sz w:val="20"/>
                <w:szCs w:val="20"/>
              </w:rPr>
            </w:pPr>
          </w:p>
          <w:p w14:paraId="61F3B71D" w14:textId="50DD43B0" w:rsidR="00EB6D56" w:rsidRPr="003D7AFA" w:rsidRDefault="00EB6D56" w:rsidP="00B31225">
            <w:pPr>
              <w:jc w:val="both"/>
              <w:rPr>
                <w:b/>
                <w:bCs/>
                <w:i/>
                <w:iCs/>
                <w:color w:val="000000" w:themeColor="text1"/>
                <w:sz w:val="20"/>
                <w:szCs w:val="20"/>
              </w:rPr>
            </w:pPr>
            <w:r>
              <w:rPr>
                <w:b/>
                <w:bCs/>
                <w:i/>
                <w:iCs/>
                <w:color w:val="000000" w:themeColor="text1"/>
                <w:sz w:val="20"/>
                <w:szCs w:val="20"/>
              </w:rPr>
              <w:t>0.855</w:t>
            </w:r>
          </w:p>
        </w:tc>
        <w:tc>
          <w:tcPr>
            <w:tcW w:w="789" w:type="pct"/>
            <w:tcBorders>
              <w:top w:val="nil"/>
              <w:left w:val="nil"/>
              <w:bottom w:val="nil"/>
              <w:right w:val="nil"/>
            </w:tcBorders>
            <w:tcMar>
              <w:top w:w="120" w:type="dxa"/>
              <w:left w:w="120" w:type="dxa"/>
              <w:bottom w:w="30" w:type="dxa"/>
              <w:right w:w="300" w:type="dxa"/>
            </w:tcMar>
          </w:tcPr>
          <w:p w14:paraId="5DC4B278" w14:textId="180BDF4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036FE8BE" w14:textId="1A8133A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9489397" w14:textId="69A87D5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49EABD6" w14:textId="2052FC12" w:rsidTr="005E6819">
        <w:trPr>
          <w:cantSplit/>
          <w:tblCellSpacing w:w="15" w:type="dxa"/>
        </w:trPr>
        <w:tc>
          <w:tcPr>
            <w:tcW w:w="775" w:type="pct"/>
            <w:vMerge/>
            <w:tcBorders>
              <w:top w:val="nil"/>
              <w:left w:val="nil"/>
              <w:bottom w:val="nil"/>
              <w:right w:val="nil"/>
            </w:tcBorders>
            <w:vAlign w:val="center"/>
            <w:hideMark/>
          </w:tcPr>
          <w:p w14:paraId="2E94ADD1"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8DCEC44" w14:textId="77777777" w:rsidR="00EB6D56" w:rsidRPr="003D7AFA" w:rsidRDefault="00EB6D56" w:rsidP="00B31225">
            <w:pPr>
              <w:jc w:val="both"/>
              <w:rPr>
                <w:b/>
                <w:bCs/>
                <w:i/>
                <w:iCs/>
                <w:color w:val="000000" w:themeColor="text1"/>
                <w:sz w:val="20"/>
                <w:szCs w:val="20"/>
              </w:rPr>
            </w:pPr>
            <w:r>
              <w:t>UX_2</w:t>
            </w:r>
          </w:p>
        </w:tc>
        <w:tc>
          <w:tcPr>
            <w:tcW w:w="581" w:type="pct"/>
            <w:tcBorders>
              <w:top w:val="nil"/>
              <w:left w:val="nil"/>
              <w:bottom w:val="nil"/>
              <w:right w:val="nil"/>
            </w:tcBorders>
            <w:tcMar>
              <w:top w:w="30" w:type="dxa"/>
              <w:left w:w="120" w:type="dxa"/>
              <w:bottom w:w="30" w:type="dxa"/>
              <w:right w:w="300" w:type="dxa"/>
            </w:tcMar>
            <w:hideMark/>
          </w:tcPr>
          <w:p w14:paraId="6E60AF2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0.681</w:t>
            </w:r>
          </w:p>
        </w:tc>
        <w:tc>
          <w:tcPr>
            <w:tcW w:w="728" w:type="pct"/>
            <w:vMerge/>
            <w:tcBorders>
              <w:left w:val="nil"/>
              <w:right w:val="nil"/>
            </w:tcBorders>
            <w:tcMar>
              <w:top w:w="30" w:type="dxa"/>
              <w:left w:w="120" w:type="dxa"/>
              <w:bottom w:w="30" w:type="dxa"/>
              <w:right w:w="300" w:type="dxa"/>
            </w:tcMar>
          </w:tcPr>
          <w:p w14:paraId="0E2CBC85" w14:textId="465A457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5490146" w14:textId="675BC32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CC2B4CB" w14:textId="7FDD58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012F083E" w14:textId="69938E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2A9D0DD1" w14:textId="5CCF811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E1FA468" w14:textId="6627C525" w:rsidTr="005E6819">
        <w:trPr>
          <w:cantSplit/>
          <w:tblCellSpacing w:w="15" w:type="dxa"/>
        </w:trPr>
        <w:tc>
          <w:tcPr>
            <w:tcW w:w="775" w:type="pct"/>
            <w:vMerge/>
            <w:tcBorders>
              <w:top w:val="nil"/>
              <w:left w:val="nil"/>
              <w:bottom w:val="nil"/>
              <w:right w:val="nil"/>
            </w:tcBorders>
            <w:vAlign w:val="center"/>
            <w:hideMark/>
          </w:tcPr>
          <w:p w14:paraId="2632ED4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AC5DA5F" w14:textId="77777777" w:rsidR="00EB6D56" w:rsidRPr="003D7AFA" w:rsidRDefault="00EB6D56" w:rsidP="00B31225">
            <w:pPr>
              <w:jc w:val="both"/>
              <w:rPr>
                <w:b/>
                <w:bCs/>
                <w:i/>
                <w:iCs/>
                <w:color w:val="000000" w:themeColor="text1"/>
                <w:sz w:val="20"/>
                <w:szCs w:val="20"/>
              </w:rPr>
            </w:pPr>
            <w:r>
              <w:t>UX_3</w:t>
            </w:r>
          </w:p>
        </w:tc>
        <w:tc>
          <w:tcPr>
            <w:tcW w:w="581" w:type="pct"/>
            <w:tcBorders>
              <w:top w:val="nil"/>
              <w:left w:val="nil"/>
              <w:bottom w:val="nil"/>
              <w:right w:val="nil"/>
            </w:tcBorders>
            <w:tcMar>
              <w:top w:w="30" w:type="dxa"/>
              <w:left w:w="120" w:type="dxa"/>
              <w:bottom w:w="30" w:type="dxa"/>
              <w:right w:w="300" w:type="dxa"/>
            </w:tcMar>
            <w:hideMark/>
          </w:tcPr>
          <w:p w14:paraId="6357219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0.714</w:t>
            </w:r>
          </w:p>
        </w:tc>
        <w:tc>
          <w:tcPr>
            <w:tcW w:w="728" w:type="pct"/>
            <w:vMerge/>
            <w:tcBorders>
              <w:left w:val="nil"/>
              <w:right w:val="nil"/>
            </w:tcBorders>
            <w:tcMar>
              <w:top w:w="30" w:type="dxa"/>
              <w:left w:w="120" w:type="dxa"/>
              <w:bottom w:w="30" w:type="dxa"/>
              <w:right w:w="300" w:type="dxa"/>
            </w:tcMar>
          </w:tcPr>
          <w:p w14:paraId="20B1593B" w14:textId="5A0B31F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B8F411" w14:textId="0EBBE9F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77FC88" w14:textId="1F977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535CEDA4" w14:textId="112DC35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EC2FB74" w14:textId="23AB50D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C9BB11D" w14:textId="393550E8" w:rsidTr="005E6819">
        <w:trPr>
          <w:cantSplit/>
          <w:tblCellSpacing w:w="15" w:type="dxa"/>
        </w:trPr>
        <w:tc>
          <w:tcPr>
            <w:tcW w:w="775" w:type="pct"/>
            <w:vMerge/>
            <w:tcBorders>
              <w:top w:val="nil"/>
              <w:left w:val="nil"/>
              <w:bottom w:val="nil"/>
              <w:right w:val="nil"/>
            </w:tcBorders>
            <w:vAlign w:val="center"/>
            <w:hideMark/>
          </w:tcPr>
          <w:p w14:paraId="3EF2E9B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FC292F" w14:textId="77777777" w:rsidR="00EB6D56" w:rsidRPr="003D7AFA" w:rsidRDefault="00EB6D56" w:rsidP="00B31225">
            <w:pPr>
              <w:jc w:val="both"/>
              <w:rPr>
                <w:b/>
                <w:bCs/>
                <w:i/>
                <w:iCs/>
                <w:color w:val="000000" w:themeColor="text1"/>
                <w:sz w:val="20"/>
                <w:szCs w:val="20"/>
              </w:rPr>
            </w:pPr>
            <w:r>
              <w:t>UX_4</w:t>
            </w:r>
          </w:p>
        </w:tc>
        <w:tc>
          <w:tcPr>
            <w:tcW w:w="581" w:type="pct"/>
            <w:tcBorders>
              <w:top w:val="nil"/>
              <w:left w:val="nil"/>
              <w:bottom w:val="nil"/>
              <w:right w:val="nil"/>
            </w:tcBorders>
            <w:tcMar>
              <w:top w:w="30" w:type="dxa"/>
              <w:left w:w="120" w:type="dxa"/>
              <w:bottom w:w="30" w:type="dxa"/>
              <w:right w:w="300" w:type="dxa"/>
            </w:tcMar>
            <w:hideMark/>
          </w:tcPr>
          <w:p w14:paraId="6FC4A98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0.694</w:t>
            </w:r>
          </w:p>
        </w:tc>
        <w:tc>
          <w:tcPr>
            <w:tcW w:w="728" w:type="pct"/>
            <w:vMerge/>
            <w:tcBorders>
              <w:left w:val="nil"/>
              <w:right w:val="nil"/>
            </w:tcBorders>
            <w:tcMar>
              <w:top w:w="30" w:type="dxa"/>
              <w:left w:w="120" w:type="dxa"/>
              <w:bottom w:w="30" w:type="dxa"/>
              <w:right w:w="300" w:type="dxa"/>
            </w:tcMar>
          </w:tcPr>
          <w:p w14:paraId="66A91F8C" w14:textId="2FFDBE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12C26FD" w14:textId="4D3CC92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5E06552" w14:textId="7E4A4F4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672FF1E1" w14:textId="03D14A7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4D6D9DDC" w14:textId="0F21822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08E3651" w14:textId="014DE900" w:rsidTr="005E6819">
        <w:trPr>
          <w:cantSplit/>
          <w:tblCellSpacing w:w="15" w:type="dxa"/>
        </w:trPr>
        <w:tc>
          <w:tcPr>
            <w:tcW w:w="775" w:type="pct"/>
            <w:vMerge/>
            <w:tcBorders>
              <w:top w:val="nil"/>
              <w:left w:val="nil"/>
              <w:bottom w:val="nil"/>
              <w:right w:val="nil"/>
            </w:tcBorders>
            <w:vAlign w:val="center"/>
            <w:hideMark/>
          </w:tcPr>
          <w:p w14:paraId="5BE67EF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4A18839" w14:textId="77777777" w:rsidR="00EB6D56" w:rsidRPr="003D7AFA" w:rsidRDefault="00EB6D56" w:rsidP="00B31225">
            <w:pPr>
              <w:jc w:val="both"/>
              <w:rPr>
                <w:b/>
                <w:bCs/>
                <w:i/>
                <w:iCs/>
                <w:color w:val="000000" w:themeColor="text1"/>
                <w:sz w:val="20"/>
                <w:szCs w:val="20"/>
              </w:rPr>
            </w:pPr>
            <w:r>
              <w:t>UX_5</w:t>
            </w:r>
          </w:p>
        </w:tc>
        <w:tc>
          <w:tcPr>
            <w:tcW w:w="581" w:type="pct"/>
            <w:tcBorders>
              <w:top w:val="nil"/>
              <w:left w:val="nil"/>
              <w:bottom w:val="nil"/>
              <w:right w:val="nil"/>
            </w:tcBorders>
            <w:tcMar>
              <w:top w:w="30" w:type="dxa"/>
              <w:left w:w="120" w:type="dxa"/>
              <w:bottom w:w="30" w:type="dxa"/>
              <w:right w:w="300" w:type="dxa"/>
            </w:tcMar>
            <w:hideMark/>
          </w:tcPr>
          <w:p w14:paraId="33F3B8E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0.678</w:t>
            </w:r>
          </w:p>
        </w:tc>
        <w:tc>
          <w:tcPr>
            <w:tcW w:w="728" w:type="pct"/>
            <w:vMerge/>
            <w:tcBorders>
              <w:left w:val="nil"/>
              <w:right w:val="nil"/>
            </w:tcBorders>
            <w:tcMar>
              <w:top w:w="30" w:type="dxa"/>
              <w:left w:w="120" w:type="dxa"/>
              <w:bottom w:w="30" w:type="dxa"/>
              <w:right w:w="300" w:type="dxa"/>
            </w:tcMar>
          </w:tcPr>
          <w:p w14:paraId="2809CA6B" w14:textId="2EF81283"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AA72372" w14:textId="1F9840B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9078536" w14:textId="138A04D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20B6FC50" w14:textId="30E9095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24F063F1" w14:textId="771943B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A5605B3" w14:textId="3536DE35" w:rsidTr="005E6819">
        <w:trPr>
          <w:cantSplit/>
          <w:tblCellSpacing w:w="15" w:type="dxa"/>
        </w:trPr>
        <w:tc>
          <w:tcPr>
            <w:tcW w:w="775" w:type="pct"/>
            <w:vMerge/>
            <w:tcBorders>
              <w:top w:val="nil"/>
              <w:left w:val="nil"/>
              <w:bottom w:val="nil"/>
              <w:right w:val="nil"/>
            </w:tcBorders>
            <w:vAlign w:val="center"/>
            <w:hideMark/>
          </w:tcPr>
          <w:p w14:paraId="7AC6A92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2531973" w14:textId="77777777" w:rsidR="00EB6D56" w:rsidRPr="003D7AFA" w:rsidRDefault="00EB6D56" w:rsidP="00B31225">
            <w:pPr>
              <w:jc w:val="both"/>
              <w:rPr>
                <w:b/>
                <w:bCs/>
                <w:i/>
                <w:iCs/>
                <w:color w:val="000000" w:themeColor="text1"/>
                <w:sz w:val="20"/>
                <w:szCs w:val="20"/>
              </w:rPr>
            </w:pPr>
            <w:r>
              <w:t>UX_6</w:t>
            </w:r>
          </w:p>
        </w:tc>
        <w:tc>
          <w:tcPr>
            <w:tcW w:w="581" w:type="pct"/>
            <w:tcBorders>
              <w:top w:val="nil"/>
              <w:left w:val="nil"/>
              <w:bottom w:val="nil"/>
              <w:right w:val="nil"/>
            </w:tcBorders>
            <w:tcMar>
              <w:top w:w="30" w:type="dxa"/>
              <w:left w:w="120" w:type="dxa"/>
              <w:bottom w:w="30" w:type="dxa"/>
              <w:right w:w="300" w:type="dxa"/>
            </w:tcMar>
            <w:hideMark/>
          </w:tcPr>
          <w:p w14:paraId="39042F1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090394F" w14:textId="4A471694"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7F37A5E" w14:textId="3A2576B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2AA4CEE" w14:textId="1F48E61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6DB414F8" w14:textId="4AB06D0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14F76B70" w14:textId="6D5484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E63C70B" w14:textId="72E17127" w:rsidTr="005E6819">
        <w:trPr>
          <w:cantSplit/>
          <w:tblCellSpacing w:w="15" w:type="dxa"/>
        </w:trPr>
        <w:tc>
          <w:tcPr>
            <w:tcW w:w="775" w:type="pct"/>
            <w:vMerge/>
            <w:tcBorders>
              <w:top w:val="nil"/>
              <w:left w:val="nil"/>
              <w:bottom w:val="nil"/>
              <w:right w:val="nil"/>
            </w:tcBorders>
            <w:vAlign w:val="center"/>
            <w:hideMark/>
          </w:tcPr>
          <w:p w14:paraId="3125898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81B0227" w14:textId="77777777" w:rsidR="00EB6D56" w:rsidRPr="003D7AFA" w:rsidRDefault="00EB6D56" w:rsidP="00B31225">
            <w:pPr>
              <w:jc w:val="both"/>
              <w:rPr>
                <w:b/>
                <w:bCs/>
                <w:i/>
                <w:iCs/>
                <w:color w:val="000000" w:themeColor="text1"/>
                <w:sz w:val="20"/>
                <w:szCs w:val="20"/>
              </w:rPr>
            </w:pPr>
            <w:r>
              <w:t>UX_7</w:t>
            </w:r>
          </w:p>
        </w:tc>
        <w:tc>
          <w:tcPr>
            <w:tcW w:w="581" w:type="pct"/>
            <w:tcBorders>
              <w:top w:val="nil"/>
              <w:left w:val="nil"/>
              <w:bottom w:val="nil"/>
              <w:right w:val="nil"/>
            </w:tcBorders>
            <w:tcMar>
              <w:top w:w="30" w:type="dxa"/>
              <w:left w:w="120" w:type="dxa"/>
              <w:bottom w:w="30" w:type="dxa"/>
              <w:right w:w="300" w:type="dxa"/>
            </w:tcMar>
            <w:hideMark/>
          </w:tcPr>
          <w:p w14:paraId="0F2E456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0.687</w:t>
            </w:r>
          </w:p>
        </w:tc>
        <w:tc>
          <w:tcPr>
            <w:tcW w:w="728" w:type="pct"/>
            <w:vMerge/>
            <w:tcBorders>
              <w:left w:val="nil"/>
              <w:right w:val="nil"/>
            </w:tcBorders>
            <w:tcMar>
              <w:top w:w="30" w:type="dxa"/>
              <w:left w:w="120" w:type="dxa"/>
              <w:bottom w:w="30" w:type="dxa"/>
              <w:right w:w="300" w:type="dxa"/>
            </w:tcMar>
          </w:tcPr>
          <w:p w14:paraId="7D29FCFF" w14:textId="0C64273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DBCEC1" w14:textId="604684DE"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1978F5D" w14:textId="5E6681D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6C7F1057" w14:textId="1D8F9C1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4DBED5F9" w14:textId="29635A9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1BF305C" w14:textId="2D2389CD" w:rsidTr="005E6819">
        <w:trPr>
          <w:cantSplit/>
          <w:tblCellSpacing w:w="15" w:type="dxa"/>
        </w:trPr>
        <w:tc>
          <w:tcPr>
            <w:tcW w:w="775" w:type="pct"/>
            <w:vMerge/>
            <w:tcBorders>
              <w:top w:val="nil"/>
              <w:left w:val="nil"/>
              <w:bottom w:val="nil"/>
              <w:right w:val="nil"/>
            </w:tcBorders>
            <w:vAlign w:val="center"/>
            <w:hideMark/>
          </w:tcPr>
          <w:p w14:paraId="24D7A5D3"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001454E" w14:textId="77777777" w:rsidR="00EB6D56" w:rsidRPr="003D7AFA" w:rsidRDefault="00EB6D56" w:rsidP="00B31225">
            <w:pPr>
              <w:jc w:val="both"/>
              <w:rPr>
                <w:b/>
                <w:bCs/>
                <w:i/>
                <w:iCs/>
                <w:color w:val="000000" w:themeColor="text1"/>
                <w:sz w:val="20"/>
                <w:szCs w:val="20"/>
              </w:rPr>
            </w:pPr>
            <w:r>
              <w:t>UX_8</w:t>
            </w:r>
          </w:p>
        </w:tc>
        <w:tc>
          <w:tcPr>
            <w:tcW w:w="581" w:type="pct"/>
            <w:tcBorders>
              <w:top w:val="nil"/>
              <w:left w:val="nil"/>
              <w:bottom w:val="nil"/>
              <w:right w:val="nil"/>
            </w:tcBorders>
            <w:tcMar>
              <w:top w:w="30" w:type="dxa"/>
              <w:left w:w="120" w:type="dxa"/>
              <w:bottom w:w="30" w:type="dxa"/>
              <w:right w:w="300" w:type="dxa"/>
            </w:tcMar>
            <w:hideMark/>
          </w:tcPr>
          <w:p w14:paraId="4BCC76E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7DFA9D9C" w14:textId="6D2D085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27D76FD" w14:textId="0080EDB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24A9190" w14:textId="639857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0.0320</w:t>
            </w:r>
          </w:p>
        </w:tc>
        <w:tc>
          <w:tcPr>
            <w:tcW w:w="384" w:type="pct"/>
            <w:tcBorders>
              <w:top w:val="nil"/>
              <w:left w:val="nil"/>
              <w:bottom w:val="nil"/>
              <w:right w:val="nil"/>
            </w:tcBorders>
          </w:tcPr>
          <w:p w14:paraId="3EEC92FC" w14:textId="666D761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476A36DE" w14:textId="10574A2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AFC1A27" w14:textId="50C7C1BB" w:rsidTr="005E6819">
        <w:trPr>
          <w:cantSplit/>
          <w:tblCellSpacing w:w="15" w:type="dxa"/>
        </w:trPr>
        <w:tc>
          <w:tcPr>
            <w:tcW w:w="775" w:type="pct"/>
            <w:vMerge/>
            <w:tcBorders>
              <w:top w:val="nil"/>
              <w:left w:val="nil"/>
              <w:bottom w:val="nil"/>
              <w:right w:val="nil"/>
            </w:tcBorders>
            <w:vAlign w:val="center"/>
            <w:hideMark/>
          </w:tcPr>
          <w:p w14:paraId="0EAEF465"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E2784B" w14:textId="77777777" w:rsidR="00EB6D56" w:rsidRPr="003D7AFA" w:rsidRDefault="00EB6D56" w:rsidP="00B31225">
            <w:pPr>
              <w:jc w:val="both"/>
              <w:rPr>
                <w:b/>
                <w:bCs/>
                <w:i/>
                <w:iCs/>
                <w:color w:val="000000" w:themeColor="text1"/>
                <w:sz w:val="20"/>
                <w:szCs w:val="20"/>
              </w:rPr>
            </w:pPr>
            <w:r>
              <w:t>UX_9</w:t>
            </w:r>
          </w:p>
        </w:tc>
        <w:tc>
          <w:tcPr>
            <w:tcW w:w="581" w:type="pct"/>
            <w:tcBorders>
              <w:top w:val="nil"/>
              <w:left w:val="nil"/>
              <w:bottom w:val="nil"/>
              <w:right w:val="nil"/>
            </w:tcBorders>
            <w:tcMar>
              <w:top w:w="30" w:type="dxa"/>
              <w:left w:w="120" w:type="dxa"/>
              <w:bottom w:w="30" w:type="dxa"/>
              <w:right w:w="300" w:type="dxa"/>
            </w:tcMar>
            <w:hideMark/>
          </w:tcPr>
          <w:p w14:paraId="532DB886"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0.703</w:t>
            </w:r>
          </w:p>
        </w:tc>
        <w:tc>
          <w:tcPr>
            <w:tcW w:w="728" w:type="pct"/>
            <w:vMerge/>
            <w:tcBorders>
              <w:left w:val="nil"/>
              <w:right w:val="nil"/>
            </w:tcBorders>
            <w:tcMar>
              <w:top w:w="30" w:type="dxa"/>
              <w:left w:w="120" w:type="dxa"/>
              <w:bottom w:w="30" w:type="dxa"/>
              <w:right w:w="300" w:type="dxa"/>
            </w:tcMar>
          </w:tcPr>
          <w:p w14:paraId="1C0CE05F" w14:textId="1D569DCE"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508615F" w14:textId="54BE2321"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D8C5095" w14:textId="7FC4D48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7CBCF97D" w14:textId="3D19D30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A601008" w14:textId="22C2606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B1489E9" w14:textId="7253C85D" w:rsidTr="005E6819">
        <w:trPr>
          <w:cantSplit/>
          <w:tblCellSpacing w:w="15" w:type="dxa"/>
        </w:trPr>
        <w:tc>
          <w:tcPr>
            <w:tcW w:w="775" w:type="pct"/>
            <w:vMerge/>
            <w:tcBorders>
              <w:top w:val="nil"/>
              <w:left w:val="nil"/>
              <w:bottom w:val="nil"/>
              <w:right w:val="nil"/>
            </w:tcBorders>
            <w:vAlign w:val="center"/>
            <w:hideMark/>
          </w:tcPr>
          <w:p w14:paraId="248422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C2F94DA" w14:textId="77777777" w:rsidR="00EB6D56" w:rsidRPr="003D7AFA" w:rsidRDefault="00EB6D56" w:rsidP="00B31225">
            <w:pPr>
              <w:jc w:val="both"/>
              <w:rPr>
                <w:b/>
                <w:bCs/>
                <w:i/>
                <w:iCs/>
                <w:color w:val="000000" w:themeColor="text1"/>
                <w:sz w:val="20"/>
                <w:szCs w:val="20"/>
              </w:rPr>
            </w:pPr>
            <w:r>
              <w:t>UX_10</w:t>
            </w:r>
          </w:p>
        </w:tc>
        <w:tc>
          <w:tcPr>
            <w:tcW w:w="581" w:type="pct"/>
            <w:tcBorders>
              <w:top w:val="nil"/>
              <w:left w:val="nil"/>
              <w:bottom w:val="nil"/>
              <w:right w:val="nil"/>
            </w:tcBorders>
            <w:tcMar>
              <w:top w:w="30" w:type="dxa"/>
              <w:left w:w="120" w:type="dxa"/>
              <w:bottom w:w="30" w:type="dxa"/>
              <w:right w:w="300" w:type="dxa"/>
            </w:tcMar>
            <w:hideMark/>
          </w:tcPr>
          <w:p w14:paraId="486E70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0.702</w:t>
            </w:r>
          </w:p>
        </w:tc>
        <w:tc>
          <w:tcPr>
            <w:tcW w:w="728" w:type="pct"/>
            <w:vMerge/>
            <w:tcBorders>
              <w:left w:val="nil"/>
              <w:bottom w:val="nil"/>
              <w:right w:val="nil"/>
            </w:tcBorders>
            <w:tcMar>
              <w:top w:w="30" w:type="dxa"/>
              <w:left w:w="120" w:type="dxa"/>
              <w:bottom w:w="30" w:type="dxa"/>
              <w:right w:w="300" w:type="dxa"/>
            </w:tcMar>
          </w:tcPr>
          <w:p w14:paraId="4FDF8BF0" w14:textId="672032BC"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4E08460F" w14:textId="1088B1F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E749F6B" w14:textId="15F84E1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0.0321</w:t>
            </w:r>
          </w:p>
        </w:tc>
        <w:tc>
          <w:tcPr>
            <w:tcW w:w="384" w:type="pct"/>
            <w:tcBorders>
              <w:top w:val="nil"/>
              <w:left w:val="nil"/>
              <w:bottom w:val="nil"/>
              <w:right w:val="nil"/>
            </w:tcBorders>
          </w:tcPr>
          <w:p w14:paraId="64CD3DC9" w14:textId="71D8B4E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133A803D" w14:textId="21A1C98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284F039B" w14:textId="46565FBA" w:rsidTr="005E6819">
        <w:trPr>
          <w:cantSplit/>
          <w:tblCellSpacing w:w="15" w:type="dxa"/>
        </w:trPr>
        <w:tc>
          <w:tcPr>
            <w:tcW w:w="775" w:type="pct"/>
            <w:vMerge w:val="restart"/>
            <w:tcBorders>
              <w:top w:val="nil"/>
              <w:left w:val="nil"/>
              <w:bottom w:val="single" w:sz="12" w:space="0" w:color="333333"/>
              <w:right w:val="nil"/>
            </w:tcBorders>
            <w:tcMar>
              <w:top w:w="120" w:type="dxa"/>
              <w:left w:w="120" w:type="dxa"/>
              <w:bottom w:w="60" w:type="dxa"/>
              <w:right w:w="120" w:type="dxa"/>
            </w:tcMar>
            <w:hideMark/>
          </w:tcPr>
          <w:p w14:paraId="6DFB98C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Brand Success</w:t>
            </w:r>
          </w:p>
        </w:tc>
        <w:tc>
          <w:tcPr>
            <w:tcW w:w="675" w:type="pct"/>
            <w:tcBorders>
              <w:top w:val="nil"/>
              <w:left w:val="nil"/>
              <w:bottom w:val="nil"/>
              <w:right w:val="nil"/>
            </w:tcBorders>
            <w:tcMar>
              <w:top w:w="120" w:type="dxa"/>
              <w:left w:w="120" w:type="dxa"/>
              <w:bottom w:w="60" w:type="dxa"/>
              <w:right w:w="120" w:type="dxa"/>
            </w:tcMar>
            <w:hideMark/>
          </w:tcPr>
          <w:p w14:paraId="68209156" w14:textId="77777777" w:rsidR="00B31225" w:rsidRPr="003D7AFA" w:rsidRDefault="00B31225" w:rsidP="00B31225">
            <w:pPr>
              <w:jc w:val="both"/>
              <w:rPr>
                <w:b/>
                <w:bCs/>
                <w:i/>
                <w:iCs/>
                <w:color w:val="000000" w:themeColor="text1"/>
                <w:sz w:val="20"/>
                <w:szCs w:val="20"/>
              </w:rPr>
            </w:pPr>
            <w:r>
              <w:t>BSUC_1</w:t>
            </w:r>
          </w:p>
        </w:tc>
        <w:tc>
          <w:tcPr>
            <w:tcW w:w="581" w:type="pct"/>
            <w:tcBorders>
              <w:top w:val="nil"/>
              <w:left w:val="nil"/>
              <w:bottom w:val="nil"/>
              <w:right w:val="nil"/>
            </w:tcBorders>
            <w:tcMar>
              <w:top w:w="120" w:type="dxa"/>
              <w:left w:w="120" w:type="dxa"/>
              <w:bottom w:w="30" w:type="dxa"/>
              <w:right w:w="300" w:type="dxa"/>
            </w:tcMar>
            <w:hideMark/>
          </w:tcPr>
          <w:p w14:paraId="44746D1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0.661</w:t>
            </w:r>
          </w:p>
        </w:tc>
        <w:tc>
          <w:tcPr>
            <w:tcW w:w="728" w:type="pct"/>
            <w:vMerge w:val="restart"/>
            <w:tcBorders>
              <w:top w:val="nil"/>
              <w:left w:val="nil"/>
              <w:right w:val="nil"/>
            </w:tcBorders>
            <w:tcMar>
              <w:top w:w="120" w:type="dxa"/>
              <w:left w:w="120" w:type="dxa"/>
              <w:bottom w:w="30" w:type="dxa"/>
              <w:right w:w="300" w:type="dxa"/>
            </w:tcMar>
          </w:tcPr>
          <w:p w14:paraId="531826EB" w14:textId="77777777" w:rsidR="00B31225" w:rsidRDefault="00B31225" w:rsidP="00B31225">
            <w:pPr>
              <w:jc w:val="both"/>
              <w:rPr>
                <w:b/>
                <w:bCs/>
                <w:i/>
                <w:iCs/>
                <w:color w:val="000000" w:themeColor="text1"/>
                <w:sz w:val="20"/>
                <w:szCs w:val="20"/>
              </w:rPr>
            </w:pPr>
          </w:p>
          <w:p w14:paraId="0AD583A1" w14:textId="77777777" w:rsidR="00B31225" w:rsidRDefault="00B31225" w:rsidP="00B31225">
            <w:pPr>
              <w:jc w:val="both"/>
              <w:rPr>
                <w:b/>
                <w:bCs/>
                <w:i/>
                <w:iCs/>
                <w:color w:val="000000" w:themeColor="text1"/>
                <w:sz w:val="20"/>
                <w:szCs w:val="20"/>
              </w:rPr>
            </w:pPr>
          </w:p>
          <w:p w14:paraId="41897421" w14:textId="6099E43B" w:rsidR="00B31225" w:rsidRPr="003D7AFA" w:rsidRDefault="00B31225" w:rsidP="00B31225">
            <w:pPr>
              <w:jc w:val="both"/>
              <w:rPr>
                <w:b/>
                <w:bCs/>
                <w:i/>
                <w:iCs/>
                <w:color w:val="000000" w:themeColor="text1"/>
                <w:sz w:val="20"/>
                <w:szCs w:val="20"/>
              </w:rPr>
            </w:pPr>
            <w:r>
              <w:rPr>
                <w:b/>
                <w:bCs/>
                <w:i/>
                <w:iCs/>
                <w:color w:val="000000" w:themeColor="text1"/>
                <w:sz w:val="20"/>
                <w:szCs w:val="20"/>
              </w:rPr>
              <w:t>0.959</w:t>
            </w:r>
          </w:p>
        </w:tc>
        <w:tc>
          <w:tcPr>
            <w:tcW w:w="525" w:type="pct"/>
            <w:tcBorders>
              <w:top w:val="nil"/>
              <w:left w:val="nil"/>
              <w:bottom w:val="nil"/>
              <w:right w:val="nil"/>
            </w:tcBorders>
            <w:tcMar>
              <w:top w:w="120" w:type="dxa"/>
              <w:left w:w="120" w:type="dxa"/>
              <w:bottom w:w="30" w:type="dxa"/>
              <w:right w:w="300" w:type="dxa"/>
            </w:tcMar>
          </w:tcPr>
          <w:p w14:paraId="5138E3FD" w14:textId="1E6CD997" w:rsidR="00B31225" w:rsidRPr="003D7AFA" w:rsidRDefault="00B31225" w:rsidP="00B31225">
            <w:pPr>
              <w:jc w:val="both"/>
              <w:rPr>
                <w:b/>
                <w:bCs/>
                <w:i/>
                <w:iCs/>
                <w:color w:val="000000" w:themeColor="text1"/>
                <w:sz w:val="20"/>
                <w:szCs w:val="20"/>
              </w:rPr>
            </w:pPr>
          </w:p>
        </w:tc>
        <w:tc>
          <w:tcPr>
            <w:tcW w:w="789" w:type="pct"/>
            <w:tcBorders>
              <w:top w:val="nil"/>
              <w:left w:val="nil"/>
              <w:bottom w:val="nil"/>
              <w:right w:val="nil"/>
            </w:tcBorders>
            <w:tcMar>
              <w:top w:w="120" w:type="dxa"/>
              <w:left w:w="120" w:type="dxa"/>
              <w:bottom w:w="30" w:type="dxa"/>
              <w:right w:w="300" w:type="dxa"/>
            </w:tcMar>
          </w:tcPr>
          <w:p w14:paraId="0E8F3E20" w14:textId="56BC38C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0.0308</w:t>
            </w:r>
          </w:p>
        </w:tc>
        <w:tc>
          <w:tcPr>
            <w:tcW w:w="384" w:type="pct"/>
            <w:tcBorders>
              <w:top w:val="nil"/>
              <w:left w:val="nil"/>
              <w:bottom w:val="nil"/>
              <w:right w:val="nil"/>
            </w:tcBorders>
          </w:tcPr>
          <w:p w14:paraId="0BA7A57D" w14:textId="0DDBC94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7AA34BEB" w14:textId="43C529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6B68D350" w14:textId="65A45F0B" w:rsidTr="005E6819">
        <w:trPr>
          <w:cantSplit/>
          <w:tblCellSpacing w:w="15" w:type="dxa"/>
        </w:trPr>
        <w:tc>
          <w:tcPr>
            <w:tcW w:w="775" w:type="pct"/>
            <w:vMerge/>
            <w:tcBorders>
              <w:top w:val="nil"/>
              <w:left w:val="nil"/>
              <w:bottom w:val="single" w:sz="12" w:space="0" w:color="333333"/>
              <w:right w:val="nil"/>
            </w:tcBorders>
            <w:vAlign w:val="center"/>
            <w:hideMark/>
          </w:tcPr>
          <w:p w14:paraId="7A4A0AB3"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5897A7B" w14:textId="77777777" w:rsidR="00B31225" w:rsidRPr="003D7AFA" w:rsidRDefault="00B31225" w:rsidP="00B31225">
            <w:pPr>
              <w:jc w:val="both"/>
              <w:rPr>
                <w:b/>
                <w:bCs/>
                <w:i/>
                <w:iCs/>
                <w:color w:val="000000" w:themeColor="text1"/>
                <w:sz w:val="20"/>
                <w:szCs w:val="20"/>
              </w:rPr>
            </w:pPr>
            <w:r>
              <w:t>BSUC_2</w:t>
            </w:r>
          </w:p>
        </w:tc>
        <w:tc>
          <w:tcPr>
            <w:tcW w:w="581" w:type="pct"/>
            <w:tcBorders>
              <w:top w:val="nil"/>
              <w:left w:val="nil"/>
              <w:bottom w:val="nil"/>
              <w:right w:val="nil"/>
            </w:tcBorders>
            <w:tcMar>
              <w:top w:w="30" w:type="dxa"/>
              <w:left w:w="120" w:type="dxa"/>
              <w:bottom w:w="30" w:type="dxa"/>
              <w:right w:w="300" w:type="dxa"/>
            </w:tcMar>
            <w:hideMark/>
          </w:tcPr>
          <w:p w14:paraId="062C6122"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0.662</w:t>
            </w:r>
          </w:p>
        </w:tc>
        <w:tc>
          <w:tcPr>
            <w:tcW w:w="728" w:type="pct"/>
            <w:vMerge/>
            <w:tcBorders>
              <w:left w:val="nil"/>
              <w:right w:val="nil"/>
            </w:tcBorders>
            <w:tcMar>
              <w:top w:w="30" w:type="dxa"/>
              <w:left w:w="120" w:type="dxa"/>
              <w:bottom w:w="30" w:type="dxa"/>
              <w:right w:w="300" w:type="dxa"/>
            </w:tcMar>
          </w:tcPr>
          <w:p w14:paraId="6F96FB6A" w14:textId="3E3DA157"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14:paraId="0E37F5D7" w14:textId="47363CE9" w:rsidR="00B31225" w:rsidRPr="003D7AFA" w:rsidRDefault="00EB6D56" w:rsidP="00B31225">
            <w:pPr>
              <w:jc w:val="both"/>
              <w:rPr>
                <w:b/>
                <w:bCs/>
                <w:i/>
                <w:iCs/>
                <w:color w:val="000000" w:themeColor="text1"/>
                <w:sz w:val="20"/>
                <w:szCs w:val="20"/>
              </w:rPr>
            </w:pPr>
            <w:r>
              <w:rPr>
                <w:b/>
                <w:bCs/>
                <w:i/>
                <w:iCs/>
                <w:color w:val="000000" w:themeColor="text1"/>
                <w:sz w:val="20"/>
                <w:szCs w:val="20"/>
              </w:rPr>
              <w:t>0.854</w:t>
            </w:r>
          </w:p>
        </w:tc>
        <w:tc>
          <w:tcPr>
            <w:tcW w:w="789" w:type="pct"/>
            <w:tcBorders>
              <w:top w:val="nil"/>
              <w:left w:val="nil"/>
              <w:bottom w:val="nil"/>
              <w:right w:val="nil"/>
            </w:tcBorders>
            <w:tcMar>
              <w:top w:w="30" w:type="dxa"/>
              <w:left w:w="120" w:type="dxa"/>
              <w:bottom w:w="30" w:type="dxa"/>
              <w:right w:w="300" w:type="dxa"/>
            </w:tcMar>
          </w:tcPr>
          <w:p w14:paraId="13DEF4FA" w14:textId="7DE02BE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0.0314</w:t>
            </w:r>
          </w:p>
        </w:tc>
        <w:tc>
          <w:tcPr>
            <w:tcW w:w="384" w:type="pct"/>
            <w:tcBorders>
              <w:top w:val="nil"/>
              <w:left w:val="nil"/>
              <w:bottom w:val="nil"/>
              <w:right w:val="nil"/>
            </w:tcBorders>
          </w:tcPr>
          <w:p w14:paraId="292DF8CF" w14:textId="1C0125BF"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DDF1FC1" w14:textId="7311C85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40B31265" w14:textId="23D22B7F" w:rsidTr="005E6819">
        <w:trPr>
          <w:cantSplit/>
          <w:tblCellSpacing w:w="15" w:type="dxa"/>
        </w:trPr>
        <w:tc>
          <w:tcPr>
            <w:tcW w:w="775" w:type="pct"/>
            <w:vMerge/>
            <w:tcBorders>
              <w:top w:val="nil"/>
              <w:left w:val="nil"/>
              <w:bottom w:val="single" w:sz="12" w:space="0" w:color="333333"/>
              <w:right w:val="nil"/>
            </w:tcBorders>
            <w:vAlign w:val="center"/>
            <w:hideMark/>
          </w:tcPr>
          <w:p w14:paraId="2F7FA29E"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E8E594B" w14:textId="77777777" w:rsidR="00B31225" w:rsidRPr="003D7AFA" w:rsidRDefault="00B31225" w:rsidP="00B31225">
            <w:pPr>
              <w:jc w:val="both"/>
              <w:rPr>
                <w:b/>
                <w:bCs/>
                <w:i/>
                <w:iCs/>
                <w:color w:val="000000" w:themeColor="text1"/>
                <w:sz w:val="20"/>
                <w:szCs w:val="20"/>
              </w:rPr>
            </w:pPr>
            <w:r>
              <w:t>BSUC_3</w:t>
            </w:r>
          </w:p>
        </w:tc>
        <w:tc>
          <w:tcPr>
            <w:tcW w:w="581" w:type="pct"/>
            <w:tcBorders>
              <w:top w:val="nil"/>
              <w:left w:val="nil"/>
              <w:bottom w:val="nil"/>
              <w:right w:val="nil"/>
            </w:tcBorders>
            <w:tcMar>
              <w:top w:w="30" w:type="dxa"/>
              <w:left w:w="120" w:type="dxa"/>
              <w:bottom w:w="30" w:type="dxa"/>
              <w:right w:w="300" w:type="dxa"/>
            </w:tcMar>
            <w:hideMark/>
          </w:tcPr>
          <w:p w14:paraId="4604808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0.673</w:t>
            </w:r>
          </w:p>
        </w:tc>
        <w:tc>
          <w:tcPr>
            <w:tcW w:w="728" w:type="pct"/>
            <w:vMerge/>
            <w:tcBorders>
              <w:left w:val="nil"/>
              <w:right w:val="nil"/>
            </w:tcBorders>
            <w:tcMar>
              <w:top w:w="30" w:type="dxa"/>
              <w:left w:w="120" w:type="dxa"/>
              <w:bottom w:w="30" w:type="dxa"/>
              <w:right w:w="300" w:type="dxa"/>
            </w:tcMar>
          </w:tcPr>
          <w:p w14:paraId="35C4165C" w14:textId="2A75DDC9"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14:paraId="3E9A944C" w14:textId="47809235" w:rsidR="00B31225" w:rsidRPr="003D7AFA" w:rsidRDefault="00B31225"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B380F62" w14:textId="0C403F33"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0.0313</w:t>
            </w:r>
          </w:p>
        </w:tc>
        <w:tc>
          <w:tcPr>
            <w:tcW w:w="384" w:type="pct"/>
            <w:tcBorders>
              <w:top w:val="nil"/>
              <w:left w:val="nil"/>
              <w:bottom w:val="nil"/>
              <w:right w:val="nil"/>
            </w:tcBorders>
          </w:tcPr>
          <w:p w14:paraId="454BC5BA" w14:textId="17C54FF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0DB6EB1" w14:textId="079A42D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1EF6AC26" w14:textId="0D32680D" w:rsidTr="005E6819">
        <w:trPr>
          <w:cantSplit/>
          <w:tblCellSpacing w:w="15" w:type="dxa"/>
        </w:trPr>
        <w:tc>
          <w:tcPr>
            <w:tcW w:w="775" w:type="pct"/>
            <w:vMerge/>
            <w:tcBorders>
              <w:top w:val="nil"/>
              <w:left w:val="nil"/>
              <w:bottom w:val="single" w:sz="12" w:space="0" w:color="333333"/>
              <w:right w:val="nil"/>
            </w:tcBorders>
            <w:vAlign w:val="center"/>
            <w:hideMark/>
          </w:tcPr>
          <w:p w14:paraId="30D586D5"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single" w:sz="12" w:space="0" w:color="333333"/>
              <w:right w:val="nil"/>
            </w:tcBorders>
            <w:tcMar>
              <w:top w:w="60" w:type="dxa"/>
              <w:left w:w="120" w:type="dxa"/>
              <w:bottom w:w="120" w:type="dxa"/>
              <w:right w:w="120" w:type="dxa"/>
            </w:tcMar>
            <w:hideMark/>
          </w:tcPr>
          <w:p w14:paraId="0AA26090" w14:textId="77777777" w:rsidR="00B31225" w:rsidRPr="003D7AFA" w:rsidRDefault="00B31225" w:rsidP="00B31225">
            <w:pPr>
              <w:jc w:val="both"/>
              <w:rPr>
                <w:b/>
                <w:bCs/>
                <w:i/>
                <w:iCs/>
                <w:color w:val="000000" w:themeColor="text1"/>
                <w:sz w:val="20"/>
                <w:szCs w:val="20"/>
              </w:rPr>
            </w:pPr>
            <w:r>
              <w:t>BSUC_4</w:t>
            </w:r>
          </w:p>
        </w:tc>
        <w:tc>
          <w:tcPr>
            <w:tcW w:w="581" w:type="pct"/>
            <w:tcBorders>
              <w:top w:val="nil"/>
              <w:left w:val="nil"/>
              <w:bottom w:val="single" w:sz="12" w:space="0" w:color="333333"/>
              <w:right w:val="nil"/>
            </w:tcBorders>
            <w:tcMar>
              <w:top w:w="30" w:type="dxa"/>
              <w:left w:w="120" w:type="dxa"/>
              <w:bottom w:w="120" w:type="dxa"/>
              <w:right w:w="300" w:type="dxa"/>
            </w:tcMar>
            <w:hideMark/>
          </w:tcPr>
          <w:p w14:paraId="125F3D39"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0.682</w:t>
            </w:r>
          </w:p>
        </w:tc>
        <w:tc>
          <w:tcPr>
            <w:tcW w:w="728" w:type="pct"/>
            <w:vMerge/>
            <w:tcBorders>
              <w:left w:val="nil"/>
              <w:bottom w:val="single" w:sz="12" w:space="0" w:color="333333"/>
              <w:right w:val="nil"/>
            </w:tcBorders>
            <w:tcMar>
              <w:top w:w="30" w:type="dxa"/>
              <w:left w:w="120" w:type="dxa"/>
              <w:bottom w:w="120" w:type="dxa"/>
              <w:right w:w="300" w:type="dxa"/>
            </w:tcMar>
          </w:tcPr>
          <w:p w14:paraId="6ABC5D11" w14:textId="7A517C96" w:rsidR="00B31225" w:rsidRPr="003D7AFA" w:rsidRDefault="00B31225" w:rsidP="00B31225">
            <w:pPr>
              <w:jc w:val="both"/>
              <w:rPr>
                <w:b/>
                <w:bCs/>
                <w:i/>
                <w:iCs/>
                <w:color w:val="000000" w:themeColor="text1"/>
                <w:sz w:val="20"/>
                <w:szCs w:val="20"/>
              </w:rPr>
            </w:pPr>
          </w:p>
        </w:tc>
        <w:tc>
          <w:tcPr>
            <w:tcW w:w="525" w:type="pct"/>
            <w:tcBorders>
              <w:top w:val="nil"/>
              <w:left w:val="nil"/>
              <w:bottom w:val="single" w:sz="12" w:space="0" w:color="333333"/>
              <w:right w:val="nil"/>
            </w:tcBorders>
            <w:tcMar>
              <w:top w:w="30" w:type="dxa"/>
              <w:left w:w="120" w:type="dxa"/>
              <w:bottom w:w="120" w:type="dxa"/>
              <w:right w:w="300" w:type="dxa"/>
            </w:tcMar>
          </w:tcPr>
          <w:p w14:paraId="574B3934" w14:textId="177B900A" w:rsidR="00B31225" w:rsidRPr="003D7AFA" w:rsidRDefault="00B31225" w:rsidP="00B31225">
            <w:pPr>
              <w:jc w:val="both"/>
              <w:rPr>
                <w:b/>
                <w:bCs/>
                <w:i/>
                <w:iCs/>
                <w:color w:val="000000" w:themeColor="text1"/>
                <w:sz w:val="20"/>
                <w:szCs w:val="20"/>
              </w:rPr>
            </w:pPr>
          </w:p>
        </w:tc>
        <w:tc>
          <w:tcPr>
            <w:tcW w:w="789" w:type="pct"/>
            <w:tcBorders>
              <w:top w:val="nil"/>
              <w:left w:val="nil"/>
              <w:bottom w:val="single" w:sz="12" w:space="0" w:color="333333"/>
              <w:right w:val="nil"/>
            </w:tcBorders>
            <w:tcMar>
              <w:top w:w="30" w:type="dxa"/>
              <w:left w:w="120" w:type="dxa"/>
              <w:bottom w:w="120" w:type="dxa"/>
              <w:right w:w="300" w:type="dxa"/>
            </w:tcMar>
          </w:tcPr>
          <w:p w14:paraId="7BDE6C89" w14:textId="44026F0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single" w:sz="12" w:space="0" w:color="333333"/>
              <w:right w:val="nil"/>
            </w:tcBorders>
          </w:tcPr>
          <w:p w14:paraId="567AC4C4" w14:textId="2C6AE36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single" w:sz="12" w:space="0" w:color="333333"/>
              <w:right w:val="nil"/>
            </w:tcBorders>
          </w:tcPr>
          <w:p w14:paraId="61CE75D7" w14:textId="1BA270D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bl>
    <w:p w14:paraId="4C7839A3" w14:textId="594CB047" w:rsidR="007716D8" w:rsidRPr="007716D8" w:rsidRDefault="007716D8" w:rsidP="007716D8">
      <w:pPr>
        <w:jc w:val="both"/>
        <w:rPr>
          <w:b/>
          <w:bCs/>
          <w:i/>
          <w:iCs/>
          <w:color w:val="000000" w:themeColor="text1"/>
          <w:sz w:val="20"/>
          <w:szCs w:val="20"/>
        </w:rPr>
      </w:pPr>
      <w:r>
        <w:t>UE = User Engagement; UX = User Experience; BSAT = Brand Satisfaction; BSUC = Brand Success. Source: Authors.</w:t>
      </w:r>
    </w:p>
    <w:p w14:paraId="6BEEDA11" w14:textId="77777777" w:rsidR="0069183E" w:rsidRDefault="0069183E" w:rsidP="0069183E">
      <w:pPr>
        <w:spacing w:line="360" w:lineRule="auto"/>
        <w:jc w:val="both"/>
        <w:rPr>
          <w:b/>
          <w:bCs/>
          <w:i/>
          <w:iCs/>
          <w:color w:val="000000" w:themeColor="text1"/>
        </w:rPr>
      </w:pPr>
      <w:proofErr w:type="spellStart"/>
      <w:proofErr w:type="spellEnd"/>
      <w:proofErr w:type="spellStart"/>
      <w:proofErr w:type="spellEnd"/>
      <w:r>
        <w:t>Table 4. Heterotrait-Monotrait (HTMT) Discriminant Validity and Construct Association Matrix</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960"/>
        <w:gridCol w:w="1600"/>
        <w:gridCol w:w="1600"/>
        <w:gridCol w:w="1600"/>
        <w:gridCol w:w="1600"/>
      </w:tblGrid>
      <w:tr w:rsidR="0069183E" w14:paraId="73680EBE" w14:textId="77777777" w:rsidTr="004962AE">
        <w:trPr>
          <w:tblHeader/>
        </w:trPr>
        <w:tc>
          <w:tcPr>
            <w:tcW w:w="2960" w:type="dxa"/>
            <w:shd w:val="clear" w:color="auto" w:fill="1F4E79"/>
          </w:tcPr>
          <w:p w14:paraId="4530A919" w14:textId="77777777" w:rsidR="0069183E" w:rsidRDefault="0069183E" w:rsidP="004962AE">
            <w:pPr>
              <w:jc w:val="center"/>
            </w:pPr>
            <w:r>
              <w:rPr>
                <w:b/>
                <w:color w:val="FFFFFF"/>
                <w:sz w:val="18"/>
                <w:szCs w:val="18"/>
              </w:rPr>
              <w:t>Construct</w:t>
            </w:r>
          </w:p>
        </w:tc>
        <w:tc>
          <w:tcPr>
            <w:tcW w:w="1600" w:type="dxa"/>
            <w:shd w:val="clear" w:color="auto" w:fill="1F4E79"/>
          </w:tcPr>
          <w:p w14:paraId="76D405B6" w14:textId="77777777" w:rsidR="0069183E" w:rsidRDefault="0069183E" w:rsidP="004962AE">
            <w:pPr>
              <w:jc w:val="center"/>
            </w:pPr>
            <w:r>
              <w:t>BSAT</w:t>
            </w:r>
          </w:p>
        </w:tc>
        <w:tc>
          <w:tcPr>
            <w:tcW w:w="1600" w:type="dxa"/>
            <w:shd w:val="clear" w:color="auto" w:fill="1F4E79"/>
          </w:tcPr>
          <w:p w14:paraId="3EEC0AF5" w14:textId="77777777" w:rsidR="0069183E" w:rsidRDefault="0069183E" w:rsidP="004962AE">
            <w:pPr>
              <w:jc w:val="center"/>
            </w:pPr>
            <w:r>
              <w:t>BSUC</w:t>
            </w:r>
          </w:p>
        </w:tc>
        <w:tc>
          <w:tcPr>
            <w:tcW w:w="1600" w:type="dxa"/>
            <w:shd w:val="clear" w:color="auto" w:fill="1F4E79"/>
          </w:tcPr>
          <w:p w14:paraId="006D2BCE" w14:textId="77777777" w:rsidR="0069183E" w:rsidRDefault="0069183E" w:rsidP="004962AE">
            <w:pPr>
              <w:jc w:val="center"/>
            </w:pPr>
            <w:r>
              <w:t>UX</w:t>
            </w:r>
          </w:p>
        </w:tc>
        <w:tc>
          <w:tcPr>
            <w:tcW w:w="1600" w:type="dxa"/>
            <w:shd w:val="clear" w:color="auto" w:fill="1F4E79"/>
          </w:tcPr>
          <w:p w14:paraId="7736264B" w14:textId="77777777" w:rsidR="0069183E" w:rsidRDefault="0069183E" w:rsidP="004962AE">
            <w:pPr>
              <w:jc w:val="center"/>
            </w:pPr>
            <w:r>
              <w:t>UE</w:t>
            </w:r>
          </w:p>
        </w:tc>
      </w:tr>
      <w:tr w:rsidR="0069183E" w14:paraId="0B1739D4" w14:textId="77777777" w:rsidTr="004962AE">
        <w:tc>
          <w:tcPr>
            <w:tcW w:w="2960" w:type="dxa"/>
            <w:shd w:val="clear" w:color="auto" w:fill="EBF3FB"/>
          </w:tcPr>
          <w:p w14:paraId="7A0A9238" w14:textId="77777777" w:rsidR="0069183E" w:rsidRDefault="0069183E" w:rsidP="004962AE">
            <w:r>
              <w:t>Brand Satisfaction (BSAT)</w:t>
            </w:r>
          </w:p>
        </w:tc>
        <w:tc>
          <w:tcPr>
            <w:tcW w:w="1600" w:type="dxa"/>
          </w:tcPr>
          <w:p w14:paraId="029870A6" w14:textId="77777777" w:rsidR="0069183E" w:rsidRDefault="0069183E" w:rsidP="004962AE">
            <w:pPr>
              <w:jc w:val="center"/>
            </w:pPr>
            <w:r>
              <w:rPr>
                <w:sz w:val="18"/>
                <w:szCs w:val="18"/>
              </w:rPr>
              <w:t>—</w:t>
            </w:r>
          </w:p>
        </w:tc>
        <w:tc>
          <w:tcPr>
            <w:tcW w:w="1600" w:type="dxa"/>
          </w:tcPr>
          <w:p w14:paraId="2D263EFD" w14:textId="77777777" w:rsidR="0069183E" w:rsidRDefault="0069183E" w:rsidP="004962AE">
            <w:pPr>
              <w:jc w:val="center"/>
            </w:pPr>
            <w:r>
              <w:rPr>
                <w:sz w:val="18"/>
                <w:szCs w:val="18"/>
              </w:rPr>
              <w:t xml:space="preserve"> </w:t>
            </w:r>
          </w:p>
        </w:tc>
        <w:tc>
          <w:tcPr>
            <w:tcW w:w="1600" w:type="dxa"/>
          </w:tcPr>
          <w:p w14:paraId="2F4B299C" w14:textId="77777777" w:rsidR="0069183E" w:rsidRDefault="0069183E" w:rsidP="004962AE">
            <w:pPr>
              <w:jc w:val="center"/>
            </w:pPr>
            <w:r>
              <w:rPr>
                <w:sz w:val="18"/>
                <w:szCs w:val="18"/>
              </w:rPr>
              <w:t xml:space="preserve"> </w:t>
            </w:r>
          </w:p>
        </w:tc>
        <w:tc>
          <w:tcPr>
            <w:tcW w:w="1600" w:type="dxa"/>
          </w:tcPr>
          <w:p w14:paraId="71880AE7" w14:textId="77777777" w:rsidR="0069183E" w:rsidRDefault="0069183E" w:rsidP="004962AE">
            <w:pPr>
              <w:jc w:val="center"/>
            </w:pPr>
            <w:r>
              <w:rPr>
                <w:sz w:val="18"/>
                <w:szCs w:val="18"/>
              </w:rPr>
              <w:t xml:space="preserve"> </w:t>
            </w:r>
          </w:p>
        </w:tc>
      </w:tr>
      <w:tr w:rsidR="0069183E" w14:paraId="7D2A1B18" w14:textId="77777777" w:rsidTr="004962AE">
        <w:tc>
          <w:tcPr>
            <w:tcW w:w="2960" w:type="dxa"/>
            <w:shd w:val="clear" w:color="auto" w:fill="EBF3FB"/>
          </w:tcPr>
          <w:p w14:paraId="151241E0" w14:textId="77777777" w:rsidR="0069183E" w:rsidRDefault="0069183E" w:rsidP="004962AE">
            <w:r>
              <w:t>Brand Success (BSUC)</w:t>
            </w:r>
          </w:p>
        </w:tc>
        <w:tc>
          <w:tcPr>
            <w:tcW w:w="1600" w:type="dxa"/>
          </w:tcPr>
          <w:p w14:paraId="7875E944" w14:textId="77777777" w:rsidR="0069183E" w:rsidRDefault="0069183E" w:rsidP="004962AE">
            <w:pPr>
              <w:jc w:val="center"/>
            </w:pPr>
            <w:r>
              <w:rPr>
                <w:sz w:val="18"/>
                <w:szCs w:val="18"/>
              </w:rPr>
              <w:t>0.743</w:t>
            </w:r>
          </w:p>
        </w:tc>
        <w:tc>
          <w:tcPr>
            <w:tcW w:w="1600" w:type="dxa"/>
          </w:tcPr>
          <w:p w14:paraId="5E82CD10" w14:textId="77777777" w:rsidR="0069183E" w:rsidRDefault="0069183E" w:rsidP="004962AE">
            <w:pPr>
              <w:jc w:val="center"/>
            </w:pPr>
            <w:r>
              <w:rPr>
                <w:sz w:val="18"/>
                <w:szCs w:val="18"/>
              </w:rPr>
              <w:t>—</w:t>
            </w:r>
          </w:p>
        </w:tc>
        <w:tc>
          <w:tcPr>
            <w:tcW w:w="1600" w:type="dxa"/>
          </w:tcPr>
          <w:p w14:paraId="5B01C64A" w14:textId="77777777" w:rsidR="0069183E" w:rsidRDefault="0069183E" w:rsidP="004962AE">
            <w:pPr>
              <w:jc w:val="center"/>
            </w:pPr>
            <w:r>
              <w:rPr>
                <w:sz w:val="18"/>
                <w:szCs w:val="18"/>
              </w:rPr>
              <w:t xml:space="preserve"> </w:t>
            </w:r>
          </w:p>
        </w:tc>
        <w:tc>
          <w:tcPr>
            <w:tcW w:w="1600" w:type="dxa"/>
          </w:tcPr>
          <w:p w14:paraId="6E20D8CD" w14:textId="77777777" w:rsidR="0069183E" w:rsidRDefault="0069183E" w:rsidP="004962AE">
            <w:pPr>
              <w:jc w:val="center"/>
            </w:pPr>
            <w:r>
              <w:rPr>
                <w:sz w:val="18"/>
                <w:szCs w:val="18"/>
              </w:rPr>
              <w:t xml:space="preserve"> </w:t>
            </w:r>
          </w:p>
        </w:tc>
      </w:tr>
      <w:tr w:rsidR="0069183E" w14:paraId="2A0E46EF" w14:textId="77777777" w:rsidTr="004962AE">
        <w:tc>
          <w:tcPr>
            <w:tcW w:w="2960" w:type="dxa"/>
            <w:shd w:val="clear" w:color="auto" w:fill="EBF3FB"/>
          </w:tcPr>
          <w:p w14:paraId="535E53D7" w14:textId="77777777" w:rsidR="0069183E" w:rsidRDefault="0069183E" w:rsidP="004962AE">
            <w:r>
              <w:t>User Experience (UX)</w:t>
            </w:r>
          </w:p>
        </w:tc>
        <w:tc>
          <w:tcPr>
            <w:tcW w:w="1600" w:type="dxa"/>
          </w:tcPr>
          <w:p w14:paraId="64C33D23" w14:textId="77777777" w:rsidR="0069183E" w:rsidRDefault="0069183E" w:rsidP="004962AE">
            <w:pPr>
              <w:jc w:val="center"/>
            </w:pPr>
            <w:r>
              <w:rPr>
                <w:sz w:val="18"/>
                <w:szCs w:val="18"/>
              </w:rPr>
              <w:t>0.768</w:t>
            </w:r>
          </w:p>
        </w:tc>
        <w:tc>
          <w:tcPr>
            <w:tcW w:w="1600" w:type="dxa"/>
          </w:tcPr>
          <w:p w14:paraId="310D6658" w14:textId="77777777" w:rsidR="0069183E" w:rsidRDefault="0069183E" w:rsidP="004962AE">
            <w:pPr>
              <w:jc w:val="center"/>
            </w:pPr>
            <w:r>
              <w:rPr>
                <w:sz w:val="18"/>
                <w:szCs w:val="18"/>
              </w:rPr>
              <w:t>0.712</w:t>
            </w:r>
          </w:p>
        </w:tc>
        <w:tc>
          <w:tcPr>
            <w:tcW w:w="1600" w:type="dxa"/>
          </w:tcPr>
          <w:p w14:paraId="6A1C16C2" w14:textId="77777777" w:rsidR="0069183E" w:rsidRDefault="0069183E" w:rsidP="004962AE">
            <w:pPr>
              <w:jc w:val="center"/>
            </w:pPr>
            <w:r>
              <w:rPr>
                <w:sz w:val="18"/>
                <w:szCs w:val="18"/>
              </w:rPr>
              <w:t>—</w:t>
            </w:r>
          </w:p>
        </w:tc>
        <w:tc>
          <w:tcPr>
            <w:tcW w:w="1600" w:type="dxa"/>
          </w:tcPr>
          <w:p w14:paraId="52A1F3AE" w14:textId="77777777" w:rsidR="0069183E" w:rsidRDefault="0069183E" w:rsidP="004962AE">
            <w:pPr>
              <w:jc w:val="center"/>
            </w:pPr>
            <w:r>
              <w:rPr>
                <w:sz w:val="18"/>
                <w:szCs w:val="18"/>
              </w:rPr>
              <w:t xml:space="preserve"> </w:t>
            </w:r>
          </w:p>
        </w:tc>
      </w:tr>
      <w:tr w:rsidR="0069183E" w14:paraId="370A9E88" w14:textId="77777777" w:rsidTr="004962AE">
        <w:tc>
          <w:tcPr>
            <w:tcW w:w="2960" w:type="dxa"/>
            <w:shd w:val="clear" w:color="auto" w:fill="EBF3FB"/>
          </w:tcPr>
          <w:p w14:paraId="00C407CF" w14:textId="77777777" w:rsidR="0069183E" w:rsidRDefault="0069183E" w:rsidP="004962AE">
            <w:r>
              <w:t>User Engagement (UE)</w:t>
            </w:r>
          </w:p>
        </w:tc>
        <w:tc>
          <w:tcPr>
            <w:tcW w:w="1600" w:type="dxa"/>
          </w:tcPr>
          <w:p w14:paraId="7B6C4086" w14:textId="77777777" w:rsidR="0069183E" w:rsidRDefault="0069183E" w:rsidP="004962AE">
            <w:pPr>
              <w:jc w:val="center"/>
            </w:pPr>
            <w:r>
              <w:rPr>
                <w:sz w:val="18"/>
                <w:szCs w:val="18"/>
              </w:rPr>
              <w:t>0.756</w:t>
            </w:r>
          </w:p>
        </w:tc>
        <w:tc>
          <w:tcPr>
            <w:tcW w:w="1600" w:type="dxa"/>
          </w:tcPr>
          <w:p w14:paraId="02F45AF5" w14:textId="77777777" w:rsidR="0069183E" w:rsidRDefault="0069183E" w:rsidP="004962AE">
            <w:pPr>
              <w:jc w:val="center"/>
            </w:pPr>
            <w:r>
              <w:rPr>
                <w:sz w:val="18"/>
                <w:szCs w:val="18"/>
              </w:rPr>
              <w:t>0.729</w:t>
            </w:r>
          </w:p>
        </w:tc>
        <w:tc>
          <w:tcPr>
            <w:tcW w:w="1600" w:type="dxa"/>
          </w:tcPr>
          <w:p w14:paraId="735214D6" w14:textId="77777777" w:rsidR="0069183E" w:rsidRDefault="0069183E" w:rsidP="004962AE">
            <w:pPr>
              <w:jc w:val="center"/>
            </w:pPr>
            <w:r>
              <w:rPr>
                <w:sz w:val="18"/>
                <w:szCs w:val="18"/>
              </w:rPr>
              <w:t>0.814</w:t>
            </w:r>
          </w:p>
        </w:tc>
        <w:tc>
          <w:tcPr>
            <w:tcW w:w="1600" w:type="dxa"/>
          </w:tcPr>
          <w:p w14:paraId="2EF6398D" w14:textId="77777777" w:rsidR="0069183E" w:rsidRDefault="0069183E" w:rsidP="004962AE">
            <w:pPr>
              <w:jc w:val="center"/>
            </w:pPr>
            <w:r>
              <w:rPr>
                <w:sz w:val="18"/>
                <w:szCs w:val="18"/>
              </w:rPr>
              <w:t>—</w:t>
            </w:r>
          </w:p>
        </w:tc>
      </w:tr>
    </w:tbl>
    <w:p w14:paraId="54799BEC" w14:textId="77777777" w:rsidR="0069183E" w:rsidRDefault="0069183E" w:rsidP="0069183E">
      <w:pPr>
        <w:spacing w:line="360" w:lineRule="auto"/>
        <w:jc w:val="both"/>
        <w:rPr>
          <w:i/>
          <w:iCs/>
          <w:color w:val="000000" w:themeColor="text1"/>
        </w:rPr>
      </w:pPr>
    </w:p>
    <w:p w14:paraId="2D7085C0" w14:textId="281BFB04" w:rsidR="0069183E" w:rsidRDefault="0069183E" w:rsidP="0069183E">
      <w:pPr>
        <w:spacing w:line="360" w:lineRule="auto"/>
        <w:jc w:val="both"/>
        <w:rPr>
          <w:i/>
          <w:iCs/>
          <w:color w:val="000000" w:themeColor="text1"/>
        </w:rPr>
      </w:pPr>
      <w:proofErr w:type="spellStart"/>
      <w:proofErr w:type="spellEnd"/>
      <w:r>
        <w:t>Note. All HTMT values are below 0.85, confirming discriminant validity; the maximum value is 0.814 (UX-UE). BSAT = Brand Satisfaction; BSUC = Brand Success; UX = User Experience; UE = User Engagement. Values derived from SmartPLS bootstrapping (5,000 subsamples). Source: Authors.</w:t>
      </w:r>
    </w:p>
    <w:p w14:paraId="4C8B7131" w14:textId="77777777" w:rsidR="0069183E" w:rsidRPr="002B4CA4" w:rsidRDefault="0069183E" w:rsidP="002B4CA4">
      <w:pPr>
        <w:spacing w:line="360" w:lineRule="auto"/>
        <w:jc w:val="both"/>
        <w:rPr>
          <w:color w:val="000000" w:themeColor="text1"/>
        </w:rPr>
      </w:pPr>
    </w:p>
    <w:p w14:paraId="1DD2F389" w14:textId="77777777" w:rsidR="00D40C17" w:rsidRDefault="00D40C17" w:rsidP="005A1FB3">
      <w:pPr>
        <w:spacing w:line="360" w:lineRule="auto"/>
        <w:jc w:val="both"/>
        <w:rPr>
          <w:color w:val="000000" w:themeColor="text1"/>
        </w:rPr>
      </w:pPr>
    </w:p>
    <w:p w14:paraId="65BA300D" w14:textId="77777777" w:rsidR="0069183E" w:rsidRDefault="0069183E" w:rsidP="005A1FB3">
      <w:pPr>
        <w:spacing w:line="360" w:lineRule="auto"/>
        <w:jc w:val="both"/>
        <w:rPr>
          <w:color w:val="000000" w:themeColor="text1"/>
        </w:rPr>
      </w:pPr>
    </w:p>
    <w:p w14:paraId="4B667890" w14:textId="77777777" w:rsidR="0069183E" w:rsidRDefault="0069183E" w:rsidP="005A1FB3">
      <w:pPr>
        <w:spacing w:line="360" w:lineRule="auto"/>
        <w:jc w:val="both"/>
        <w:rPr>
          <w:color w:val="000000" w:themeColor="text1"/>
        </w:rPr>
      </w:pPr>
    </w:p>
    <w:p w14:paraId="76A40470" w14:textId="77777777" w:rsidR="0069183E" w:rsidRDefault="0069183E" w:rsidP="005A1FB3">
      <w:pPr>
        <w:spacing w:line="360" w:lineRule="auto"/>
        <w:jc w:val="both"/>
        <w:rPr>
          <w:color w:val="000000" w:themeColor="text1"/>
        </w:rPr>
      </w:pPr>
    </w:p>
    <w:p w14:paraId="7836E254" w14:textId="77777777" w:rsidR="003D7AFA" w:rsidRPr="003D7AFA" w:rsidRDefault="003D7AFA" w:rsidP="003D7AFA">
      <w:pPr>
        <w:jc w:val="both"/>
        <w:rPr>
          <w:b/>
          <w:bCs/>
          <w:i/>
          <w:iCs/>
          <w:color w:val="000000" w:themeColor="text1"/>
          <w:sz w:val="20"/>
          <w:szCs w:val="20"/>
        </w:rPr>
      </w:pPr>
      <w:r w:rsidRPr="003D7AFA">
        <w:rPr>
          <w:b/>
          <w:bCs/>
          <w:i/>
          <w:iCs/>
          <w:color w:val="000000" w:themeColor="text1"/>
          <w:sz w:val="20"/>
          <w:szCs w:val="20"/>
        </w:rPr>
        <w:t> </w:t>
      </w:r>
    </w:p>
    <w:p w14:paraId="1BCA15F6" w14:textId="77777777" w:rsidR="003D7AFA" w:rsidRDefault="003D7AFA" w:rsidP="007716D8">
      <w:pPr>
        <w:jc w:val="both"/>
        <w:rPr>
          <w:b/>
          <w:bCs/>
          <w:i/>
          <w:iCs/>
          <w:color w:val="000000" w:themeColor="text1"/>
          <w:sz w:val="20"/>
          <w:szCs w:val="20"/>
        </w:rPr>
      </w:pPr>
    </w:p>
    <w:p w14:paraId="2AE33DD3" w14:textId="2B26EBFE" w:rsidR="00FA6A39" w:rsidRPr="00466DAD" w:rsidRDefault="005A1FB3" w:rsidP="00466DAD">
      <w:pPr>
        <w:jc w:val="both"/>
        <w:rPr>
          <w:i/>
          <w:iCs/>
          <w:color w:val="000000" w:themeColor="text1"/>
          <w:sz w:val="20"/>
          <w:szCs w:val="20"/>
        </w:rPr>
      </w:pPr>
      <w:r w:rsidRPr="007716D8">
        <w:rPr>
          <w:b/>
          <w:bCs/>
          <w:i/>
          <w:iCs/>
          <w:color w:val="000000" w:themeColor="text1"/>
          <w:sz w:val="20"/>
          <w:szCs w:val="20"/>
        </w:rPr>
        <w:t>Source:</w:t>
      </w:r>
      <w:r w:rsidRPr="007716D8">
        <w:rPr>
          <w:i/>
          <w:iCs/>
          <w:color w:val="000000" w:themeColor="text1"/>
          <w:sz w:val="20"/>
          <w:szCs w:val="20"/>
        </w:rPr>
        <w:t xml:space="preserve"> Authors</w:t>
      </w:r>
    </w:p>
    <w:p w14:paraId="334105EB" w14:textId="77777777" w:rsidR="00FD5EFD" w:rsidRPr="00FD5EFD" w:rsidRDefault="005A1FB3" w:rsidP="00FD5EFD">
      <w:pPr>
        <w:tabs>
          <w:tab w:val="left" w:pos="426"/>
        </w:tabs>
        <w:spacing w:line="360" w:lineRule="auto"/>
        <w:jc w:val="both"/>
        <w:rPr>
          <w:color w:val="000000" w:themeColor="text1"/>
        </w:rPr>
      </w:pPr>
      <w:proofErr w:type="spellStart"/>
      <w:proofErr w:type="spellEnd"/>
      <w:r>
        <w:t>Rather than an item-level colour heatmap, which is difficult to interpret in greyscale, we report construct-level associations in the HTMT matrix (Table 4). All inter-construct values are positive and moderate to strong (0.712 to 0.814), consistent with the proposed model, while remaining below the discriminant-validity threshold, confirming that the constructs are related but distinct.</w:t>
      </w:r>
    </w:p>
    <w:p w14:paraId="0F24E97F" w14:textId="63C3BE5B" w:rsidR="004D6242" w:rsidRPr="00FD5EFD" w:rsidRDefault="00FD5EFD" w:rsidP="00FD5EFD">
      <w:pPr>
        <w:tabs>
          <w:tab w:val="left" w:pos="426"/>
        </w:tabs>
        <w:spacing w:line="360" w:lineRule="auto"/>
        <w:jc w:val="both"/>
        <w:rPr>
          <w:color w:val="000000" w:themeColor="text1"/>
        </w:rPr>
      </w:pPr>
      <w:r>
        <w:t>In sum, the measurement model demonstrates high reliability (Table 3), convergence of indicators (AVE &gt; 0.50), and discriminant validity (Table 4). Together these results indicate that the scales measure their intended constructs reliably and distinctly, supporting their use in the configurational analysis that follows.</w:t>
      </w:r>
    </w:p>
    <w:p w14:paraId="7EB2AB4B" w14:textId="79DF1EA7" w:rsidR="004D6242" w:rsidRPr="0043234C" w:rsidRDefault="000A6468" w:rsidP="00ED44A2">
      <w:pPr>
        <w:rPr>
          <w:color w:val="000000" w:themeColor="text1"/>
        </w:rPr>
      </w:pPr>
      <w:r w:rsidRPr="000A6468">
        <w:rPr>
          <w:noProof/>
          <w:color w:val="000000" w:themeColor="text1"/>
        </w:rPr>
        <w:drawing>
          <wp:inline distT="0" distB="0" distL="0" distR="0" wp14:anchorId="7FA7E29A" wp14:editId="335D91D8">
            <wp:extent cx="5725886" cy="6362096"/>
            <wp:effectExtent l="0" t="0" r="8255" b="635"/>
            <wp:docPr id="1283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94848" name=""/>
                    <pic:cNvPicPr/>
                  </pic:nvPicPr>
                  <pic:blipFill>
                    <a:blip r:embed="rId8"/>
                    <a:stretch>
                      <a:fillRect/>
                    </a:stretch>
                  </pic:blipFill>
                  <pic:spPr>
                    <a:xfrm>
                      <a:off x="0" y="0"/>
                      <a:ext cx="5735751" cy="6373057"/>
                    </a:xfrm>
                    <a:prstGeom prst="rect">
                      <a:avLst/>
                    </a:prstGeom>
                  </pic:spPr>
                </pic:pic>
              </a:graphicData>
            </a:graphic>
          </wp:inline>
        </w:drawing>
      </w:r>
    </w:p>
    <w:p w14:paraId="4B5B039C" w14:textId="26A0181F" w:rsidR="004D6242" w:rsidRPr="00B333C0" w:rsidRDefault="00B333C0" w:rsidP="00ED44A2">
      <w:pPr>
        <w:jc w:val="both"/>
        <w:rPr>
          <w:i/>
          <w:iCs/>
          <w:color w:val="000000" w:themeColor="text1"/>
          <w:sz w:val="20"/>
          <w:szCs w:val="20"/>
        </w:rPr>
      </w:pPr>
      <w:r>
        <w:rPr>
          <w:i/>
          <w:iCs/>
          <w:color w:val="000000" w:themeColor="text1"/>
          <w:sz w:val="20"/>
          <w:szCs w:val="20"/>
        </w:rPr>
        <w:t>Source: Authors.</w:t>
      </w:r>
    </w:p>
    <w:p w14:paraId="4929D405" w14:textId="77777777" w:rsidR="00ED44A2" w:rsidRPr="0043234C" w:rsidRDefault="00ED44A2" w:rsidP="00EE5E3D">
      <w:pPr>
        <w:spacing w:line="360" w:lineRule="auto"/>
        <w:jc w:val="both"/>
        <w:rPr>
          <w:i/>
          <w:iCs/>
          <w:color w:val="000000" w:themeColor="text1"/>
        </w:rPr>
      </w:pPr>
    </w:p>
    <w:p w14:paraId="48746CE3" w14:textId="77777777" w:rsidR="00023327" w:rsidRDefault="00023327" w:rsidP="007648C5">
      <w:pPr>
        <w:tabs>
          <w:tab w:val="left" w:pos="426"/>
        </w:tabs>
        <w:spacing w:line="360" w:lineRule="auto"/>
        <w:jc w:val="both"/>
        <w:rPr>
          <w:b/>
          <w:bCs/>
          <w:i/>
          <w:iCs/>
          <w:color w:val="000000" w:themeColor="text1"/>
        </w:rPr>
      </w:pPr>
    </w:p>
    <w:p w14:paraId="5E43DA4D" w14:textId="2EC2EF6A" w:rsidR="00104B31" w:rsidRDefault="00104B31" w:rsidP="007648C5">
      <w:pPr>
        <w:tabs>
          <w:tab w:val="left" w:pos="426"/>
        </w:tabs>
        <w:spacing w:line="360" w:lineRule="auto"/>
        <w:jc w:val="both"/>
        <w:rPr>
          <w:b/>
          <w:bCs/>
          <w:i/>
          <w:iCs/>
          <w:color w:val="000000" w:themeColor="text1"/>
        </w:rPr>
      </w:pPr>
      <w:r w:rsidRPr="00104B31">
        <w:rPr>
          <w:b/>
          <w:bCs/>
          <w:i/>
          <w:iCs/>
          <w:color w:val="000000" w:themeColor="text1"/>
        </w:rPr>
        <w:t xml:space="preserve">5.3. Data Analysis using </w:t>
      </w:r>
      <w:r w:rsidR="00202EAC">
        <w:rPr>
          <w:b/>
          <w:bCs/>
          <w:i/>
          <w:iCs/>
          <w:color w:val="000000" w:themeColor="text1"/>
        </w:rPr>
        <w:t>FsQCA</w:t>
      </w:r>
    </w:p>
    <w:p w14:paraId="5DF0915D" w14:textId="2807BCA1" w:rsidR="00104B31" w:rsidRPr="00104B31" w:rsidRDefault="00104B31" w:rsidP="007648C5">
      <w:pPr>
        <w:tabs>
          <w:tab w:val="left" w:pos="426"/>
        </w:tabs>
        <w:spacing w:line="360" w:lineRule="auto"/>
        <w:jc w:val="both"/>
        <w:rPr>
          <w:b/>
          <w:bCs/>
          <w:i/>
          <w:iCs/>
          <w:color w:val="000000" w:themeColor="text1"/>
        </w:rPr>
      </w:pPr>
      <w:r w:rsidRPr="00732C9D">
        <w:rPr>
          <w:b/>
          <w:bCs/>
          <w:i/>
          <w:iCs/>
          <w:color w:val="000000" w:themeColor="text1"/>
        </w:rPr>
        <w:t xml:space="preserve">5.3.1. Data Driven Results from </w:t>
      </w:r>
      <w:r w:rsidR="00202EAC">
        <w:rPr>
          <w:b/>
          <w:bCs/>
          <w:i/>
          <w:iCs/>
          <w:color w:val="000000" w:themeColor="text1"/>
        </w:rPr>
        <w:t>FsQCA</w:t>
      </w:r>
    </w:p>
    <w:p w14:paraId="28E5E57F" w14:textId="5C0A1B9E" w:rsidR="007648C5" w:rsidRPr="0043234C" w:rsidRDefault="004309B6" w:rsidP="007648C5">
      <w:pPr>
        <w:tabs>
          <w:tab w:val="left" w:pos="426"/>
        </w:tabs>
        <w:spacing w:line="360" w:lineRule="auto"/>
        <w:jc w:val="both"/>
        <w:rPr>
          <w:color w:val="000000" w:themeColor="text1"/>
        </w:rPr>
      </w:pPr>
      <w:r>
        <w:t>To prepare the data for fsQCA, each construct was calibrated into fuzzy-set membership scores. Following established guidance (Pappas and Woodside, 2021; Ragin, 2008), three anchors were set using the sample distribution: the 95th percentile as full membership, the 50th percentile as the crossover point, and the 5th percentile as full non-membership. Calibration transforms User Engagement (UE), User Experience (UX), Brand Satisfaction (BSAT), and Brand Success (BSUC) onto a common 0-to-1 scale, enabling set-theoretic analysis of necessity and sufficiency.</w:t>
      </w:r>
    </w:p>
    <w:p w14:paraId="0E303B7D" w14:textId="77777777" w:rsidR="00201257" w:rsidRPr="0043234C" w:rsidRDefault="00201257" w:rsidP="00201257">
      <w:pPr>
        <w:jc w:val="both"/>
        <w:rPr>
          <w:color w:val="000000" w:themeColor="text1"/>
        </w:rPr>
      </w:pPr>
    </w:p>
    <w:p w14:paraId="06139A6C" w14:textId="58525D71" w:rsidR="00201257" w:rsidRPr="0043234C" w:rsidRDefault="00201257" w:rsidP="008871CF">
      <w:pPr>
        <w:autoSpaceDE w:val="0"/>
        <w:autoSpaceDN w:val="0"/>
        <w:adjustRightInd w:val="0"/>
        <w:spacing w:line="360" w:lineRule="auto"/>
        <w:rPr>
          <w:i/>
          <w:iCs/>
          <w:sz w:val="16"/>
          <w:szCs w:val="16"/>
        </w:rPr>
      </w:pPr>
      <w:r>
        <w:t>Table 5. Subset-Superset Analysis: Coverage and Consistency of Condition Combinations</w:t>
      </w:r>
    </w:p>
    <w:tbl>
      <w:tblPr>
        <w:tblStyle w:val="TableGrid"/>
        <w:tblW w:w="9154" w:type="dxa"/>
        <w:tblLook w:val="04A0" w:firstRow="1" w:lastRow="0" w:firstColumn="1" w:lastColumn="0" w:noHBand="0" w:noVBand="1"/>
      </w:tblPr>
      <w:tblGrid>
        <w:gridCol w:w="3409"/>
        <w:gridCol w:w="2398"/>
        <w:gridCol w:w="1985"/>
        <w:gridCol w:w="1362"/>
      </w:tblGrid>
      <w:tr w:rsidR="00201257" w:rsidRPr="006D3229" w14:paraId="062671A3" w14:textId="77777777" w:rsidTr="00732C9D">
        <w:trPr>
          <w:trHeight w:val="309"/>
        </w:trPr>
        <w:tc>
          <w:tcPr>
            <w:tcW w:w="3409" w:type="dxa"/>
            <w:shd w:val="clear" w:color="auto" w:fill="D0CECE" w:themeFill="background2" w:themeFillShade="E6"/>
          </w:tcPr>
          <w:p w14:paraId="00571DFC" w14:textId="4DAD2526" w:rsidR="00201257" w:rsidRPr="006D3229" w:rsidRDefault="002066CD" w:rsidP="00AC22CF">
            <w:pPr>
              <w:autoSpaceDE w:val="0"/>
              <w:autoSpaceDN w:val="0"/>
              <w:adjustRightInd w:val="0"/>
              <w:spacing w:line="360" w:lineRule="auto"/>
              <w:rPr>
                <w:b/>
                <w:bCs/>
                <w:sz w:val="20"/>
                <w:szCs w:val="20"/>
              </w:rPr>
            </w:pPr>
            <w:r>
              <w:t>Model: BSUC = f (BSAT, UX, UE)</w:t>
            </w:r>
          </w:p>
        </w:tc>
        <w:tc>
          <w:tcPr>
            <w:tcW w:w="2398" w:type="dxa"/>
            <w:shd w:val="clear" w:color="auto" w:fill="D0CECE" w:themeFill="background2" w:themeFillShade="E6"/>
          </w:tcPr>
          <w:p w14:paraId="2925F3BC" w14:textId="7C89AF93" w:rsidR="00201257" w:rsidRPr="006D3229" w:rsidRDefault="00201257" w:rsidP="00AC22CF">
            <w:pPr>
              <w:autoSpaceDE w:val="0"/>
              <w:autoSpaceDN w:val="0"/>
              <w:adjustRightInd w:val="0"/>
              <w:spacing w:line="360" w:lineRule="auto"/>
              <w:rPr>
                <w:b/>
                <w:bCs/>
                <w:sz w:val="20"/>
                <w:szCs w:val="20"/>
              </w:rPr>
            </w:pPr>
            <w:r w:rsidRPr="006D3229">
              <w:rPr>
                <w:b/>
                <w:bCs/>
                <w:sz w:val="20"/>
                <w:szCs w:val="20"/>
              </w:rPr>
              <w:t xml:space="preserve">Raw coverage </w:t>
            </w:r>
          </w:p>
        </w:tc>
        <w:tc>
          <w:tcPr>
            <w:tcW w:w="1985" w:type="dxa"/>
            <w:shd w:val="clear" w:color="auto" w:fill="D0CECE" w:themeFill="background2" w:themeFillShade="E6"/>
          </w:tcPr>
          <w:p w14:paraId="30044D10" w14:textId="40431946" w:rsidR="00201257" w:rsidRPr="006D3229" w:rsidRDefault="00201257" w:rsidP="00AC22CF">
            <w:pPr>
              <w:autoSpaceDE w:val="0"/>
              <w:autoSpaceDN w:val="0"/>
              <w:adjustRightInd w:val="0"/>
              <w:spacing w:line="360" w:lineRule="auto"/>
              <w:rPr>
                <w:b/>
                <w:bCs/>
                <w:sz w:val="20"/>
                <w:szCs w:val="20"/>
              </w:rPr>
            </w:pPr>
            <w:r w:rsidRPr="006D3229">
              <w:rPr>
                <w:b/>
                <w:bCs/>
                <w:sz w:val="20"/>
                <w:szCs w:val="20"/>
              </w:rPr>
              <w:t>Unique coverage</w:t>
            </w:r>
          </w:p>
        </w:tc>
        <w:tc>
          <w:tcPr>
            <w:tcW w:w="1362" w:type="dxa"/>
            <w:shd w:val="clear" w:color="auto" w:fill="D0CECE" w:themeFill="background2" w:themeFillShade="E6"/>
          </w:tcPr>
          <w:p w14:paraId="300D37E7" w14:textId="05539523" w:rsidR="00201257" w:rsidRPr="006D3229" w:rsidRDefault="00201257" w:rsidP="00AC22CF">
            <w:pPr>
              <w:autoSpaceDE w:val="0"/>
              <w:autoSpaceDN w:val="0"/>
              <w:adjustRightInd w:val="0"/>
              <w:spacing w:line="360" w:lineRule="auto"/>
              <w:rPr>
                <w:b/>
                <w:bCs/>
                <w:sz w:val="20"/>
                <w:szCs w:val="20"/>
              </w:rPr>
            </w:pPr>
            <w:r w:rsidRPr="006D3229">
              <w:rPr>
                <w:b/>
                <w:bCs/>
                <w:sz w:val="20"/>
                <w:szCs w:val="20"/>
              </w:rPr>
              <w:t>consistency</w:t>
            </w:r>
          </w:p>
        </w:tc>
      </w:tr>
      <w:tr w:rsidR="006D3229" w:rsidRPr="006D3229" w14:paraId="4F1B9EF4" w14:textId="77777777" w:rsidTr="001F2639">
        <w:trPr>
          <w:trHeight w:val="313"/>
        </w:trPr>
        <w:tc>
          <w:tcPr>
            <w:tcW w:w="3409" w:type="dxa"/>
          </w:tcPr>
          <w:p w14:paraId="0BE23017" w14:textId="4ECA961C" w:rsidR="006D3229" w:rsidRPr="006D3229" w:rsidRDefault="0082790C" w:rsidP="006D3229">
            <w:pPr>
              <w:autoSpaceDE w:val="0"/>
              <w:autoSpaceDN w:val="0"/>
              <w:adjustRightInd w:val="0"/>
              <w:spacing w:line="360" w:lineRule="auto"/>
              <w:rPr>
                <w:sz w:val="20"/>
                <w:szCs w:val="20"/>
              </w:rPr>
            </w:pPr>
            <w:r>
              <w:t>BSAT x UX</w:t>
            </w:r>
          </w:p>
        </w:tc>
        <w:tc>
          <w:tcPr>
            <w:tcW w:w="2398" w:type="dxa"/>
            <w:vAlign w:val="center"/>
          </w:tcPr>
          <w:p w14:paraId="7F5BACD5" w14:textId="2C02970B"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0.208</w:t>
            </w:r>
          </w:p>
        </w:tc>
        <w:tc>
          <w:tcPr>
            <w:tcW w:w="1985" w:type="dxa"/>
            <w:vAlign w:val="center"/>
          </w:tcPr>
          <w:p w14:paraId="7B025658" w14:textId="31B5902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0.036</w:t>
            </w:r>
          </w:p>
        </w:tc>
        <w:tc>
          <w:tcPr>
            <w:tcW w:w="1362" w:type="dxa"/>
            <w:vAlign w:val="center"/>
          </w:tcPr>
          <w:p w14:paraId="23B76E9F" w14:textId="163EF5BA"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0.650</w:t>
            </w:r>
          </w:p>
        </w:tc>
      </w:tr>
      <w:tr w:rsidR="006D3229" w:rsidRPr="006D3229" w14:paraId="1845B845" w14:textId="77777777" w:rsidTr="001F2639">
        <w:trPr>
          <w:trHeight w:val="313"/>
        </w:trPr>
        <w:tc>
          <w:tcPr>
            <w:tcW w:w="3409" w:type="dxa"/>
          </w:tcPr>
          <w:p w14:paraId="71ADE4A2" w14:textId="26B9AED0" w:rsidR="006D3229" w:rsidRPr="006D3229" w:rsidRDefault="0082790C" w:rsidP="006D3229">
            <w:pPr>
              <w:autoSpaceDE w:val="0"/>
              <w:autoSpaceDN w:val="0"/>
              <w:adjustRightInd w:val="0"/>
              <w:spacing w:line="360" w:lineRule="auto"/>
              <w:rPr>
                <w:sz w:val="20"/>
                <w:szCs w:val="20"/>
              </w:rPr>
            </w:pPr>
            <w:r>
              <w:t>BSAT x UE</w:t>
            </w:r>
          </w:p>
        </w:tc>
        <w:tc>
          <w:tcPr>
            <w:tcW w:w="2398" w:type="dxa"/>
            <w:vAlign w:val="center"/>
          </w:tcPr>
          <w:p w14:paraId="37290D91" w14:textId="3DB38D9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0.241</w:t>
            </w:r>
          </w:p>
        </w:tc>
        <w:tc>
          <w:tcPr>
            <w:tcW w:w="1985" w:type="dxa"/>
            <w:vAlign w:val="center"/>
          </w:tcPr>
          <w:p w14:paraId="3CFA511D" w14:textId="7ACFFFDE"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0.069</w:t>
            </w:r>
          </w:p>
        </w:tc>
        <w:tc>
          <w:tcPr>
            <w:tcW w:w="1362" w:type="dxa"/>
            <w:vAlign w:val="center"/>
          </w:tcPr>
          <w:p w14:paraId="6A068C6A" w14:textId="17641F6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0.669</w:t>
            </w:r>
          </w:p>
        </w:tc>
      </w:tr>
      <w:tr w:rsidR="006D3229" w:rsidRPr="006D3229" w14:paraId="1154B18C" w14:textId="77777777" w:rsidTr="001F2639">
        <w:trPr>
          <w:trHeight w:val="313"/>
        </w:trPr>
        <w:tc>
          <w:tcPr>
            <w:tcW w:w="3409" w:type="dxa"/>
          </w:tcPr>
          <w:p w14:paraId="45BAE8E9" w14:textId="004016CC" w:rsidR="006D3229" w:rsidRPr="006D3229" w:rsidRDefault="0082790C" w:rsidP="006D3229">
            <w:pPr>
              <w:autoSpaceDE w:val="0"/>
              <w:autoSpaceDN w:val="0"/>
              <w:adjustRightInd w:val="0"/>
              <w:spacing w:line="360" w:lineRule="auto"/>
              <w:rPr>
                <w:sz w:val="20"/>
                <w:szCs w:val="20"/>
              </w:rPr>
            </w:pPr>
            <w:r>
              <w:t>UX  x UE</w:t>
            </w:r>
          </w:p>
        </w:tc>
        <w:tc>
          <w:tcPr>
            <w:tcW w:w="2398" w:type="dxa"/>
            <w:vAlign w:val="center"/>
          </w:tcPr>
          <w:p w14:paraId="2E86152D" w14:textId="16E82A22"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0.219</w:t>
            </w:r>
          </w:p>
        </w:tc>
        <w:tc>
          <w:tcPr>
            <w:tcW w:w="1985" w:type="dxa"/>
            <w:vAlign w:val="center"/>
          </w:tcPr>
          <w:p w14:paraId="68E733B7" w14:textId="516EA8E4"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0.046</w:t>
            </w:r>
          </w:p>
        </w:tc>
        <w:tc>
          <w:tcPr>
            <w:tcW w:w="1362" w:type="dxa"/>
            <w:vAlign w:val="center"/>
          </w:tcPr>
          <w:p w14:paraId="08B7E18E" w14:textId="6E5E1D9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0.600</w:t>
            </w:r>
          </w:p>
        </w:tc>
      </w:tr>
    </w:tbl>
    <w:p w14:paraId="441E596E" w14:textId="1A15598B" w:rsidR="00B379F7" w:rsidRPr="0043234C" w:rsidRDefault="00B379F7" w:rsidP="00B379F7">
      <w:pPr>
        <w:jc w:val="both"/>
        <w:rPr>
          <w:i/>
          <w:iCs/>
          <w:color w:val="000000" w:themeColor="text1"/>
          <w:sz w:val="20"/>
          <w:szCs w:val="20"/>
        </w:rPr>
      </w:pPr>
      <w:r>
        <w:t xml:space="preserve">User Experience (UX), User Engagement (UE), Brand Satisfaction (BSAT), and Brand Success (BSUC) </w:t>
      </w:r>
    </w:p>
    <w:p w14:paraId="7130513D" w14:textId="1AC5DE42" w:rsidR="00A731C8" w:rsidRPr="0043234C" w:rsidRDefault="00DD5D63" w:rsidP="00B379F7">
      <w:pPr>
        <w:autoSpaceDE w:val="0"/>
        <w:autoSpaceDN w:val="0"/>
        <w:adjustRightInd w:val="0"/>
        <w:spacing w:line="360" w:lineRule="auto"/>
        <w:rPr>
          <w:rFonts w:eastAsiaTheme="majorEastAsia"/>
          <w:i/>
          <w:iCs/>
          <w:sz w:val="20"/>
          <w:szCs w:val="20"/>
          <w:lang w:val="en-US"/>
        </w:rPr>
      </w:pPr>
      <w:r w:rsidRPr="0043234C">
        <w:rPr>
          <w:rFonts w:eastAsiaTheme="majorEastAsia"/>
          <w:i/>
          <w:iCs/>
          <w:sz w:val="20"/>
          <w:szCs w:val="20"/>
        </w:rPr>
        <w:lastRenderedPageBreak/>
        <w:t xml:space="preserve">Note: </w:t>
      </w:r>
      <w:r w:rsidR="00201257" w:rsidRPr="0043234C">
        <w:rPr>
          <w:rFonts w:eastAsiaTheme="majorEastAsia"/>
          <w:i/>
          <w:iCs/>
          <w:sz w:val="20"/>
          <w:szCs w:val="20"/>
        </w:rPr>
        <w:t>solution coverage: 0.323827</w:t>
      </w:r>
      <w:r w:rsidR="008871CF" w:rsidRPr="0043234C">
        <w:rPr>
          <w:rFonts w:eastAsiaTheme="majorEastAsia"/>
          <w:i/>
          <w:iCs/>
          <w:sz w:val="20"/>
          <w:szCs w:val="20"/>
        </w:rPr>
        <w:t xml:space="preserve">; </w:t>
      </w:r>
      <w:r w:rsidR="00201257" w:rsidRPr="0043234C">
        <w:rPr>
          <w:rFonts w:eastAsiaTheme="majorEastAsia"/>
          <w:i/>
          <w:iCs/>
          <w:sz w:val="20"/>
          <w:szCs w:val="20"/>
        </w:rPr>
        <w:t xml:space="preserve">solution consistency: </w:t>
      </w:r>
      <w:r w:rsidR="00A449F3" w:rsidRPr="0043234C">
        <w:rPr>
          <w:rFonts w:eastAsiaTheme="majorEastAsia"/>
          <w:i/>
          <w:iCs/>
          <w:sz w:val="20"/>
          <w:szCs w:val="20"/>
        </w:rPr>
        <w:t>0.756327</w:t>
      </w:r>
      <w:r w:rsidR="008871CF" w:rsidRPr="0043234C">
        <w:rPr>
          <w:rFonts w:eastAsiaTheme="majorEastAsia"/>
          <w:i/>
          <w:iCs/>
          <w:sz w:val="20"/>
          <w:szCs w:val="20"/>
        </w:rPr>
        <w:tab/>
      </w:r>
      <w:r w:rsidR="008871CF" w:rsidRPr="0043234C">
        <w:rPr>
          <w:rFonts w:eastAsiaTheme="majorEastAsia"/>
          <w:b/>
          <w:bCs/>
          <w:i/>
          <w:iCs/>
          <w:sz w:val="20"/>
          <w:szCs w:val="20"/>
        </w:rPr>
        <w:t>Source:</w:t>
      </w:r>
      <w:r w:rsidR="008871CF" w:rsidRPr="0043234C">
        <w:rPr>
          <w:rFonts w:eastAsiaTheme="majorEastAsia"/>
          <w:i/>
          <w:iCs/>
          <w:sz w:val="20"/>
          <w:szCs w:val="20"/>
        </w:rPr>
        <w:t xml:space="preserve"> Authors</w:t>
      </w:r>
      <w:r w:rsidR="006D3229">
        <w:rPr>
          <w:rFonts w:eastAsiaTheme="majorEastAsia"/>
          <w:i/>
          <w:iCs/>
          <w:sz w:val="20"/>
          <w:szCs w:val="20"/>
        </w:rPr>
        <w:t xml:space="preserve"> </w:t>
      </w:r>
    </w:p>
    <w:p w14:paraId="0B186208" w14:textId="77777777" w:rsidR="002066CD" w:rsidRPr="0043234C" w:rsidRDefault="002066CD" w:rsidP="009C6E49">
      <w:pPr>
        <w:jc w:val="both"/>
        <w:rPr>
          <w:color w:val="000000" w:themeColor="text1"/>
        </w:rPr>
      </w:pPr>
    </w:p>
    <w:p w14:paraId="5C1406EB" w14:textId="621CAA45" w:rsidR="008871CF" w:rsidRPr="0043234C" w:rsidRDefault="002066CD" w:rsidP="008871CF">
      <w:pPr>
        <w:spacing w:line="360" w:lineRule="auto"/>
        <w:jc w:val="both"/>
        <w:rPr>
          <w:color w:val="000000" w:themeColor="text1"/>
        </w:rPr>
      </w:pPr>
      <w:r>
        <w:t xml:space="preserve">Based on the model equation BSUC = f (BSAT, UX, UE), the following results were obtained: </w:t>
      </w:r>
    </w:p>
    <w:p w14:paraId="4E1931A5" w14:textId="513C4ECD" w:rsidR="005170CF" w:rsidRPr="0043234C" w:rsidRDefault="009D2FA9" w:rsidP="008871CF">
      <w:pPr>
        <w:spacing w:line="360" w:lineRule="auto"/>
        <w:ind w:firstLine="426"/>
        <w:jc w:val="both"/>
        <w:rPr>
          <w:color w:val="000000" w:themeColor="text1"/>
        </w:rPr>
      </w:pPr>
      <w:r>
        <w:t>Here BSAT, UX, and UE are the causal conditions and BSUC the outcome. Raw coverage indicates the share of the outcome accounted for by each combination: BSAT and UX jointly cover about 20.8 percent, BSAT and UE about 24.1 percent, and UX and UE about 21.9 percent. Unique coverage, which isolates the outcome attributable to a combination net of the others, is 3.6 percent (BSAT × UX), 6.9 percent (BSAT × UE), and 4.7 percent (UX × UE).</w:t>
      </w:r>
    </w:p>
    <w:p w14:paraId="653FDA47" w14:textId="79C7CCF7" w:rsidR="006D3229" w:rsidRDefault="005170CF" w:rsidP="008871CF">
      <w:pPr>
        <w:spacing w:line="360" w:lineRule="auto"/>
        <w:ind w:firstLine="426"/>
        <w:jc w:val="both"/>
        <w:rPr>
          <w:color w:val="000000" w:themeColor="text1"/>
        </w:rPr>
      </w:pPr>
      <w:r>
        <w:t xml:space="preserve">Consistency stands for the adherence to the model between the predicted and the real outcome values. The higher the consistency values, the better the predictive performance. On the other hand, the consistency values for each combination of variables are given in Table 5. BSAT x UX has a consistency of 0.650, BSAT x UE has a consistency of 0.669, and UX x UE has a consistency of 0.600. The overall efficiency of the Intermediate solution is outlined by the solution coverage and solution consistency values. Where the solution coverage is 0.323 which means that those variables are covering 32% data points. The solution consistency is 0.756, the ratio that reflects the ability of the model to predict the output values correctly. </w:t>
      </w:r>
    </w:p>
    <w:p w14:paraId="313095BF" w14:textId="48A3C7A1" w:rsidR="009D2FA9" w:rsidRPr="0043234C" w:rsidRDefault="00AF1DC4" w:rsidP="008871CF">
      <w:pPr>
        <w:spacing w:line="360" w:lineRule="auto"/>
        <w:ind w:firstLine="426"/>
        <w:jc w:val="both"/>
        <w:rPr>
          <w:color w:val="000000" w:themeColor="text1"/>
        </w:rPr>
      </w:pPr>
      <w:r>
        <w:t>Figure 3 presents the conceptual model relating User Experience (UX), User Engagement (UE), and Brand Satisfaction (BSAT) to Brand Success (BSUC), and corresponds to the propositions stated in Section 3.</w:t>
      </w:r>
    </w:p>
    <w:p w14:paraId="3357F0A7" w14:textId="452312B9" w:rsidR="00984644" w:rsidRPr="0043234C" w:rsidRDefault="00984644" w:rsidP="00984644">
      <w:pPr>
        <w:spacing w:line="360" w:lineRule="auto"/>
        <w:ind w:firstLine="426"/>
        <w:jc w:val="both"/>
        <w:rPr>
          <w:color w:val="000000" w:themeColor="text1"/>
        </w:rPr>
      </w:pPr>
      <w:r>
        <w:t>Subset-superset analysis was used to relate the four constructs to the conceptual model by empirically identifying the configurations of conditions associated with high brand success.</w:t>
      </w:r>
    </w:p>
    <w:p w14:paraId="4FB80079" w14:textId="77777777" w:rsidR="00984644" w:rsidRPr="0043234C" w:rsidRDefault="00984644" w:rsidP="00984644">
      <w:pPr>
        <w:spacing w:line="360" w:lineRule="auto"/>
        <w:ind w:firstLine="426"/>
        <w:jc w:val="both"/>
        <w:rPr>
          <w:color w:val="000000" w:themeColor="text1"/>
        </w:rPr>
      </w:pPr>
      <w:r>
        <w:t>Within the model, user experience, user engagement, and brand satisfaction are the candidate conditions for brand success. The configurational analysis evaluates which combinations of these conditions are sufficient for the outcome, and whether any is necessary, thereby testing the propositions rather than assuming a single causal path.</w:t>
      </w:r>
    </w:p>
    <w:p w14:paraId="5623E5F5" w14:textId="3E26BCBF" w:rsidR="00983A07" w:rsidRPr="0043234C" w:rsidRDefault="00D70986" w:rsidP="00ED17BF">
      <w:pPr>
        <w:jc w:val="both"/>
        <w:rPr>
          <w:color w:val="000000" w:themeColor="text1"/>
        </w:rPr>
      </w:pPr>
      <w:r>
        <w:rPr>
          <w:noProof/>
          <w:color w:val="000000" w:themeColor="text1"/>
          <w14:ligatures w14:val="standardContextual"/>
        </w:rPr>
        <w:drawing>
          <wp:inline distT="0" distB="0" distL="0" distR="0" wp14:anchorId="6F23C107" wp14:editId="49103DA7">
            <wp:extent cx="5634072" cy="2293620"/>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9" cstate="print">
                      <a:extLst>
                        <a:ext uri="{28A0092B-C50C-407E-A947-70E740481C1C}">
                          <a14:useLocalDpi xmlns:a14="http://schemas.microsoft.com/office/drawing/2010/main" val="0"/>
                        </a:ext>
                      </a:extLst>
                    </a:blip>
                    <a:srcRect l="5806" t="12062" r="9284" b="16114"/>
                    <a:stretch>
                      <a:fillRect/>
                    </a:stretch>
                  </pic:blipFill>
                  <pic:spPr bwMode="auto">
                    <a:xfrm>
                      <a:off x="0" y="0"/>
                      <a:ext cx="5648337" cy="229942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56850F" w14:textId="77777777" w:rsidR="00D70986" w:rsidRDefault="00586714" w:rsidP="005208D3">
      <w:pPr>
        <w:jc w:val="both"/>
        <w:rPr>
          <w:i/>
          <w:iCs/>
          <w:color w:val="000000" w:themeColor="text1"/>
        </w:rPr>
      </w:pPr>
      <w:r>
        <w:t>Figure 3. Conceptual model: configurations of engagement, experience, and satisfaction as conditions for brand success.</w:t>
      </w:r>
    </w:p>
    <w:p w14:paraId="0F086B84" w14:textId="00C0B7C4" w:rsidR="009D2FA9" w:rsidRDefault="00ED17BF" w:rsidP="005208D3">
      <w:pPr>
        <w:jc w:val="both"/>
        <w:rPr>
          <w:i/>
          <w:iCs/>
          <w:color w:val="000000" w:themeColor="text1"/>
          <w:sz w:val="20"/>
          <w:szCs w:val="20"/>
        </w:rPr>
      </w:pPr>
      <w:r w:rsidRPr="0043234C">
        <w:rPr>
          <w:b/>
          <w:bCs/>
          <w:i/>
          <w:iCs/>
          <w:color w:val="000000" w:themeColor="text1"/>
          <w:sz w:val="20"/>
          <w:szCs w:val="20"/>
        </w:rPr>
        <w:t>Source:</w:t>
      </w:r>
      <w:r w:rsidRPr="0043234C">
        <w:rPr>
          <w:i/>
          <w:iCs/>
          <w:color w:val="000000" w:themeColor="text1"/>
          <w:sz w:val="20"/>
          <w:szCs w:val="20"/>
        </w:rPr>
        <w:t xml:space="preserve"> Authors</w:t>
      </w:r>
    </w:p>
    <w:p w14:paraId="2B1ABF16" w14:textId="77777777" w:rsidR="005E0F58" w:rsidRPr="0043234C" w:rsidRDefault="005E0F58" w:rsidP="005208D3">
      <w:pPr>
        <w:jc w:val="both"/>
        <w:rPr>
          <w:i/>
          <w:iCs/>
          <w:color w:val="000000" w:themeColor="text1"/>
        </w:rPr>
      </w:pPr>
    </w:p>
    <w:p w14:paraId="2BB8FFDA" w14:textId="77777777" w:rsidR="00DD5D63" w:rsidRPr="0043234C" w:rsidRDefault="00DD5D63" w:rsidP="00B379F7">
      <w:pPr>
        <w:ind w:left="720" w:hanging="720"/>
        <w:rPr>
          <w:color w:val="000000" w:themeColor="text1"/>
        </w:rPr>
      </w:pPr>
    </w:p>
    <w:p w14:paraId="73D59C69" w14:textId="4B472A12" w:rsidR="00A2512A" w:rsidRPr="0043234C" w:rsidRDefault="00A2512A" w:rsidP="007648C5">
      <w:pPr>
        <w:spacing w:line="360" w:lineRule="auto"/>
        <w:ind w:left="720" w:hanging="720"/>
        <w:rPr>
          <w:b/>
          <w:bCs/>
          <w:color w:val="000000" w:themeColor="text1"/>
        </w:rPr>
      </w:pPr>
      <w:r>
        <w:t>Table 6. Sufficiency Solution: Configurations and Single Conditions for High Brand Success</w:t>
      </w:r>
    </w:p>
    <w:tbl>
      <w:tblPr>
        <w:tblStyle w:val="TableGrid"/>
        <w:tblW w:w="9351" w:type="dxa"/>
        <w:tblLook w:val="04A0" w:firstRow="1" w:lastRow="0" w:firstColumn="1" w:lastColumn="0" w:noHBand="0" w:noVBand="1"/>
      </w:tblPr>
      <w:tblGrid>
        <w:gridCol w:w="2555"/>
        <w:gridCol w:w="1963"/>
        <w:gridCol w:w="2257"/>
        <w:gridCol w:w="2576"/>
      </w:tblGrid>
      <w:tr w:rsidR="00A2512A" w:rsidRPr="0043234C" w14:paraId="27B088F3" w14:textId="77777777" w:rsidTr="00D41BBD">
        <w:trPr>
          <w:trHeight w:val="284"/>
        </w:trPr>
        <w:tc>
          <w:tcPr>
            <w:tcW w:w="2555" w:type="dxa"/>
            <w:shd w:val="clear" w:color="auto" w:fill="D0CECE" w:themeFill="background2" w:themeFillShade="E6"/>
          </w:tcPr>
          <w:p w14:paraId="6E3EA661" w14:textId="561FA968" w:rsidR="00A2512A" w:rsidRPr="0043234C" w:rsidRDefault="00D41BBD" w:rsidP="005E0F58">
            <w:pPr>
              <w:rPr>
                <w:b/>
                <w:bCs/>
                <w:color w:val="000000" w:themeColor="text1"/>
                <w:sz w:val="20"/>
                <w:szCs w:val="20"/>
                <w:lang w:val="fr-FR"/>
              </w:rPr>
            </w:pPr>
            <w:r>
              <w:t>BSUC = f (BSAT, UX, UE)</w:t>
            </w:r>
          </w:p>
        </w:tc>
        <w:tc>
          <w:tcPr>
            <w:tcW w:w="1963" w:type="dxa"/>
            <w:shd w:val="clear" w:color="auto" w:fill="D0CECE" w:themeFill="background2" w:themeFillShade="E6"/>
          </w:tcPr>
          <w:p w14:paraId="7481B652" w14:textId="19CEDA84" w:rsidR="00A2512A" w:rsidRPr="0043234C" w:rsidRDefault="00A2512A" w:rsidP="005E0F58">
            <w:pPr>
              <w:rPr>
                <w:b/>
                <w:bCs/>
                <w:color w:val="000000" w:themeColor="text1"/>
                <w:sz w:val="20"/>
                <w:szCs w:val="20"/>
              </w:rPr>
            </w:pPr>
            <w:r w:rsidRPr="0043234C">
              <w:rPr>
                <w:b/>
                <w:bCs/>
                <w:sz w:val="20"/>
                <w:szCs w:val="20"/>
              </w:rPr>
              <w:t>Consistency</w:t>
            </w:r>
          </w:p>
        </w:tc>
        <w:tc>
          <w:tcPr>
            <w:tcW w:w="2257" w:type="dxa"/>
            <w:shd w:val="clear" w:color="auto" w:fill="D0CECE" w:themeFill="background2" w:themeFillShade="E6"/>
          </w:tcPr>
          <w:p w14:paraId="2F3C54F6" w14:textId="01A6D2F5" w:rsidR="00A2512A" w:rsidRPr="0043234C" w:rsidRDefault="00A2512A" w:rsidP="005E0F58">
            <w:pPr>
              <w:rPr>
                <w:b/>
                <w:bCs/>
                <w:color w:val="000000" w:themeColor="text1"/>
                <w:sz w:val="20"/>
                <w:szCs w:val="20"/>
              </w:rPr>
            </w:pPr>
            <w:r w:rsidRPr="0043234C">
              <w:rPr>
                <w:b/>
                <w:bCs/>
                <w:sz w:val="20"/>
                <w:szCs w:val="20"/>
              </w:rPr>
              <w:t xml:space="preserve">Raw Coverage </w:t>
            </w:r>
          </w:p>
        </w:tc>
        <w:tc>
          <w:tcPr>
            <w:tcW w:w="2576" w:type="dxa"/>
            <w:shd w:val="clear" w:color="auto" w:fill="D0CECE" w:themeFill="background2" w:themeFillShade="E6"/>
          </w:tcPr>
          <w:p w14:paraId="38942DDF" w14:textId="290E1EA6" w:rsidR="00FE33C2" w:rsidRPr="005E0F58" w:rsidRDefault="00A2512A" w:rsidP="005E0F58">
            <w:pPr>
              <w:rPr>
                <w:b/>
                <w:bCs/>
                <w:i/>
                <w:iCs/>
                <w:sz w:val="20"/>
                <w:szCs w:val="20"/>
              </w:rPr>
            </w:pPr>
            <w:r w:rsidRPr="0043234C">
              <w:rPr>
                <w:b/>
                <w:bCs/>
                <w:sz w:val="20"/>
                <w:szCs w:val="20"/>
              </w:rPr>
              <w:t>Combined</w:t>
            </w:r>
          </w:p>
        </w:tc>
      </w:tr>
      <w:tr w:rsidR="00316E6B" w:rsidRPr="0043234C" w14:paraId="0C8344EE" w14:textId="77777777" w:rsidTr="00D41BBD">
        <w:trPr>
          <w:trHeight w:val="284"/>
        </w:trPr>
        <w:tc>
          <w:tcPr>
            <w:tcW w:w="2555" w:type="dxa"/>
          </w:tcPr>
          <w:p w14:paraId="3A8289F3" w14:textId="409618CD" w:rsidR="00316E6B" w:rsidRPr="00D41BBD" w:rsidRDefault="00D41BBD" w:rsidP="00316E6B">
            <w:pPr>
              <w:rPr>
                <w:sz w:val="20"/>
                <w:szCs w:val="20"/>
              </w:rPr>
            </w:pPr>
            <w:r>
              <w:t>BSAT * UX * UE</w:t>
            </w:r>
          </w:p>
        </w:tc>
        <w:tc>
          <w:tcPr>
            <w:tcW w:w="1963" w:type="dxa"/>
          </w:tcPr>
          <w:p w14:paraId="3CF3078B" w14:textId="2D93C181" w:rsidR="00316E6B" w:rsidRPr="0043234C" w:rsidRDefault="00316E6B" w:rsidP="00316E6B">
            <w:pPr>
              <w:rPr>
                <w:color w:val="000000" w:themeColor="text1"/>
                <w:sz w:val="20"/>
                <w:szCs w:val="20"/>
              </w:rPr>
            </w:pPr>
            <w:r>
              <w:rPr>
                <w:i/>
                <w:iCs/>
                <w:sz w:val="20"/>
                <w:szCs w:val="20"/>
              </w:rPr>
              <w:t>0.713</w:t>
            </w:r>
          </w:p>
        </w:tc>
        <w:tc>
          <w:tcPr>
            <w:tcW w:w="2257" w:type="dxa"/>
          </w:tcPr>
          <w:p w14:paraId="52753849" w14:textId="1AB323FD" w:rsidR="00316E6B" w:rsidRPr="0043234C" w:rsidRDefault="00316E6B" w:rsidP="00316E6B">
            <w:pPr>
              <w:rPr>
                <w:color w:val="000000" w:themeColor="text1"/>
                <w:sz w:val="20"/>
                <w:szCs w:val="20"/>
              </w:rPr>
            </w:pPr>
            <w:r>
              <w:rPr>
                <w:i/>
                <w:iCs/>
                <w:sz w:val="20"/>
                <w:szCs w:val="20"/>
              </w:rPr>
              <w:t>0.172</w:t>
            </w:r>
          </w:p>
        </w:tc>
        <w:tc>
          <w:tcPr>
            <w:tcW w:w="2576" w:type="dxa"/>
          </w:tcPr>
          <w:p w14:paraId="75FD2BB9" w14:textId="53F10FA5" w:rsidR="00316E6B" w:rsidRPr="0043234C" w:rsidRDefault="00316E6B" w:rsidP="00316E6B">
            <w:pPr>
              <w:rPr>
                <w:sz w:val="20"/>
                <w:szCs w:val="20"/>
              </w:rPr>
            </w:pPr>
            <w:r>
              <w:rPr>
                <w:i/>
                <w:iCs/>
                <w:sz w:val="20"/>
                <w:szCs w:val="20"/>
              </w:rPr>
              <w:t>0.305</w:t>
            </w:r>
          </w:p>
        </w:tc>
      </w:tr>
      <w:tr w:rsidR="00316E6B" w:rsidRPr="0043234C" w14:paraId="2704CDE8" w14:textId="77777777" w:rsidTr="00D41BBD">
        <w:trPr>
          <w:trHeight w:val="284"/>
        </w:trPr>
        <w:tc>
          <w:tcPr>
            <w:tcW w:w="2555" w:type="dxa"/>
          </w:tcPr>
          <w:p w14:paraId="22F82785" w14:textId="7FEE886F" w:rsidR="00316E6B" w:rsidRPr="00D41BBD" w:rsidRDefault="00D41BBD" w:rsidP="00316E6B">
            <w:pPr>
              <w:rPr>
                <w:sz w:val="20"/>
                <w:szCs w:val="20"/>
              </w:rPr>
            </w:pPr>
            <w:r>
              <w:t>BSAT * UX</w:t>
            </w:r>
          </w:p>
        </w:tc>
        <w:tc>
          <w:tcPr>
            <w:tcW w:w="1963" w:type="dxa"/>
          </w:tcPr>
          <w:p w14:paraId="2510D09E" w14:textId="1ECF8340" w:rsidR="00316E6B" w:rsidRPr="0043234C" w:rsidRDefault="00316E6B" w:rsidP="00316E6B">
            <w:pPr>
              <w:rPr>
                <w:color w:val="000000" w:themeColor="text1"/>
                <w:sz w:val="20"/>
                <w:szCs w:val="20"/>
              </w:rPr>
            </w:pPr>
            <w:r>
              <w:rPr>
                <w:i/>
                <w:iCs/>
                <w:sz w:val="20"/>
                <w:szCs w:val="20"/>
              </w:rPr>
              <w:t>0.650</w:t>
            </w:r>
          </w:p>
        </w:tc>
        <w:tc>
          <w:tcPr>
            <w:tcW w:w="2257" w:type="dxa"/>
          </w:tcPr>
          <w:p w14:paraId="111FF2D3" w14:textId="65A2AE8E" w:rsidR="00316E6B" w:rsidRPr="0043234C" w:rsidRDefault="00316E6B" w:rsidP="00316E6B">
            <w:pPr>
              <w:rPr>
                <w:color w:val="000000" w:themeColor="text1"/>
                <w:sz w:val="20"/>
                <w:szCs w:val="20"/>
              </w:rPr>
            </w:pPr>
            <w:r>
              <w:rPr>
                <w:sz w:val="20"/>
                <w:szCs w:val="20"/>
              </w:rPr>
              <w:t>0.208</w:t>
            </w:r>
          </w:p>
        </w:tc>
        <w:tc>
          <w:tcPr>
            <w:tcW w:w="2576" w:type="dxa"/>
          </w:tcPr>
          <w:p w14:paraId="11B34FB0" w14:textId="4473B5E9" w:rsidR="00316E6B" w:rsidRPr="0043234C" w:rsidRDefault="00316E6B" w:rsidP="00316E6B">
            <w:pPr>
              <w:rPr>
                <w:sz w:val="20"/>
                <w:szCs w:val="20"/>
              </w:rPr>
            </w:pPr>
            <w:r>
              <w:rPr>
                <w:sz w:val="20"/>
                <w:szCs w:val="20"/>
              </w:rPr>
              <w:t>0.246</w:t>
            </w:r>
          </w:p>
        </w:tc>
      </w:tr>
      <w:tr w:rsidR="00316E6B" w:rsidRPr="0043234C" w14:paraId="7AC209AB" w14:textId="77777777" w:rsidTr="00D41BBD">
        <w:trPr>
          <w:trHeight w:val="284"/>
        </w:trPr>
        <w:tc>
          <w:tcPr>
            <w:tcW w:w="2555" w:type="dxa"/>
          </w:tcPr>
          <w:p w14:paraId="7E5C153E" w14:textId="516388A7" w:rsidR="00316E6B" w:rsidRPr="00D41BBD" w:rsidRDefault="00D41BBD" w:rsidP="00316E6B">
            <w:pPr>
              <w:rPr>
                <w:sz w:val="20"/>
                <w:szCs w:val="20"/>
              </w:rPr>
            </w:pPr>
            <w:r>
              <w:t>UX * UE</w:t>
            </w:r>
          </w:p>
        </w:tc>
        <w:tc>
          <w:tcPr>
            <w:tcW w:w="1963" w:type="dxa"/>
          </w:tcPr>
          <w:p w14:paraId="2DA7F52B" w14:textId="49DD8E47" w:rsidR="00316E6B" w:rsidRPr="0043234C" w:rsidRDefault="00316E6B" w:rsidP="00316E6B">
            <w:pPr>
              <w:rPr>
                <w:color w:val="000000" w:themeColor="text1"/>
                <w:sz w:val="20"/>
                <w:szCs w:val="20"/>
              </w:rPr>
            </w:pPr>
            <w:r>
              <w:rPr>
                <w:i/>
                <w:iCs/>
                <w:sz w:val="20"/>
                <w:szCs w:val="20"/>
              </w:rPr>
              <w:t>0.600</w:t>
            </w:r>
          </w:p>
        </w:tc>
        <w:tc>
          <w:tcPr>
            <w:tcW w:w="2257" w:type="dxa"/>
          </w:tcPr>
          <w:p w14:paraId="1F754006" w14:textId="72DD95D2" w:rsidR="00316E6B" w:rsidRPr="0043234C" w:rsidRDefault="00316E6B" w:rsidP="00316E6B">
            <w:pPr>
              <w:rPr>
                <w:color w:val="000000" w:themeColor="text1"/>
                <w:sz w:val="20"/>
                <w:szCs w:val="20"/>
              </w:rPr>
            </w:pPr>
            <w:r>
              <w:rPr>
                <w:color w:val="000000"/>
                <w:sz w:val="20"/>
                <w:szCs w:val="20"/>
              </w:rPr>
              <w:t>0.219</w:t>
            </w:r>
          </w:p>
        </w:tc>
        <w:tc>
          <w:tcPr>
            <w:tcW w:w="2576" w:type="dxa"/>
          </w:tcPr>
          <w:p w14:paraId="7025F201" w14:textId="05ADACFA" w:rsidR="00316E6B" w:rsidRPr="0043234C" w:rsidRDefault="00316E6B" w:rsidP="00316E6B">
            <w:pPr>
              <w:rPr>
                <w:sz w:val="20"/>
                <w:szCs w:val="20"/>
              </w:rPr>
            </w:pPr>
            <w:r>
              <w:rPr>
                <w:color w:val="000000"/>
                <w:sz w:val="20"/>
                <w:szCs w:val="20"/>
              </w:rPr>
              <w:t>0.181</w:t>
            </w:r>
          </w:p>
        </w:tc>
      </w:tr>
      <w:tr w:rsidR="00316E6B" w:rsidRPr="0043234C" w14:paraId="21A41F93" w14:textId="77777777" w:rsidTr="00D41BBD">
        <w:trPr>
          <w:trHeight w:val="284"/>
        </w:trPr>
        <w:tc>
          <w:tcPr>
            <w:tcW w:w="2555" w:type="dxa"/>
          </w:tcPr>
          <w:p w14:paraId="00F9E853" w14:textId="3701BAE8" w:rsidR="00316E6B" w:rsidRPr="00D41BBD" w:rsidRDefault="00316E6B" w:rsidP="00316E6B">
            <w:pPr>
              <w:rPr>
                <w:sz w:val="20"/>
                <w:szCs w:val="20"/>
              </w:rPr>
            </w:pPr>
            <w:r>
              <w:t>BSAT * UE</w:t>
            </w:r>
          </w:p>
        </w:tc>
        <w:tc>
          <w:tcPr>
            <w:tcW w:w="1963" w:type="dxa"/>
          </w:tcPr>
          <w:p w14:paraId="0E526DBB" w14:textId="6E72B3F6" w:rsidR="00316E6B" w:rsidRPr="0043234C" w:rsidRDefault="00316E6B" w:rsidP="00316E6B">
            <w:pPr>
              <w:rPr>
                <w:color w:val="000000" w:themeColor="text1"/>
                <w:sz w:val="20"/>
                <w:szCs w:val="20"/>
              </w:rPr>
            </w:pPr>
            <w:r>
              <w:rPr>
                <w:i/>
                <w:iCs/>
                <w:sz w:val="20"/>
                <w:szCs w:val="20"/>
              </w:rPr>
              <w:t>0.669</w:t>
            </w:r>
          </w:p>
        </w:tc>
        <w:tc>
          <w:tcPr>
            <w:tcW w:w="2257" w:type="dxa"/>
          </w:tcPr>
          <w:p w14:paraId="0B484D8B" w14:textId="556350DF" w:rsidR="00316E6B" w:rsidRPr="0043234C" w:rsidRDefault="00316E6B" w:rsidP="00316E6B">
            <w:pPr>
              <w:rPr>
                <w:color w:val="000000" w:themeColor="text1"/>
                <w:sz w:val="20"/>
                <w:szCs w:val="20"/>
              </w:rPr>
            </w:pPr>
            <w:r>
              <w:rPr>
                <w:sz w:val="20"/>
                <w:szCs w:val="20"/>
              </w:rPr>
              <w:t>0.241</w:t>
            </w:r>
          </w:p>
        </w:tc>
        <w:tc>
          <w:tcPr>
            <w:tcW w:w="2576" w:type="dxa"/>
          </w:tcPr>
          <w:p w14:paraId="6FD38BB9" w14:textId="6945BC86" w:rsidR="00316E6B" w:rsidRPr="0043234C" w:rsidRDefault="00316E6B" w:rsidP="00316E6B">
            <w:pPr>
              <w:rPr>
                <w:sz w:val="20"/>
                <w:szCs w:val="20"/>
              </w:rPr>
            </w:pPr>
            <w:r>
              <w:rPr>
                <w:sz w:val="20"/>
                <w:szCs w:val="20"/>
              </w:rPr>
              <w:t>0.295</w:t>
            </w:r>
          </w:p>
        </w:tc>
      </w:tr>
      <w:tr w:rsidR="00316E6B" w:rsidRPr="0043234C" w14:paraId="5F141269" w14:textId="77777777" w:rsidTr="00D41BBD">
        <w:trPr>
          <w:trHeight w:val="284"/>
        </w:trPr>
        <w:tc>
          <w:tcPr>
            <w:tcW w:w="2555" w:type="dxa"/>
          </w:tcPr>
          <w:p w14:paraId="305C00BA" w14:textId="4AFA55DD" w:rsidR="00316E6B" w:rsidRPr="00D41BBD" w:rsidRDefault="00D41BBD" w:rsidP="00316E6B">
            <w:pPr>
              <w:rPr>
                <w:sz w:val="20"/>
                <w:szCs w:val="20"/>
              </w:rPr>
            </w:pPr>
            <w:r>
              <w:t>UX</w:t>
            </w:r>
          </w:p>
        </w:tc>
        <w:tc>
          <w:tcPr>
            <w:tcW w:w="1963" w:type="dxa"/>
          </w:tcPr>
          <w:p w14:paraId="5494AD7F" w14:textId="45953CD6" w:rsidR="00316E6B" w:rsidRPr="0043234C" w:rsidRDefault="00316E6B" w:rsidP="00316E6B">
            <w:pPr>
              <w:rPr>
                <w:color w:val="000000" w:themeColor="text1"/>
                <w:sz w:val="20"/>
                <w:szCs w:val="20"/>
              </w:rPr>
            </w:pPr>
            <w:r>
              <w:rPr>
                <w:i/>
                <w:iCs/>
                <w:sz w:val="20"/>
                <w:szCs w:val="20"/>
              </w:rPr>
              <w:t>0.362</w:t>
            </w:r>
          </w:p>
        </w:tc>
        <w:tc>
          <w:tcPr>
            <w:tcW w:w="2257" w:type="dxa"/>
          </w:tcPr>
          <w:p w14:paraId="66D0B761" w14:textId="37E00B89" w:rsidR="00316E6B" w:rsidRPr="0043234C" w:rsidRDefault="00316E6B" w:rsidP="00316E6B">
            <w:pPr>
              <w:rPr>
                <w:color w:val="000000" w:themeColor="text1"/>
                <w:sz w:val="20"/>
                <w:szCs w:val="20"/>
              </w:rPr>
            </w:pPr>
            <w:r>
              <w:rPr>
                <w:color w:val="000000"/>
                <w:sz w:val="20"/>
                <w:szCs w:val="20"/>
              </w:rPr>
              <w:t>0.349</w:t>
            </w:r>
          </w:p>
        </w:tc>
        <w:tc>
          <w:tcPr>
            <w:tcW w:w="2576" w:type="dxa"/>
          </w:tcPr>
          <w:p w14:paraId="7017E0B2" w14:textId="662538AE" w:rsidR="00316E6B" w:rsidRPr="0043234C" w:rsidRDefault="00316E6B" w:rsidP="00316E6B">
            <w:pPr>
              <w:rPr>
                <w:sz w:val="20"/>
                <w:szCs w:val="20"/>
              </w:rPr>
            </w:pPr>
            <w:r>
              <w:rPr>
                <w:color w:val="000000"/>
                <w:sz w:val="20"/>
                <w:szCs w:val="20"/>
              </w:rPr>
              <w:t>0.084</w:t>
            </w:r>
          </w:p>
        </w:tc>
      </w:tr>
      <w:tr w:rsidR="00316E6B" w:rsidRPr="0043234C" w14:paraId="2D7314FA" w14:textId="77777777" w:rsidTr="00D41BBD">
        <w:trPr>
          <w:trHeight w:val="271"/>
        </w:trPr>
        <w:tc>
          <w:tcPr>
            <w:tcW w:w="2555" w:type="dxa"/>
          </w:tcPr>
          <w:p w14:paraId="201328D4" w14:textId="753DFAFA" w:rsidR="00316E6B" w:rsidRPr="00D41BBD" w:rsidRDefault="00D41BBD" w:rsidP="00316E6B">
            <w:pPr>
              <w:rPr>
                <w:sz w:val="20"/>
                <w:szCs w:val="20"/>
              </w:rPr>
            </w:pPr>
            <w:r>
              <w:t>BSAT</w:t>
            </w:r>
          </w:p>
        </w:tc>
        <w:tc>
          <w:tcPr>
            <w:tcW w:w="1963" w:type="dxa"/>
          </w:tcPr>
          <w:p w14:paraId="1A1208F6" w14:textId="3664A4B6" w:rsidR="00316E6B" w:rsidRPr="0043234C" w:rsidRDefault="00316E6B" w:rsidP="00316E6B">
            <w:pPr>
              <w:rPr>
                <w:color w:val="000000" w:themeColor="text1"/>
                <w:sz w:val="20"/>
                <w:szCs w:val="20"/>
              </w:rPr>
            </w:pPr>
            <w:r>
              <w:rPr>
                <w:i/>
                <w:iCs/>
                <w:sz w:val="20"/>
                <w:szCs w:val="20"/>
              </w:rPr>
              <w:t>0.410</w:t>
            </w:r>
          </w:p>
        </w:tc>
        <w:tc>
          <w:tcPr>
            <w:tcW w:w="2257" w:type="dxa"/>
          </w:tcPr>
          <w:p w14:paraId="40EE84D5" w14:textId="4C382703" w:rsidR="00316E6B" w:rsidRPr="0043234C" w:rsidRDefault="00316E6B" w:rsidP="00316E6B">
            <w:pPr>
              <w:rPr>
                <w:color w:val="000000" w:themeColor="text1"/>
                <w:sz w:val="20"/>
                <w:szCs w:val="20"/>
              </w:rPr>
            </w:pPr>
            <w:r>
              <w:rPr>
                <w:sz w:val="20"/>
                <w:szCs w:val="20"/>
              </w:rPr>
              <w:t>0.368</w:t>
            </w:r>
          </w:p>
        </w:tc>
        <w:tc>
          <w:tcPr>
            <w:tcW w:w="2576" w:type="dxa"/>
          </w:tcPr>
          <w:p w14:paraId="196AB373" w14:textId="4CFB24F8" w:rsidR="00316E6B" w:rsidRPr="0043234C" w:rsidRDefault="00316E6B" w:rsidP="00316E6B">
            <w:pPr>
              <w:rPr>
                <w:sz w:val="20"/>
                <w:szCs w:val="20"/>
              </w:rPr>
            </w:pPr>
            <w:r>
              <w:rPr>
                <w:sz w:val="20"/>
                <w:szCs w:val="20"/>
              </w:rPr>
              <w:t>0.086</w:t>
            </w:r>
          </w:p>
        </w:tc>
      </w:tr>
      <w:tr w:rsidR="00316E6B" w:rsidRPr="0043234C" w14:paraId="3296DE49" w14:textId="77777777" w:rsidTr="00D41BBD">
        <w:trPr>
          <w:trHeight w:val="176"/>
        </w:trPr>
        <w:tc>
          <w:tcPr>
            <w:tcW w:w="2555" w:type="dxa"/>
          </w:tcPr>
          <w:p w14:paraId="32F87843" w14:textId="4F1A3EFF" w:rsidR="00316E6B" w:rsidRPr="00D41BBD" w:rsidRDefault="00316E6B" w:rsidP="00316E6B">
            <w:pPr>
              <w:rPr>
                <w:sz w:val="20"/>
                <w:szCs w:val="20"/>
              </w:rPr>
            </w:pPr>
            <w:r>
              <w:t>UE</w:t>
            </w:r>
          </w:p>
        </w:tc>
        <w:tc>
          <w:tcPr>
            <w:tcW w:w="1963" w:type="dxa"/>
          </w:tcPr>
          <w:p w14:paraId="012A7A16" w14:textId="2256FD8E" w:rsidR="00316E6B" w:rsidRPr="0043234C" w:rsidRDefault="00316E6B" w:rsidP="00316E6B">
            <w:pPr>
              <w:rPr>
                <w:color w:val="000000" w:themeColor="text1"/>
                <w:sz w:val="20"/>
                <w:szCs w:val="20"/>
              </w:rPr>
            </w:pPr>
            <w:r>
              <w:rPr>
                <w:i/>
                <w:iCs/>
                <w:sz w:val="20"/>
                <w:szCs w:val="20"/>
              </w:rPr>
              <w:t>0.373</w:t>
            </w:r>
          </w:p>
        </w:tc>
        <w:tc>
          <w:tcPr>
            <w:tcW w:w="2257" w:type="dxa"/>
          </w:tcPr>
          <w:p w14:paraId="559A4601" w14:textId="765CCD59" w:rsidR="00316E6B" w:rsidRPr="0043234C" w:rsidRDefault="00316E6B" w:rsidP="00316E6B">
            <w:pPr>
              <w:rPr>
                <w:color w:val="000000" w:themeColor="text1"/>
                <w:sz w:val="20"/>
                <w:szCs w:val="20"/>
              </w:rPr>
            </w:pPr>
            <w:r>
              <w:rPr>
                <w:color w:val="000000"/>
                <w:sz w:val="20"/>
                <w:szCs w:val="20"/>
              </w:rPr>
              <w:t>0.349</w:t>
            </w:r>
          </w:p>
        </w:tc>
        <w:tc>
          <w:tcPr>
            <w:tcW w:w="2576" w:type="dxa"/>
          </w:tcPr>
          <w:p w14:paraId="1A7C6E0E" w14:textId="41730F1A" w:rsidR="00316E6B" w:rsidRPr="0043234C" w:rsidRDefault="00316E6B" w:rsidP="00316E6B">
            <w:pPr>
              <w:rPr>
                <w:color w:val="000000" w:themeColor="text1"/>
                <w:sz w:val="20"/>
                <w:szCs w:val="20"/>
              </w:rPr>
            </w:pPr>
            <w:r>
              <w:rPr>
                <w:color w:val="000000"/>
                <w:sz w:val="20"/>
                <w:szCs w:val="20"/>
              </w:rPr>
              <w:t>0.084</w:t>
            </w:r>
          </w:p>
        </w:tc>
      </w:tr>
    </w:tbl>
    <w:p w14:paraId="44348C15" w14:textId="47AA8124" w:rsidR="00B379F7" w:rsidRPr="005208D3" w:rsidRDefault="00B379F7" w:rsidP="00B379F7">
      <w:pPr>
        <w:jc w:val="both"/>
        <w:rPr>
          <w:i/>
          <w:iCs/>
          <w:color w:val="000000" w:themeColor="text1"/>
          <w:sz w:val="20"/>
          <w:szCs w:val="20"/>
        </w:rPr>
      </w:pPr>
      <w:r>
        <w:t xml:space="preserve">User Experience (UX), User Engagement (UE), Brand Satisfaction (BSAT), and Brand Success (BSUC) </w:t>
      </w:r>
    </w:p>
    <w:p w14:paraId="1138C78F" w14:textId="08FF4631" w:rsidR="00A731C8" w:rsidRPr="00D41BBD" w:rsidRDefault="00DD5D63" w:rsidP="00B379F7">
      <w:pPr>
        <w:jc w:val="both"/>
        <w:rPr>
          <w:i/>
          <w:iCs/>
          <w:color w:val="000000" w:themeColor="text1"/>
          <w:sz w:val="20"/>
          <w:szCs w:val="20"/>
        </w:rPr>
      </w:pPr>
      <w:r w:rsidRPr="00D41BBD">
        <w:rPr>
          <w:i/>
          <w:iCs/>
          <w:color w:val="000000" w:themeColor="text1"/>
          <w:sz w:val="20"/>
          <w:szCs w:val="20"/>
        </w:rPr>
        <w:t>Source: Authors</w:t>
      </w:r>
    </w:p>
    <w:p w14:paraId="1AB309E2" w14:textId="77777777" w:rsidR="00112445" w:rsidRDefault="00112445" w:rsidP="00112445">
      <w:pPr>
        <w:spacing w:line="360" w:lineRule="auto"/>
        <w:jc w:val="both"/>
        <w:rPr>
          <w:color w:val="000000" w:themeColor="text1"/>
        </w:rPr>
      </w:pPr>
    </w:p>
    <w:p w14:paraId="240C3B92" w14:textId="39FDCA51" w:rsidR="00144F14" w:rsidRPr="00234967" w:rsidRDefault="00234967" w:rsidP="00234967">
      <w:pPr>
        <w:spacing w:line="360" w:lineRule="auto"/>
        <w:ind w:left="720" w:hanging="720"/>
        <w:rPr>
          <w:b/>
          <w:bCs/>
          <w:color w:val="000000" w:themeColor="text1"/>
        </w:rPr>
      </w:pPr>
      <w:r>
        <w:t>Table 7. Configuration Analysis for High Brand Success (BSUC) in the Metaverse</w:t>
      </w:r>
    </w:p>
    <w:tbl>
      <w:tblPr>
        <w:tblStyle w:val="TableGrid"/>
        <w:tblW w:w="9096" w:type="dxa"/>
        <w:tblLayout w:type="fixed"/>
        <w:tblLook w:val="04A0" w:firstRow="1" w:lastRow="0" w:firstColumn="1" w:lastColumn="0" w:noHBand="0" w:noVBand="1"/>
      </w:tblPr>
      <w:tblGrid>
        <w:gridCol w:w="2837"/>
        <w:gridCol w:w="3128"/>
        <w:gridCol w:w="2275"/>
        <w:gridCol w:w="856"/>
      </w:tblGrid>
      <w:tr w:rsidR="00466030" w14:paraId="13F75F32" w14:textId="77777777" w:rsidTr="00316E6B">
        <w:trPr>
          <w:trHeight w:val="260"/>
        </w:trPr>
        <w:tc>
          <w:tcPr>
            <w:tcW w:w="2837" w:type="dxa"/>
            <w:shd w:val="clear" w:color="auto" w:fill="D0CECE" w:themeFill="background2" w:themeFillShade="E6"/>
            <w:hideMark/>
          </w:tcPr>
          <w:p w14:paraId="2A28213B" w14:textId="77777777" w:rsidR="00466030" w:rsidRPr="00316E6B" w:rsidRDefault="00466030">
            <w:pPr>
              <w:jc w:val="center"/>
              <w:rPr>
                <w:b/>
                <w:bCs/>
                <w:i/>
                <w:iCs/>
                <w:color w:val="000000"/>
                <w:sz w:val="20"/>
                <w:szCs w:val="20"/>
              </w:rPr>
            </w:pPr>
            <w:r>
              <w:rPr>
                <w:b/>
              </w:rPr>
              <w:t>Configuration</w:t>
            </w:r>
          </w:p>
        </w:tc>
        <w:tc>
          <w:tcPr>
            <w:tcW w:w="3128" w:type="dxa"/>
            <w:shd w:val="clear" w:color="auto" w:fill="D0CECE" w:themeFill="background2" w:themeFillShade="E6"/>
            <w:hideMark/>
          </w:tcPr>
          <w:p w14:paraId="608F952C" w14:textId="77777777" w:rsidR="00466030" w:rsidRPr="00316E6B" w:rsidRDefault="00466030">
            <w:pPr>
              <w:jc w:val="center"/>
              <w:rPr>
                <w:b/>
                <w:bCs/>
                <w:i/>
                <w:iCs/>
                <w:color w:val="000000"/>
                <w:sz w:val="20"/>
                <w:szCs w:val="20"/>
              </w:rPr>
            </w:pPr>
            <w:r>
              <w:rPr>
                <w:b/>
              </w:rPr>
              <w:t>C1: BSAT · UX</w:t>
            </w:r>
          </w:p>
        </w:tc>
        <w:tc>
          <w:tcPr>
            <w:tcW w:w="2275" w:type="dxa"/>
            <w:shd w:val="clear" w:color="auto" w:fill="D0CECE" w:themeFill="background2" w:themeFillShade="E6"/>
            <w:hideMark/>
          </w:tcPr>
          <w:p w14:paraId="7F5A906C" w14:textId="77777777" w:rsidR="00466030" w:rsidRPr="00316E6B" w:rsidRDefault="00466030">
            <w:pPr>
              <w:jc w:val="center"/>
              <w:rPr>
                <w:b/>
                <w:bCs/>
                <w:i/>
                <w:iCs/>
                <w:color w:val="000000"/>
                <w:sz w:val="20"/>
                <w:szCs w:val="20"/>
              </w:rPr>
            </w:pPr>
            <w:r>
              <w:rPr>
                <w:b/>
              </w:rPr>
              <w:t>C2: BSAT · UE</w:t>
            </w:r>
          </w:p>
        </w:tc>
        <w:tc>
          <w:tcPr>
            <w:tcW w:w="855" w:type="dxa"/>
            <w:shd w:val="clear" w:color="auto" w:fill="D0CECE" w:themeFill="background2" w:themeFillShade="E6"/>
            <w:hideMark/>
          </w:tcPr>
          <w:p w14:paraId="50637E76" w14:textId="77777777" w:rsidR="00466030" w:rsidRPr="00316E6B" w:rsidRDefault="00466030">
            <w:pPr>
              <w:jc w:val="center"/>
              <w:rPr>
                <w:b/>
                <w:bCs/>
                <w:i/>
                <w:iCs/>
                <w:color w:val="000000"/>
                <w:sz w:val="20"/>
                <w:szCs w:val="20"/>
              </w:rPr>
            </w:pPr>
            <w:r>
              <w:rPr>
                <w:b/>
              </w:rPr>
              <w:t>C3: UX · UE</w:t>
            </w:r>
          </w:p>
        </w:tc>
      </w:tr>
      <w:tr w:rsidR="00466030" w14:paraId="23043DFD" w14:textId="77777777" w:rsidTr="00316E6B">
        <w:trPr>
          <w:trHeight w:val="240"/>
        </w:trPr>
        <w:tc>
          <w:tcPr>
            <w:tcW w:w="2837" w:type="dxa"/>
            <w:hideMark/>
          </w:tcPr>
          <w:p w14:paraId="140BAAFA" w14:textId="77777777" w:rsidR="00466030" w:rsidRPr="005E0F58" w:rsidRDefault="00466030">
            <w:pPr>
              <w:jc w:val="center"/>
              <w:rPr>
                <w:b/>
                <w:bCs/>
                <w:i/>
                <w:iCs/>
                <w:color w:val="000000"/>
                <w:sz w:val="20"/>
                <w:szCs w:val="20"/>
              </w:rPr>
            </w:pPr>
            <w:r w:rsidRPr="005E0F58">
              <w:rPr>
                <w:i/>
                <w:iCs/>
                <w:color w:val="000000"/>
                <w:sz w:val="20"/>
                <w:szCs w:val="20"/>
              </w:rPr>
              <w:t>Causal Conditions</w:t>
            </w:r>
          </w:p>
        </w:tc>
        <w:tc>
          <w:tcPr>
            <w:tcW w:w="3128" w:type="dxa"/>
            <w:hideMark/>
          </w:tcPr>
          <w:p w14:paraId="1EAAF9E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204319B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493F78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1B60DF6E" w14:textId="77777777" w:rsidTr="00316E6B">
        <w:trPr>
          <w:trHeight w:val="260"/>
        </w:trPr>
        <w:tc>
          <w:tcPr>
            <w:tcW w:w="2837" w:type="dxa"/>
            <w:hideMark/>
          </w:tcPr>
          <w:p w14:paraId="74CAE9E6" w14:textId="4B203EDA" w:rsidR="00466030" w:rsidRPr="00624A1D" w:rsidRDefault="00D41BBD">
            <w:pPr>
              <w:jc w:val="center"/>
              <w:rPr>
                <w:b/>
                <w:bCs/>
                <w:i/>
                <w:iCs/>
                <w:sz w:val="20"/>
                <w:szCs w:val="20"/>
              </w:rPr>
            </w:pPr>
            <w:r>
              <w:t>BSAT (Brand Satisfaction)</w:t>
            </w:r>
          </w:p>
        </w:tc>
        <w:tc>
          <w:tcPr>
            <w:tcW w:w="3128" w:type="dxa"/>
            <w:hideMark/>
          </w:tcPr>
          <w:p w14:paraId="277C1857"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5EBE77C7"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4C05F3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49ABFE40" w14:textId="77777777" w:rsidTr="00316E6B">
        <w:trPr>
          <w:trHeight w:val="260"/>
        </w:trPr>
        <w:tc>
          <w:tcPr>
            <w:tcW w:w="2837" w:type="dxa"/>
            <w:hideMark/>
          </w:tcPr>
          <w:p w14:paraId="6E68344F" w14:textId="70B81178" w:rsidR="00466030" w:rsidRPr="00624A1D" w:rsidRDefault="00D41BBD">
            <w:pPr>
              <w:jc w:val="center"/>
              <w:rPr>
                <w:b/>
                <w:bCs/>
                <w:i/>
                <w:iCs/>
                <w:sz w:val="20"/>
                <w:szCs w:val="20"/>
              </w:rPr>
            </w:pPr>
            <w:r>
              <w:t>UX (User Experience)</w:t>
            </w:r>
          </w:p>
        </w:tc>
        <w:tc>
          <w:tcPr>
            <w:tcW w:w="3128" w:type="dxa"/>
            <w:hideMark/>
          </w:tcPr>
          <w:p w14:paraId="2EABA121"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09512E28"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0A646CBB"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2F481A2C" w14:textId="77777777" w:rsidTr="00316E6B">
        <w:trPr>
          <w:trHeight w:val="260"/>
        </w:trPr>
        <w:tc>
          <w:tcPr>
            <w:tcW w:w="2837" w:type="dxa"/>
            <w:hideMark/>
          </w:tcPr>
          <w:p w14:paraId="6645BF8E" w14:textId="252DABEA" w:rsidR="00466030" w:rsidRPr="00624A1D" w:rsidRDefault="00466030">
            <w:pPr>
              <w:jc w:val="center"/>
              <w:rPr>
                <w:b/>
                <w:bCs/>
                <w:i/>
                <w:iCs/>
                <w:sz w:val="20"/>
                <w:szCs w:val="20"/>
              </w:rPr>
            </w:pPr>
            <w:r>
              <w:t>UE (User Engagement)</w:t>
            </w:r>
          </w:p>
        </w:tc>
        <w:tc>
          <w:tcPr>
            <w:tcW w:w="3128" w:type="dxa"/>
            <w:hideMark/>
          </w:tcPr>
          <w:p w14:paraId="1CD2906A"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54FB0694"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3D382DF6"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14806AF3" w14:textId="77777777" w:rsidTr="00316E6B">
        <w:trPr>
          <w:trHeight w:val="240"/>
        </w:trPr>
        <w:tc>
          <w:tcPr>
            <w:tcW w:w="9096" w:type="dxa"/>
            <w:gridSpan w:val="4"/>
            <w:hideMark/>
          </w:tcPr>
          <w:p w14:paraId="7C20E1B9" w14:textId="77777777" w:rsidR="00466030" w:rsidRPr="00624A1D" w:rsidRDefault="00466030">
            <w:pPr>
              <w:jc w:val="center"/>
              <w:rPr>
                <w:b/>
                <w:bCs/>
                <w:i/>
                <w:iCs/>
                <w:sz w:val="20"/>
                <w:szCs w:val="20"/>
              </w:rPr>
            </w:pPr>
            <w:r w:rsidRPr="00624A1D">
              <w:rPr>
                <w:i/>
                <w:iCs/>
                <w:sz w:val="20"/>
                <w:szCs w:val="20"/>
              </w:rPr>
              <w:t>Performance Metrics</w:t>
            </w:r>
          </w:p>
        </w:tc>
      </w:tr>
      <w:tr w:rsidR="00466030" w14:paraId="1BC06245" w14:textId="77777777" w:rsidTr="00316E6B">
        <w:trPr>
          <w:trHeight w:val="260"/>
        </w:trPr>
        <w:tc>
          <w:tcPr>
            <w:tcW w:w="2837" w:type="dxa"/>
            <w:hideMark/>
          </w:tcPr>
          <w:p w14:paraId="1D939FC1" w14:textId="77777777" w:rsidR="00466030" w:rsidRPr="00624A1D" w:rsidRDefault="00466030">
            <w:pPr>
              <w:jc w:val="center"/>
              <w:rPr>
                <w:b/>
                <w:bCs/>
                <w:i/>
                <w:iCs/>
                <w:sz w:val="20"/>
                <w:szCs w:val="20"/>
              </w:rPr>
            </w:pPr>
            <w:r w:rsidRPr="00624A1D">
              <w:rPr>
                <w:i/>
                <w:iCs/>
                <w:sz w:val="20"/>
                <w:szCs w:val="20"/>
              </w:rPr>
              <w:t>Raw Coverage</w:t>
            </w:r>
          </w:p>
        </w:tc>
        <w:tc>
          <w:tcPr>
            <w:tcW w:w="3128" w:type="dxa"/>
            <w:hideMark/>
          </w:tcPr>
          <w:p w14:paraId="436480C9" w14:textId="77777777" w:rsidR="00466030" w:rsidRPr="00624A1D" w:rsidRDefault="00466030">
            <w:pPr>
              <w:jc w:val="center"/>
              <w:rPr>
                <w:color w:val="000000"/>
                <w:sz w:val="20"/>
                <w:szCs w:val="20"/>
              </w:rPr>
            </w:pPr>
            <w:r w:rsidRPr="00624A1D">
              <w:rPr>
                <w:color w:val="000000" w:themeColor="text1"/>
                <w:sz w:val="20"/>
                <w:szCs w:val="20"/>
              </w:rPr>
              <w:t>0.208</w:t>
            </w:r>
          </w:p>
        </w:tc>
        <w:tc>
          <w:tcPr>
            <w:tcW w:w="2275" w:type="dxa"/>
            <w:hideMark/>
          </w:tcPr>
          <w:p w14:paraId="01AD786A" w14:textId="77777777" w:rsidR="00466030" w:rsidRPr="00624A1D" w:rsidRDefault="00466030">
            <w:pPr>
              <w:jc w:val="center"/>
              <w:rPr>
                <w:color w:val="000000"/>
                <w:sz w:val="20"/>
                <w:szCs w:val="20"/>
              </w:rPr>
            </w:pPr>
            <w:r w:rsidRPr="00624A1D">
              <w:rPr>
                <w:color w:val="000000" w:themeColor="text1"/>
                <w:sz w:val="20"/>
                <w:szCs w:val="20"/>
              </w:rPr>
              <w:t>0.241</w:t>
            </w:r>
          </w:p>
        </w:tc>
        <w:tc>
          <w:tcPr>
            <w:tcW w:w="855" w:type="dxa"/>
            <w:hideMark/>
          </w:tcPr>
          <w:p w14:paraId="76F1225E" w14:textId="5E1F01AA" w:rsidR="00466030" w:rsidRPr="00624A1D" w:rsidRDefault="00466030">
            <w:pPr>
              <w:jc w:val="center"/>
              <w:rPr>
                <w:color w:val="000000"/>
                <w:sz w:val="20"/>
                <w:szCs w:val="20"/>
              </w:rPr>
            </w:pPr>
            <w:r w:rsidRPr="00624A1D">
              <w:rPr>
                <w:color w:val="000000" w:themeColor="text1"/>
                <w:sz w:val="20"/>
                <w:szCs w:val="20"/>
              </w:rPr>
              <w:t>0.21</w:t>
            </w:r>
            <w:r w:rsidR="00F62BDD" w:rsidRPr="00624A1D">
              <w:rPr>
                <w:color w:val="000000" w:themeColor="text1"/>
                <w:sz w:val="20"/>
                <w:szCs w:val="20"/>
              </w:rPr>
              <w:t>8</w:t>
            </w:r>
          </w:p>
        </w:tc>
      </w:tr>
      <w:tr w:rsidR="00466030" w14:paraId="5FFB3432" w14:textId="77777777" w:rsidTr="00316E6B">
        <w:trPr>
          <w:trHeight w:val="260"/>
        </w:trPr>
        <w:tc>
          <w:tcPr>
            <w:tcW w:w="2837" w:type="dxa"/>
            <w:hideMark/>
          </w:tcPr>
          <w:p w14:paraId="3E86ADAF" w14:textId="77777777" w:rsidR="00466030" w:rsidRPr="00624A1D" w:rsidRDefault="00466030">
            <w:pPr>
              <w:jc w:val="center"/>
              <w:rPr>
                <w:b/>
                <w:bCs/>
                <w:i/>
                <w:iCs/>
                <w:sz w:val="20"/>
                <w:szCs w:val="20"/>
              </w:rPr>
            </w:pPr>
            <w:r w:rsidRPr="00624A1D">
              <w:rPr>
                <w:i/>
                <w:iCs/>
                <w:sz w:val="20"/>
                <w:szCs w:val="20"/>
              </w:rPr>
              <w:t>Unique Coverage</w:t>
            </w:r>
          </w:p>
        </w:tc>
        <w:tc>
          <w:tcPr>
            <w:tcW w:w="3128" w:type="dxa"/>
            <w:hideMark/>
          </w:tcPr>
          <w:p w14:paraId="4FC1EA64" w14:textId="77777777" w:rsidR="00466030" w:rsidRPr="00624A1D" w:rsidRDefault="00466030">
            <w:pPr>
              <w:jc w:val="center"/>
              <w:rPr>
                <w:color w:val="000000"/>
                <w:sz w:val="20"/>
                <w:szCs w:val="20"/>
              </w:rPr>
            </w:pPr>
            <w:r w:rsidRPr="00624A1D">
              <w:rPr>
                <w:color w:val="000000" w:themeColor="text1"/>
                <w:sz w:val="20"/>
                <w:szCs w:val="20"/>
              </w:rPr>
              <w:t>0.036</w:t>
            </w:r>
          </w:p>
        </w:tc>
        <w:tc>
          <w:tcPr>
            <w:tcW w:w="2275" w:type="dxa"/>
            <w:hideMark/>
          </w:tcPr>
          <w:p w14:paraId="5D49D3AC" w14:textId="77777777" w:rsidR="00466030" w:rsidRPr="00624A1D" w:rsidRDefault="00466030">
            <w:pPr>
              <w:jc w:val="center"/>
              <w:rPr>
                <w:color w:val="000000"/>
                <w:sz w:val="20"/>
                <w:szCs w:val="20"/>
              </w:rPr>
            </w:pPr>
            <w:r w:rsidRPr="00624A1D">
              <w:rPr>
                <w:color w:val="000000" w:themeColor="text1"/>
                <w:sz w:val="20"/>
                <w:szCs w:val="20"/>
              </w:rPr>
              <w:t>0.069</w:t>
            </w:r>
          </w:p>
        </w:tc>
        <w:tc>
          <w:tcPr>
            <w:tcW w:w="855" w:type="dxa"/>
            <w:hideMark/>
          </w:tcPr>
          <w:p w14:paraId="744A430D" w14:textId="77777777" w:rsidR="00466030" w:rsidRPr="00624A1D" w:rsidRDefault="00466030">
            <w:pPr>
              <w:jc w:val="center"/>
              <w:rPr>
                <w:color w:val="000000"/>
                <w:sz w:val="20"/>
                <w:szCs w:val="20"/>
              </w:rPr>
            </w:pPr>
            <w:r w:rsidRPr="00624A1D">
              <w:rPr>
                <w:color w:val="000000" w:themeColor="text1"/>
                <w:sz w:val="20"/>
                <w:szCs w:val="20"/>
              </w:rPr>
              <w:t>0.047</w:t>
            </w:r>
          </w:p>
        </w:tc>
      </w:tr>
      <w:tr w:rsidR="00466030" w14:paraId="32287DEB" w14:textId="77777777" w:rsidTr="00316E6B">
        <w:trPr>
          <w:trHeight w:val="260"/>
        </w:trPr>
        <w:tc>
          <w:tcPr>
            <w:tcW w:w="2837" w:type="dxa"/>
            <w:hideMark/>
          </w:tcPr>
          <w:p w14:paraId="430E4059" w14:textId="77777777" w:rsidR="00466030" w:rsidRPr="00624A1D" w:rsidRDefault="00466030">
            <w:pPr>
              <w:jc w:val="center"/>
              <w:rPr>
                <w:b/>
                <w:bCs/>
                <w:i/>
                <w:iCs/>
                <w:sz w:val="20"/>
                <w:szCs w:val="20"/>
              </w:rPr>
            </w:pPr>
            <w:r w:rsidRPr="00624A1D">
              <w:rPr>
                <w:i/>
                <w:iCs/>
                <w:sz w:val="20"/>
                <w:szCs w:val="20"/>
              </w:rPr>
              <w:t>Consistency</w:t>
            </w:r>
          </w:p>
        </w:tc>
        <w:tc>
          <w:tcPr>
            <w:tcW w:w="3128" w:type="dxa"/>
            <w:hideMark/>
          </w:tcPr>
          <w:p w14:paraId="14C77C8A" w14:textId="77D1479C" w:rsidR="00466030" w:rsidRPr="00624A1D" w:rsidRDefault="00466030">
            <w:pPr>
              <w:jc w:val="center"/>
              <w:rPr>
                <w:color w:val="000000"/>
                <w:sz w:val="20"/>
                <w:szCs w:val="20"/>
              </w:rPr>
            </w:pPr>
            <w:r w:rsidRPr="00624A1D">
              <w:rPr>
                <w:color w:val="000000" w:themeColor="text1"/>
                <w:sz w:val="20"/>
                <w:szCs w:val="20"/>
              </w:rPr>
              <w:t>0.65</w:t>
            </w:r>
            <w:r w:rsidR="007A0834" w:rsidRPr="00624A1D">
              <w:rPr>
                <w:color w:val="000000" w:themeColor="text1"/>
                <w:sz w:val="20"/>
                <w:szCs w:val="20"/>
              </w:rPr>
              <w:t>0</w:t>
            </w:r>
          </w:p>
        </w:tc>
        <w:tc>
          <w:tcPr>
            <w:tcW w:w="2275" w:type="dxa"/>
            <w:hideMark/>
          </w:tcPr>
          <w:p w14:paraId="44016451" w14:textId="77777777" w:rsidR="00466030" w:rsidRPr="00624A1D" w:rsidRDefault="00466030">
            <w:pPr>
              <w:jc w:val="center"/>
              <w:rPr>
                <w:color w:val="000000"/>
                <w:sz w:val="20"/>
                <w:szCs w:val="20"/>
              </w:rPr>
            </w:pPr>
            <w:r w:rsidRPr="00624A1D">
              <w:rPr>
                <w:color w:val="000000" w:themeColor="text1"/>
                <w:sz w:val="20"/>
                <w:szCs w:val="20"/>
              </w:rPr>
              <w:t>0.669</w:t>
            </w:r>
          </w:p>
        </w:tc>
        <w:tc>
          <w:tcPr>
            <w:tcW w:w="855" w:type="dxa"/>
            <w:hideMark/>
          </w:tcPr>
          <w:p w14:paraId="04725B62" w14:textId="77777777" w:rsidR="00466030" w:rsidRPr="00624A1D" w:rsidRDefault="00466030">
            <w:pPr>
              <w:jc w:val="center"/>
              <w:rPr>
                <w:color w:val="000000"/>
                <w:sz w:val="20"/>
                <w:szCs w:val="20"/>
              </w:rPr>
            </w:pPr>
            <w:r w:rsidRPr="00624A1D">
              <w:rPr>
                <w:color w:val="000000" w:themeColor="text1"/>
                <w:sz w:val="20"/>
                <w:szCs w:val="20"/>
              </w:rPr>
              <w:t>0.6</w:t>
            </w:r>
          </w:p>
        </w:tc>
      </w:tr>
      <w:tr w:rsidR="00466030" w14:paraId="4D498CBD" w14:textId="77777777" w:rsidTr="00316E6B">
        <w:trPr>
          <w:trHeight w:val="260"/>
        </w:trPr>
        <w:tc>
          <w:tcPr>
            <w:tcW w:w="2837" w:type="dxa"/>
            <w:hideMark/>
          </w:tcPr>
          <w:p w14:paraId="56736681" w14:textId="77777777" w:rsidR="00466030" w:rsidRPr="00624A1D" w:rsidRDefault="00466030">
            <w:pPr>
              <w:jc w:val="center"/>
              <w:rPr>
                <w:b/>
                <w:bCs/>
                <w:i/>
                <w:iCs/>
                <w:sz w:val="20"/>
                <w:szCs w:val="20"/>
              </w:rPr>
            </w:pPr>
            <w:r w:rsidRPr="00624A1D">
              <w:rPr>
                <w:i/>
                <w:iCs/>
                <w:sz w:val="20"/>
                <w:szCs w:val="20"/>
              </w:rPr>
              <w:t>Overall Solution</w:t>
            </w:r>
          </w:p>
        </w:tc>
        <w:tc>
          <w:tcPr>
            <w:tcW w:w="3128" w:type="dxa"/>
            <w:hideMark/>
          </w:tcPr>
          <w:p w14:paraId="24303D4E" w14:textId="77777777" w:rsidR="00466030" w:rsidRPr="00624A1D" w:rsidRDefault="00466030">
            <w:pPr>
              <w:jc w:val="center"/>
              <w:rPr>
                <w:color w:val="000000"/>
                <w:sz w:val="20"/>
                <w:szCs w:val="20"/>
              </w:rPr>
            </w:pPr>
            <w:r w:rsidRPr="00624A1D">
              <w:rPr>
                <w:color w:val="000000" w:themeColor="text1"/>
                <w:sz w:val="20"/>
                <w:szCs w:val="20"/>
              </w:rPr>
              <w:t>Coverage: 0.324</w:t>
            </w:r>
          </w:p>
        </w:tc>
        <w:tc>
          <w:tcPr>
            <w:tcW w:w="2275" w:type="dxa"/>
            <w:hideMark/>
          </w:tcPr>
          <w:p w14:paraId="69AC9607" w14:textId="74D45611" w:rsidR="00466030" w:rsidRPr="00624A1D" w:rsidRDefault="00E16418">
            <w:pPr>
              <w:jc w:val="center"/>
              <w:rPr>
                <w:color w:val="000000"/>
                <w:sz w:val="20"/>
                <w:szCs w:val="20"/>
              </w:rPr>
            </w:pPr>
            <w:r w:rsidRPr="00624A1D">
              <w:rPr>
                <w:color w:val="000000" w:themeColor="text1"/>
                <w:sz w:val="20"/>
                <w:szCs w:val="20"/>
              </w:rPr>
              <w:t>Consistency</w:t>
            </w:r>
            <w:r w:rsidR="00466030" w:rsidRPr="00624A1D">
              <w:rPr>
                <w:color w:val="000000" w:themeColor="text1"/>
                <w:sz w:val="20"/>
                <w:szCs w:val="20"/>
              </w:rPr>
              <w:t>: 0.756</w:t>
            </w:r>
          </w:p>
        </w:tc>
        <w:tc>
          <w:tcPr>
            <w:tcW w:w="855" w:type="dxa"/>
            <w:hideMark/>
          </w:tcPr>
          <w:p w14:paraId="1D046954" w14:textId="54C34A3E" w:rsidR="00466030" w:rsidRPr="00624A1D" w:rsidRDefault="00466030">
            <w:pPr>
              <w:jc w:val="center"/>
              <w:rPr>
                <w:color w:val="000000"/>
                <w:sz w:val="20"/>
                <w:szCs w:val="20"/>
              </w:rPr>
            </w:pPr>
          </w:p>
        </w:tc>
      </w:tr>
    </w:tbl>
    <w:p w14:paraId="4238347B" w14:textId="1E672F95" w:rsidR="00466030" w:rsidRPr="005208D3" w:rsidRDefault="00466030"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5645195" w14:textId="77777777" w:rsidR="00BE1864" w:rsidRDefault="00BE1864" w:rsidP="00466030">
      <w:pPr>
        <w:spacing w:line="360" w:lineRule="auto"/>
        <w:jc w:val="both"/>
        <w:rPr>
          <w:color w:val="000000" w:themeColor="text1"/>
          <w:sz w:val="20"/>
          <w:szCs w:val="20"/>
        </w:rPr>
      </w:pPr>
    </w:p>
    <w:p w14:paraId="7955B537" w14:textId="77777777" w:rsidR="00581E44" w:rsidRDefault="00581E44" w:rsidP="00112445">
      <w:pPr>
        <w:spacing w:line="360" w:lineRule="auto"/>
        <w:jc w:val="both"/>
        <w:rPr>
          <w:color w:val="000000" w:themeColor="text1"/>
          <w:sz w:val="20"/>
          <w:szCs w:val="20"/>
        </w:rPr>
      </w:pPr>
    </w:p>
    <w:p w14:paraId="0BE5866C" w14:textId="1C63D4E6" w:rsidR="00581E44" w:rsidRPr="00581E44" w:rsidRDefault="00581E44" w:rsidP="00ED44A2">
      <w:pPr>
        <w:spacing w:line="360" w:lineRule="auto"/>
        <w:ind w:firstLine="426"/>
        <w:jc w:val="both"/>
        <w:rPr>
          <w:color w:val="000000" w:themeColor="text1"/>
        </w:rPr>
      </w:pPr>
      <w:r>
        <w:t>The configurational analysis (Table 7) underscores equifinality: multiple distinct paths lead to high brand success (Ragin, 2008). Consistent with Proposition 4, no single condition, neither brand satisfaction, experience, nor engagement, is necessary on its own; rather, it is the interaction among conditions that is associated with brand outcomes in immersive environments.</w:t>
      </w:r>
    </w:p>
    <w:p w14:paraId="4CD6A6A0" w14:textId="45F1CB0F" w:rsidR="00596F8F" w:rsidRDefault="00581E44" w:rsidP="00596F8F">
      <w:pPr>
        <w:spacing w:line="360" w:lineRule="auto"/>
        <w:ind w:firstLine="426"/>
        <w:jc w:val="both"/>
        <w:rPr>
          <w:color w:val="000000" w:themeColor="text1"/>
        </w:rPr>
      </w:pPr>
      <w:proofErr w:type="spellStart"/>
      <w:proofErr w:type="spellEnd"/>
      <w:proofErr w:type="spellStart"/>
      <w:proofErr w:type="spellEnd"/>
      <w:proofErr w:type="spellStart"/>
      <w:proofErr w:type="spellEnd"/>
      <w:r>
        <w:t>Tables 6 and 7 jointly present the sufficient configurations for high brand success. The triadic configuration (BSAT × UX × UE) has the highest consistency (0.713), supporting Proposition 5. Two satisfaction-anchored pairs follow, BSAT × UE (consistency 0.669; raw coverage 0.241) and BSAT × UX (consistency 0.650; raw coverage 0.208), and the experience-plus-engagement pair UX × UE (consistency 0.600; raw coverage 0.219) is associated with favourable outcomes even where satisfaction is not the leading component, consistent with flow-based engagement. Overall solution coverage is 0.324 and solution consistency is 0.756.</w:t>
      </w:r>
    </w:p>
    <w:p w14:paraId="31C7AD02" w14:textId="77777777" w:rsidR="00316E6B" w:rsidRDefault="00316E6B" w:rsidP="00596F8F">
      <w:pPr>
        <w:spacing w:line="360" w:lineRule="auto"/>
        <w:ind w:firstLine="426"/>
        <w:jc w:val="both"/>
        <w:rPr>
          <w:color w:val="000000" w:themeColor="text1"/>
        </w:rPr>
      </w:pPr>
    </w:p>
    <w:p w14:paraId="32BA587B" w14:textId="77777777" w:rsidR="005F5F9B" w:rsidRDefault="005F5F9B" w:rsidP="00596F8F">
      <w:pPr>
        <w:spacing w:line="360" w:lineRule="auto"/>
        <w:ind w:firstLine="426"/>
        <w:jc w:val="both"/>
        <w:rPr>
          <w:color w:val="000000" w:themeColor="text1"/>
        </w:rPr>
      </w:pPr>
    </w:p>
    <w:p w14:paraId="28C5D9BE" w14:textId="77777777" w:rsidR="005F5F9B" w:rsidRPr="00581E44" w:rsidRDefault="005F5F9B" w:rsidP="00596F8F">
      <w:pPr>
        <w:spacing w:line="360" w:lineRule="auto"/>
        <w:ind w:firstLine="426"/>
        <w:jc w:val="both"/>
        <w:rPr>
          <w:color w:val="000000" w:themeColor="text1"/>
        </w:rPr>
      </w:pPr>
    </w:p>
    <w:p w14:paraId="44232B63" w14:textId="03A8BC1B" w:rsidR="00112445" w:rsidRPr="00104B31" w:rsidRDefault="00104B31" w:rsidP="00112445">
      <w:pPr>
        <w:spacing w:line="360" w:lineRule="auto"/>
        <w:jc w:val="both"/>
        <w:rPr>
          <w:b/>
          <w:bCs/>
          <w:i/>
          <w:iCs/>
          <w:color w:val="000000" w:themeColor="text1"/>
        </w:rPr>
      </w:pPr>
      <w:r>
        <w:rPr>
          <w:b/>
          <w:bCs/>
          <w:i/>
          <w:iCs/>
          <w:color w:val="000000" w:themeColor="text1"/>
        </w:rPr>
        <w:t xml:space="preserve">5.3.2. </w:t>
      </w:r>
      <w:r w:rsidR="00112445" w:rsidRPr="00104B31">
        <w:rPr>
          <w:b/>
          <w:bCs/>
          <w:i/>
          <w:iCs/>
          <w:color w:val="000000" w:themeColor="text1"/>
        </w:rPr>
        <w:t>Necessity Analysis</w:t>
      </w:r>
    </w:p>
    <w:p w14:paraId="5FEB95B4" w14:textId="5A237F86" w:rsidR="00112445" w:rsidRDefault="00112445" w:rsidP="00732C9D">
      <w:pPr>
        <w:spacing w:line="360" w:lineRule="auto"/>
        <w:jc w:val="both"/>
        <w:rPr>
          <w:color w:val="000000" w:themeColor="text1"/>
        </w:rPr>
      </w:pPr>
      <w:r>
        <w:t>Necessity analysis (Table 6) tests whether any condition must be present for high brand success. No single condition, UE, UX, or BSAT, reached the 0.90 consistency benchmark required to be deemed necessary. Brand success in the metaverse therefore does not depend on any one antecedent in isolation, providing direct support for Proposition 4 and motivating the configurational (sufficiency) analysis that follows.</w:t>
      </w:r>
    </w:p>
    <w:p w14:paraId="76A5887E" w14:textId="77777777" w:rsidR="00316E6B" w:rsidRPr="0043234C" w:rsidRDefault="00316E6B" w:rsidP="00732C9D">
      <w:pPr>
        <w:spacing w:line="360" w:lineRule="auto"/>
        <w:jc w:val="both"/>
        <w:rPr>
          <w:color w:val="000000" w:themeColor="text1"/>
        </w:rPr>
      </w:pPr>
    </w:p>
    <w:p w14:paraId="4E041CE3" w14:textId="4BE9EFD4" w:rsidR="00F3782F" w:rsidRPr="0043234C" w:rsidRDefault="00C30BB3" w:rsidP="00732C9D">
      <w:pPr>
        <w:spacing w:line="360" w:lineRule="auto"/>
        <w:jc w:val="both"/>
        <w:rPr>
          <w:color w:val="000000" w:themeColor="text1"/>
        </w:rPr>
      </w:pPr>
      <w:r w:rsidRPr="00104B31">
        <w:rPr>
          <w:b/>
          <w:bCs/>
          <w:i/>
          <w:iCs/>
          <w:color w:val="000000" w:themeColor="text1"/>
        </w:rPr>
        <w:t>5.</w:t>
      </w:r>
      <w:r w:rsidR="00104B31" w:rsidRPr="00104B31">
        <w:rPr>
          <w:b/>
          <w:bCs/>
          <w:i/>
          <w:iCs/>
          <w:color w:val="000000" w:themeColor="text1"/>
        </w:rPr>
        <w:t>3.3.</w:t>
      </w:r>
      <w:r w:rsidRPr="0043234C">
        <w:rPr>
          <w:b/>
          <w:bCs/>
          <w:i/>
          <w:iCs/>
          <w:color w:val="000000" w:themeColor="text1"/>
        </w:rPr>
        <w:t xml:space="preserve"> </w:t>
      </w:r>
      <w:r w:rsidR="00F3782F" w:rsidRPr="0043234C">
        <w:rPr>
          <w:b/>
          <w:bCs/>
          <w:i/>
          <w:iCs/>
          <w:color w:val="000000" w:themeColor="text1"/>
        </w:rPr>
        <w:t xml:space="preserve">Sufficiency </w:t>
      </w:r>
      <w:r w:rsidR="00104B31">
        <w:rPr>
          <w:b/>
          <w:bCs/>
          <w:i/>
          <w:iCs/>
          <w:color w:val="000000" w:themeColor="text1"/>
        </w:rPr>
        <w:t>A</w:t>
      </w:r>
      <w:r w:rsidR="00F3782F" w:rsidRPr="0043234C">
        <w:rPr>
          <w:b/>
          <w:bCs/>
          <w:i/>
          <w:iCs/>
          <w:color w:val="000000" w:themeColor="text1"/>
        </w:rPr>
        <w:t>nalysis</w:t>
      </w:r>
    </w:p>
    <w:p w14:paraId="1DF44AF7" w14:textId="2D32222B" w:rsidR="00112445" w:rsidRPr="0043234C" w:rsidRDefault="00F3782F" w:rsidP="00112445">
      <w:pPr>
        <w:spacing w:line="360" w:lineRule="auto"/>
        <w:jc w:val="both"/>
        <w:rPr>
          <w:color w:val="000000" w:themeColor="text1"/>
        </w:rPr>
      </w:pPr>
      <w:r>
        <w:t>Sufficiency analysis identifies the combinations of conditions associated with high brand success. Following convention, raw coverage, unique coverage, and consistency are reported for each configuration (Pappas and Woodside, 2021). We interpret the results transparently: the configurational consistencies (0.60 to 0.71) and the solution consistency (0.756) sit at or slightly below the 0.75-to-0.80 benchmark commonly applied in fsQCA. We therefore treat the configurations as suggestive evidence of equifinal pathways rather than as strong sufficiency claims, and we identify strengthening these estimates, through recalibration and larger samples, as a priority for future research (Section 8).</w:t>
      </w:r>
    </w:p>
    <w:p w14:paraId="211FFA99" w14:textId="5E304C72" w:rsidR="00AC22CF" w:rsidRPr="0043234C" w:rsidRDefault="003F0E63" w:rsidP="004B0CFD">
      <w:pPr>
        <w:spacing w:line="360" w:lineRule="auto"/>
        <w:ind w:firstLine="426"/>
        <w:jc w:val="both"/>
        <w:rPr>
          <w:color w:val="000000" w:themeColor="text1"/>
        </w:rPr>
      </w:pPr>
      <w:r w:rsidRPr="0043234C">
        <w:rPr>
          <w:color w:val="000000" w:themeColor="text1"/>
        </w:rPr>
        <w:t xml:space="preserve">Comparing the findings to existing literature, we can see that the combinations of user engagement and experience factors identified in the data align with previous research on the factors that contribute to positive brand outcomes. </w:t>
      </w:r>
    </w:p>
    <w:p w14:paraId="7A55786C" w14:textId="667BEF3C" w:rsidR="003F0E63" w:rsidRPr="0043234C" w:rsidRDefault="003F0E63" w:rsidP="004B0CFD">
      <w:pPr>
        <w:spacing w:line="360" w:lineRule="auto"/>
        <w:jc w:val="both"/>
        <w:rPr>
          <w:b/>
          <w:bCs/>
          <w:i/>
          <w:iCs/>
          <w:color w:val="000000" w:themeColor="text1"/>
        </w:rPr>
      </w:pPr>
      <w:r>
        <w:t>1. Combination of BSAT*UX</w:t>
      </w:r>
    </w:p>
    <w:p w14:paraId="6DC4C0A0" w14:textId="4F80A8B7" w:rsidR="007D1E36" w:rsidRPr="0043234C" w:rsidRDefault="007D1E36" w:rsidP="004B0CFD">
      <w:pPr>
        <w:spacing w:line="360" w:lineRule="auto"/>
        <w:jc w:val="both"/>
        <w:rPr>
          <w:color w:val="000000" w:themeColor="text1"/>
        </w:rPr>
      </w:pPr>
      <w:r>
        <w:t>The BSAT × UX configuration (consistency 0.650; raw coverage 0.208) indicates that satisfied users who also perceive a high-quality immersive experience tend to exhibit favourable brand outcomes, consistent with prior evidence linking satisfaction and experience to loyalty (Thaichon et al., 2022).</w:t>
      </w:r>
    </w:p>
    <w:p w14:paraId="5A86EDA1" w14:textId="0059DA04" w:rsidR="003F0E63" w:rsidRPr="0043234C" w:rsidRDefault="003F0E63" w:rsidP="004B0CFD">
      <w:pPr>
        <w:spacing w:line="360" w:lineRule="auto"/>
        <w:jc w:val="both"/>
        <w:rPr>
          <w:b/>
          <w:bCs/>
          <w:i/>
          <w:iCs/>
          <w:color w:val="000000" w:themeColor="text1"/>
        </w:rPr>
      </w:pPr>
      <w:r>
        <w:t>2. Combination of BSAT*UE</w:t>
      </w:r>
    </w:p>
    <w:p w14:paraId="29A57F07" w14:textId="5DC3BB83" w:rsidR="007D1E36" w:rsidRPr="0043234C" w:rsidRDefault="007D1E36" w:rsidP="004B0CFD">
      <w:pPr>
        <w:spacing w:line="360" w:lineRule="auto"/>
        <w:jc w:val="both"/>
        <w:rPr>
          <w:color w:val="000000" w:themeColor="text1"/>
        </w:rPr>
      </w:pPr>
      <w:r>
        <w:t>The BSAT × UE configuration (consistency 0.669; raw coverage 0.241) shows that satisfaction combined with active engagement is associated with favourable brand outcomes, in line with evidence that engagement reinforces brand equity and loyalty (Jeong and Kim, 2019).</w:t>
      </w:r>
    </w:p>
    <w:p w14:paraId="517E438F" w14:textId="23C888A7" w:rsidR="003F0E63" w:rsidRPr="0043234C" w:rsidRDefault="003F0E63" w:rsidP="004B0CFD">
      <w:pPr>
        <w:spacing w:line="360" w:lineRule="auto"/>
        <w:jc w:val="both"/>
        <w:rPr>
          <w:b/>
          <w:bCs/>
          <w:i/>
          <w:iCs/>
          <w:color w:val="000000" w:themeColor="text1"/>
        </w:rPr>
      </w:pPr>
      <w:r>
        <w:t>3. Combination of UX*UE</w:t>
      </w:r>
    </w:p>
    <w:p w14:paraId="6E11C19D" w14:textId="35A05261" w:rsidR="006A234E" w:rsidRPr="0043234C" w:rsidRDefault="003F0E63" w:rsidP="006A234E">
      <w:pPr>
        <w:spacing w:line="360" w:lineRule="auto"/>
        <w:jc w:val="both"/>
        <w:rPr>
          <w:color w:val="000000" w:themeColor="text1"/>
        </w:rPr>
      </w:pPr>
      <w:r>
        <w:t>The UX × UE configuration (consistency 0.600; raw coverage 0.219) is notable because immersive, participatory interaction is associated with favourable outcomes even where satisfaction is not the leading component, consistent with Flow Theory's emphasis on challenge-skill balance and absorption (Csikszentmihalyi, 1990; Shin, 2019).</w:t>
      </w:r>
    </w:p>
    <w:p w14:paraId="745A0811" w14:textId="77777777" w:rsidR="004B0CFD" w:rsidRPr="0043234C" w:rsidRDefault="004B0CFD" w:rsidP="004B0CFD">
      <w:pPr>
        <w:spacing w:line="360" w:lineRule="auto"/>
        <w:jc w:val="both"/>
        <w:rPr>
          <w:color w:val="000000" w:themeColor="text1"/>
        </w:rPr>
      </w:pPr>
    </w:p>
    <w:p w14:paraId="1EA3AD50" w14:textId="77777777" w:rsidR="007648C5" w:rsidRPr="0043234C" w:rsidRDefault="00CE1753" w:rsidP="007648C5">
      <w:pPr>
        <w:spacing w:line="360" w:lineRule="auto"/>
        <w:jc w:val="both"/>
        <w:rPr>
          <w:b/>
          <w:bCs/>
          <w:color w:val="000000" w:themeColor="text1"/>
        </w:rPr>
      </w:pPr>
      <w:r w:rsidRPr="0043234C">
        <w:rPr>
          <w:b/>
          <w:bCs/>
          <w:color w:val="000000" w:themeColor="text1"/>
        </w:rPr>
        <w:t>6. Discussion</w:t>
      </w:r>
    </w:p>
    <w:p w14:paraId="46084B2C" w14:textId="28DF5264" w:rsidR="00B4046B" w:rsidRPr="0043234C" w:rsidRDefault="00B4046B" w:rsidP="007648C5">
      <w:pPr>
        <w:spacing w:line="360" w:lineRule="auto"/>
        <w:jc w:val="both"/>
        <w:rPr>
          <w:b/>
          <w:bCs/>
          <w:color w:val="000000" w:themeColor="text1"/>
        </w:rPr>
      </w:pPr>
      <w:r>
        <w:t>The configurational results speak directly to the study's research questions. Three findings stand out, each tied to a specific result reported in Section 5.</w:t>
      </w:r>
    </w:p>
    <w:p w14:paraId="65153E20" w14:textId="585A9B09" w:rsidR="00B4046B" w:rsidRPr="0043234C" w:rsidRDefault="00B4046B" w:rsidP="00B4046B">
      <w:pPr>
        <w:spacing w:line="360" w:lineRule="auto"/>
        <w:jc w:val="both"/>
        <w:rPr>
          <w:color w:val="000000" w:themeColor="text1"/>
        </w:rPr>
      </w:pPr>
      <w:proofErr w:type="spellStart"/>
      <w:proofErr w:type="spellEnd"/>
      <w:proofErr w:type="spellStart"/>
      <w:proofErr w:type="spellEnd"/>
      <w:r>
        <w:t>First, brand satisfaction is the most consistent component of pathways to brand success, appearing in the three highest-consistency configurations (Table 7), yet it is not necessary on its own, since experience and engagement together also reach high coverage. This nuances the conventional view that satisfaction is the dominant route and indicates that an immersive, engaging interaction can be associated with favourable brand outcomes even where satisfaction is not the leading condition.</w:t>
      </w:r>
    </w:p>
    <w:p w14:paraId="7AFD31AE" w14:textId="61772F09" w:rsidR="00B4046B" w:rsidRPr="0043234C" w:rsidRDefault="00B4046B" w:rsidP="00B4046B">
      <w:pPr>
        <w:spacing w:line="360" w:lineRule="auto"/>
        <w:ind w:firstLine="360"/>
        <w:jc w:val="both"/>
        <w:rPr>
          <w:color w:val="000000" w:themeColor="text1"/>
        </w:rPr>
      </w:pPr>
      <w:r>
        <w:t>Second, the configuration combining satisfaction with engagement (BSAT × UE; consistency 0.669, raw coverage 0.241) shows that active participation paired with satisfaction is associated with stronger brand outcomes, consistent with engagement-equity research (Jeong and Kim, 2019). The fully triadic configuration (BSAT × UX × UE) attains the highest consistency (0.713), supporting Proposition 5.</w:t>
      </w:r>
    </w:p>
    <w:p w14:paraId="5E67DB2B" w14:textId="287B32B2" w:rsidR="00B4046B" w:rsidRPr="0043234C" w:rsidRDefault="00B4046B" w:rsidP="00B4046B">
      <w:pPr>
        <w:spacing w:line="360" w:lineRule="auto"/>
        <w:ind w:firstLine="360"/>
        <w:jc w:val="both"/>
        <w:rPr>
          <w:color w:val="000000" w:themeColor="text1"/>
        </w:rPr>
      </w:pPr>
      <w:r>
        <w:t>Third, engagement and experience are complementary rather than substitutable (Proposition 3): they co-occur in the strongest configuration and are strongly associated (HTMT = 0.814) while remaining empirically distinct. This pattern is consistent with the integrated Flow-SDT logic, in which motivational pull (SDT) and experiential quality (Flow) operate jointly rather than as alternatives. We confine these interpretations to the four measured constructs and report no effect sizes beyond those in Section 5.</w:t>
      </w:r>
    </w:p>
    <w:p w14:paraId="4C4DE95E" w14:textId="23B4AD3C" w:rsidR="00B4046B" w:rsidRPr="0043234C" w:rsidRDefault="00B4046B" w:rsidP="00B4046B">
      <w:pPr>
        <w:spacing w:line="360" w:lineRule="auto"/>
        <w:ind w:firstLine="360"/>
        <w:jc w:val="both"/>
        <w:rPr>
          <w:color w:val="000000" w:themeColor="text1"/>
        </w:rPr>
      </w:pPr>
      <w:r>
        <w:t>Taken together, the results indicate that what is metaverse-specific here is not the existence of these links, which are established elsewhere, but their configurational structure: the absence of any necessary condition, the presence of multiple equifinal routes, and the complementarity of engagement and experience in an embodied, persistently social setting.</w:t>
      </w:r>
    </w:p>
    <w:p w14:paraId="4B91225A" w14:textId="36A81367" w:rsidR="004B0CFD" w:rsidRPr="0043234C" w:rsidRDefault="00B4046B" w:rsidP="000E57E9">
      <w:pPr>
        <w:spacing w:line="360" w:lineRule="auto"/>
        <w:ind w:firstLine="360"/>
        <w:jc w:val="both"/>
        <w:rPr>
          <w:color w:val="000000" w:themeColor="text1"/>
        </w:rPr>
      </w:pPr>
      <w:r w:rsidRPr="0043234C">
        <w:rPr>
          <w:color w:val="000000" w:themeColor="text1"/>
        </w:rPr>
        <w:t xml:space="preserve">It is important to note that while interoperability or blockchain technology could enhance metaverse experiences, these variables were not directly analysed in this study’s </w:t>
      </w:r>
      <w:r w:rsidR="00202EAC">
        <w:rPr>
          <w:color w:val="000000" w:themeColor="text1"/>
        </w:rPr>
        <w:t>FsQCA</w:t>
      </w:r>
      <w:r w:rsidRPr="0043234C">
        <w:rPr>
          <w:color w:val="000000" w:themeColor="text1"/>
        </w:rPr>
        <w:t xml:space="preserve"> framework. Recommendations related to these aspects should be explored in future research rather than included as actionable insights here.</w:t>
      </w:r>
    </w:p>
    <w:p w14:paraId="539918B8" w14:textId="77777777" w:rsidR="00AD66C4" w:rsidRDefault="00AD66C4" w:rsidP="004B0CFD">
      <w:pPr>
        <w:spacing w:line="360" w:lineRule="auto"/>
        <w:jc w:val="both"/>
        <w:rPr>
          <w:b/>
          <w:bCs/>
          <w:i/>
          <w:iCs/>
          <w:color w:val="000000" w:themeColor="text1"/>
        </w:rPr>
      </w:pPr>
    </w:p>
    <w:p w14:paraId="27A1BDFB" w14:textId="53E66903" w:rsidR="00CE1753" w:rsidRPr="0043234C" w:rsidRDefault="00CE1753" w:rsidP="004B0CFD">
      <w:pPr>
        <w:spacing w:line="360" w:lineRule="auto"/>
        <w:jc w:val="both"/>
        <w:rPr>
          <w:b/>
          <w:bCs/>
          <w:i/>
          <w:iCs/>
          <w:color w:val="000000" w:themeColor="text1"/>
        </w:rPr>
      </w:pPr>
      <w:r w:rsidRPr="0043234C">
        <w:rPr>
          <w:b/>
          <w:bCs/>
          <w:i/>
          <w:iCs/>
          <w:color w:val="000000" w:themeColor="text1"/>
        </w:rPr>
        <w:t xml:space="preserve">6.1 Unique insights provided by the </w:t>
      </w:r>
      <w:r w:rsidR="00202EAC">
        <w:rPr>
          <w:b/>
          <w:bCs/>
          <w:i/>
          <w:iCs/>
          <w:color w:val="000000" w:themeColor="text1"/>
        </w:rPr>
        <w:t>FsQCA</w:t>
      </w:r>
      <w:r w:rsidRPr="0043234C">
        <w:rPr>
          <w:b/>
          <w:bCs/>
          <w:i/>
          <w:iCs/>
          <w:color w:val="000000" w:themeColor="text1"/>
        </w:rPr>
        <w:t xml:space="preserve"> </w:t>
      </w:r>
      <w:r w:rsidR="007D170B" w:rsidRPr="0043234C">
        <w:rPr>
          <w:b/>
          <w:bCs/>
          <w:i/>
          <w:iCs/>
          <w:color w:val="000000" w:themeColor="text1"/>
        </w:rPr>
        <w:t>analysis</w:t>
      </w:r>
    </w:p>
    <w:p w14:paraId="54667169" w14:textId="3978979E" w:rsidR="00983A07" w:rsidRPr="0043234C" w:rsidRDefault="00983A07" w:rsidP="004B0CFD">
      <w:pPr>
        <w:spacing w:line="360" w:lineRule="auto"/>
        <w:jc w:val="both"/>
        <w:rPr>
          <w:color w:val="000000" w:themeColor="text1"/>
        </w:rPr>
      </w:pPr>
      <w:r>
        <w:t>fsQCA offers insights into the relationships among brand satisfaction (BSAT), user experience (UX), and user engagement (UE) that net-effects methods cannot, because its value lies in analysing combinations of conditions rather than the average contribution of each in isolation.</w:t>
      </w:r>
    </w:p>
    <w:p w14:paraId="76DD051C" w14:textId="47843435" w:rsidR="00CE1753" w:rsidRPr="0043234C" w:rsidRDefault="00CE1753" w:rsidP="004B0CFD">
      <w:pPr>
        <w:spacing w:line="360" w:lineRule="auto"/>
        <w:jc w:val="both"/>
        <w:rPr>
          <w:color w:val="000000" w:themeColor="text1"/>
        </w:rPr>
      </w:pPr>
      <w:r>
        <w:t>Combinations rather than net effects. fsQCA identifies the joint conditions sufficient for high brand success, revealing equifinal pathways that variable-centric methods, focused on the average effect of each predictor, do not surface.</w:t>
      </w:r>
    </w:p>
    <w:p w14:paraId="4A87758E" w14:textId="27B03D02" w:rsidR="00CE1753" w:rsidRPr="0043234C" w:rsidRDefault="00CE1753" w:rsidP="004B0CFD">
      <w:pPr>
        <w:spacing w:line="360" w:lineRule="auto"/>
        <w:jc w:val="both"/>
        <w:rPr>
          <w:color w:val="000000" w:themeColor="text1"/>
        </w:rPr>
      </w:pPr>
      <w:r>
        <w:t>Consistency and coverage. Consistency indicates how reliably a configuration is associated with the outcome, while coverage indicates its empirical relevance; together they characterise both the dependability and the prevalence of each pathway.</w:t>
      </w:r>
    </w:p>
    <w:p w14:paraId="41530EFF" w14:textId="33AB4E8A" w:rsidR="00CE1753" w:rsidRPr="0043234C" w:rsidRDefault="008B39DB" w:rsidP="004B0CFD">
      <w:pPr>
        <w:spacing w:line="360" w:lineRule="auto"/>
        <w:jc w:val="both"/>
        <w:rPr>
          <w:color w:val="000000" w:themeColor="text1"/>
        </w:rPr>
      </w:pPr>
      <w:r>
        <w:t>Comparative, configurational insight. By comparing configurations, the analysis shows how conditions combine to produce brand success, giving managers actionable, bundle-level guidance rather than a single ranked predictor.</w:t>
      </w:r>
    </w:p>
    <w:p w14:paraId="5439FA8F" w14:textId="77777777" w:rsidR="008E2C8F" w:rsidRDefault="008E2C8F" w:rsidP="004B0CFD">
      <w:pPr>
        <w:spacing w:line="360" w:lineRule="auto"/>
        <w:jc w:val="both"/>
        <w:rPr>
          <w:b/>
          <w:bCs/>
          <w:color w:val="000000" w:themeColor="text1"/>
        </w:rPr>
      </w:pPr>
    </w:p>
    <w:p w14:paraId="0856FC2E" w14:textId="685306D5" w:rsidR="003734B4" w:rsidRDefault="00935C93" w:rsidP="004B0CFD">
      <w:pPr>
        <w:spacing w:line="360" w:lineRule="auto"/>
        <w:jc w:val="both"/>
        <w:rPr>
          <w:b/>
          <w:bCs/>
          <w:color w:val="000000" w:themeColor="text1"/>
        </w:rPr>
      </w:pPr>
      <w:r w:rsidRPr="0043234C">
        <w:rPr>
          <w:b/>
          <w:bCs/>
          <w:color w:val="000000" w:themeColor="text1"/>
        </w:rPr>
        <w:t>7.</w:t>
      </w:r>
      <w:r w:rsidR="003734B4" w:rsidRPr="0043234C">
        <w:rPr>
          <w:b/>
          <w:bCs/>
          <w:color w:val="000000" w:themeColor="text1"/>
        </w:rPr>
        <w:t xml:space="preserve"> </w:t>
      </w:r>
      <w:r w:rsidR="008B39DB" w:rsidRPr="0043234C">
        <w:rPr>
          <w:b/>
          <w:bCs/>
          <w:color w:val="000000" w:themeColor="text1"/>
        </w:rPr>
        <w:t>Implications</w:t>
      </w:r>
    </w:p>
    <w:p w14:paraId="3A74FD50" w14:textId="77777777" w:rsidR="00BE64E6" w:rsidRPr="00BE64E6" w:rsidRDefault="00BE64E6" w:rsidP="00BE64E6">
      <w:pPr>
        <w:spacing w:line="360" w:lineRule="auto"/>
        <w:jc w:val="both"/>
        <w:rPr>
          <w:b/>
          <w:bCs/>
          <w:color w:val="000000" w:themeColor="text1"/>
        </w:rPr>
      </w:pPr>
      <w:r w:rsidRPr="00BE64E6">
        <w:rPr>
          <w:b/>
          <w:bCs/>
          <w:color w:val="000000" w:themeColor="text1"/>
        </w:rPr>
        <w:t>7.1 Theoretical Contributions</w:t>
      </w:r>
    </w:p>
    <w:p w14:paraId="3526AF7E" w14:textId="77777777" w:rsidR="00BE64E6" w:rsidRPr="00BE64E6" w:rsidRDefault="00BE64E6" w:rsidP="00BE64E6">
      <w:pPr>
        <w:spacing w:line="360" w:lineRule="auto"/>
        <w:jc w:val="both"/>
        <w:rPr>
          <w:color w:val="000000" w:themeColor="text1"/>
        </w:rPr>
      </w:pPr>
      <w:proofErr w:type="spellStart"/>
      <w:proofErr w:type="spellEnd"/>
      <w:r>
        <w:t>This study advances theory in two disciplined ways. First, it reframes metaverse branding as a configurational phenomenon, providing empirical evidence of equifinality and the absence of necessary conditions, neither of which a variable-centric application of Flow Theory or SDT anticipates. Second, it integrates the two theories at the level of mechanism: SDT explains the motivation to enter and sustain immersive brand interaction, while Flow explains why well-designed interaction is experienced as absorbing and high quality, jointly accounting for why engagement and experience co-occur rather than substitute.</w:t>
      </w:r>
    </w:p>
    <w:p w14:paraId="28274EEA" w14:textId="4230063F"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proofErr w:type="spellStart"/>
      <w:proofErr w:type="spellEnd"/>
      <w:r>
        <w:t>Within SDT, the metaverse plausibly reconfigures how autonomy, competence, and relatedness are satisfied, through avatar customization and asset ownership (autonomy), skill-based progression (competence), and persistent social worlds (relatedness). We advance this as a theoretical mechanism rather than an empirical finding: these needs were not measured in the present study, and we therefore frame them as explanatory antecedents that motivate the measured constructs and as a priority for direct measurement in future work.</w:t>
      </w:r>
    </w:p>
    <w:p w14:paraId="070B2E32" w14:textId="1C2E24F6"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r>
        <w:t>Flow Theory is likewise extended by positioning immersive experience as contingent on the alignment of challenge and skill, calibrated by interaction design. Consistent with this, the UX × UE configuration is associated with favourable brand outcomes even absent leading satisfaction, suggesting that experiential absorption can itself support brand outcomes. We do not extend this to specific technological features (for example, cross-platform interoperability or asset scarcity), which were not measured.</w:t>
      </w:r>
    </w:p>
    <w:p w14:paraId="52F7D6B5" w14:textId="2C01F0D2"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r>
        <w:t>The central theoretical contribution is the integration of SDT and Flow Theory into a single configurational account of metaverse branding. Using fsQCA, the study identifies multiple equifinal pathways in which engagement, experiential quality, and satisfaction combine to produce high brand success, and shows that no single condition is necessary. This positions intrinsic motivation (SDT) and experiential absorption (Flow) as complementary, jointly operating mechanisms rather than competing explanations.</w:t>
      </w:r>
    </w:p>
    <w:p w14:paraId="08F4AD7B" w14:textId="77777777" w:rsidR="00BE64E6" w:rsidRPr="00BE64E6" w:rsidRDefault="00BE64E6" w:rsidP="00BE64E6">
      <w:pPr>
        <w:spacing w:line="360" w:lineRule="auto"/>
        <w:ind w:firstLine="426"/>
        <w:jc w:val="both"/>
        <w:rPr>
          <w:color w:val="000000" w:themeColor="text1"/>
        </w:rPr>
      </w:pPr>
      <w:r>
        <w:t>In doing so, the study extends both theories into technologically mediated, user-driven domains while remaining disciplined about scope: the configurational evidence concerns four measured constructs, and the SDT and Flow needs and antecedents are advanced as explanatory framing for future, direct empirical testing.</w:t>
      </w:r>
    </w:p>
    <w:p w14:paraId="6077717E" w14:textId="77777777" w:rsidR="00BE64E6" w:rsidRDefault="00BE64E6" w:rsidP="004B0CFD">
      <w:pPr>
        <w:spacing w:line="360" w:lineRule="auto"/>
        <w:jc w:val="both"/>
        <w:rPr>
          <w:color w:val="000000" w:themeColor="text1"/>
        </w:rPr>
      </w:pPr>
    </w:p>
    <w:p w14:paraId="105C6CEF" w14:textId="4CFFF2AA" w:rsidR="00AC523E" w:rsidRPr="0043234C" w:rsidRDefault="00AC523E" w:rsidP="00316E6B">
      <w:pPr>
        <w:spacing w:line="360" w:lineRule="auto"/>
        <w:jc w:val="both"/>
        <w:rPr>
          <w:b/>
          <w:bCs/>
          <w:color w:val="000000" w:themeColor="text1"/>
        </w:rPr>
      </w:pPr>
      <w:r w:rsidRPr="0043234C">
        <w:rPr>
          <w:b/>
          <w:bCs/>
          <w:color w:val="000000" w:themeColor="text1"/>
        </w:rPr>
        <w:t>7.2. Managerial Implications</w:t>
      </w:r>
    </w:p>
    <w:p w14:paraId="022D4037" w14:textId="1869508B" w:rsidR="005E7707" w:rsidRPr="005E7707" w:rsidRDefault="005E7707" w:rsidP="005E7707">
      <w:pPr>
        <w:spacing w:line="360" w:lineRule="auto"/>
        <w:jc w:val="both"/>
        <w:rPr>
          <w:color w:val="000000" w:themeColor="text1"/>
        </w:rPr>
      </w:pPr>
      <w:proofErr w:type="spellStart"/>
      <w:proofErr w:type="spellEnd"/>
      <w:r>
        <w:t>The configurational results translate into bundle-level guidance, each anchored to a specific configuration in Table 7. Where resources allow, brands should prioritise the triadic bundle (BSAT × UX × UE), the most consistent route to brand success. Where full investment is infeasible, pairing satisfaction with either a high-quality immersive experience (BSAT × UX) or active engagement (BSAT × UE) offers two efficient second-best options. Finally, immersive and participatory design (UX × UE) can support brand outcomes on its own terms.</w:t>
      </w:r>
    </w:p>
    <w:p w14:paraId="1D052565" w14:textId="6684AB4F" w:rsidR="005E7707" w:rsidRPr="005E7707" w:rsidRDefault="005E7707" w:rsidP="005E7707">
      <w:pPr>
        <w:spacing w:line="360" w:lineRule="auto"/>
        <w:ind w:firstLine="426"/>
        <w:jc w:val="both"/>
        <w:rPr>
          <w:color w:val="000000" w:themeColor="text1"/>
        </w:rPr>
      </w:pPr>
      <w:proofErr w:type="spellStart"/>
      <w:proofErr w:type="spellEnd"/>
      <w:r>
        <w:t>Practically, this implies designing identity-affirming, community-embedded experiences, through avatar customization, interactive environments, and social features, that jointly raise experience quality and engagement while supporting satisfaction. Because the analysis rests on four cross-sectionally measured constructs, we do not extend these recommendations to specific technologies that were not measured.</w:t>
      </w:r>
    </w:p>
    <w:p w14:paraId="69785BFF" w14:textId="77777777" w:rsidR="005E7707" w:rsidRPr="005E7707" w:rsidRDefault="005E7707" w:rsidP="005E7707">
      <w:pPr>
        <w:spacing w:line="360" w:lineRule="auto"/>
        <w:ind w:firstLine="426"/>
        <w:jc w:val="both"/>
        <w:rPr>
          <w:color w:val="000000" w:themeColor="text1"/>
        </w:rPr>
      </w:pPr>
      <w:r>
        <w:t>Tactics that depend on specific digital-asset mechanics, such as NFT interoperability, smart contracts, transparent minting, and blockchain-based authentication, are promising but lie beyond what these data can support, since none was measured in the present model. We therefore relocate them from findings to future research rather than presenting them as empirically grounded recommendations.</w:t>
      </w:r>
    </w:p>
    <w:p w14:paraId="496E4158" w14:textId="24B95AC1" w:rsidR="005E7707" w:rsidRPr="005E7707" w:rsidRDefault="005E7707" w:rsidP="005E7707">
      <w:pPr>
        <w:spacing w:line="360" w:lineRule="auto"/>
        <w:ind w:firstLine="426"/>
        <w:jc w:val="both"/>
        <w:rPr>
          <w:color w:val="000000" w:themeColor="text1"/>
        </w:rPr>
      </w:pPr>
      <w:r>
        <w:t>Consistent with the BSAT × UE configuration, satisfaction and engagement reinforce one another: interactive opportunities such as gamified participation and co-creation deepen involvement while supporting satisfaction, strengthening users' relational attachment to the brand (Jeong and Kim, 2019).</w:t>
      </w:r>
    </w:p>
    <w:p w14:paraId="25CDA28A" w14:textId="77777777" w:rsidR="005E7707" w:rsidRDefault="005E7707" w:rsidP="005E7707">
      <w:pPr>
        <w:spacing w:line="360" w:lineRule="auto"/>
        <w:ind w:firstLine="426"/>
        <w:jc w:val="both"/>
        <w:rPr>
          <w:color w:val="000000" w:themeColor="text1"/>
        </w:rPr>
      </w:pPr>
      <w:proofErr w:type="spellStart"/>
      <w:proofErr w:type="spellEnd"/>
      <w:r>
        <w:t>Finally, because immersive contexts evolve quickly, brands should monitor engagement, experience, and satisfaction continuously and adjust design accordingly, ensuring that virtual interactions remain meaningful and consistent with brand values.</w:t>
      </w:r>
    </w:p>
    <w:p w14:paraId="3E649294" w14:textId="19500E18" w:rsidR="005E7707" w:rsidRPr="005E7707" w:rsidRDefault="005E7707" w:rsidP="00732C9D">
      <w:pPr>
        <w:spacing w:line="360" w:lineRule="auto"/>
        <w:ind w:firstLine="426"/>
        <w:jc w:val="both"/>
        <w:rPr>
          <w:color w:val="000000" w:themeColor="text1"/>
        </w:rPr>
        <w:sectPr w:rsidR="005E7707" w:rsidRPr="005E7707" w:rsidSect="006F73B1">
          <w:pgSz w:w="11906" w:h="16838"/>
          <w:pgMar w:top="1440" w:right="1440" w:bottom="1440" w:left="1440" w:header="708" w:footer="708" w:gutter="0"/>
          <w:cols w:space="708"/>
          <w:docGrid w:linePitch="360"/>
        </w:sectPr>
      </w:pPr>
    </w:p>
    <w:p w14:paraId="7ACD25E7" w14:textId="2F2460D5" w:rsidR="005208D3" w:rsidRPr="0043234C" w:rsidRDefault="0027089B" w:rsidP="005208D3">
      <w:pPr>
        <w:jc w:val="both"/>
        <w:rPr>
          <w:color w:val="000000" w:themeColor="text1"/>
        </w:rPr>
      </w:pPr>
      <w:r w:rsidRPr="0027089B">
        <w:rPr>
          <w:noProof/>
          <w:color w:val="000000" w:themeColor="text1"/>
        </w:rPr>
        <w:lastRenderedPageBreak/>
        <w:drawing>
          <wp:inline distT="0" distB="0" distL="0" distR="0" wp14:anchorId="21A39B08" wp14:editId="32E57BC6">
            <wp:extent cx="8863330" cy="4955540"/>
            <wp:effectExtent l="19050" t="19050" r="13970" b="16510"/>
            <wp:docPr id="20151736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3621" name="Picture 1" descr="A diagram of a company&#10;&#10;AI-generated content may be incorrect."/>
                    <pic:cNvPicPr/>
                  </pic:nvPicPr>
                  <pic:blipFill>
                    <a:blip r:embed="rId10"/>
                    <a:stretch>
                      <a:fillRect/>
                    </a:stretch>
                  </pic:blipFill>
                  <pic:spPr>
                    <a:xfrm>
                      <a:off x="0" y="0"/>
                      <a:ext cx="8863330" cy="4955540"/>
                    </a:xfrm>
                    <a:prstGeom prst="rect">
                      <a:avLst/>
                    </a:prstGeom>
                    <a:ln>
                      <a:solidFill>
                        <a:schemeClr val="tx1"/>
                      </a:solidFill>
                    </a:ln>
                  </pic:spPr>
                </pic:pic>
              </a:graphicData>
            </a:graphic>
          </wp:inline>
        </w:drawing>
      </w:r>
    </w:p>
    <w:p w14:paraId="4B9DB424" w14:textId="77777777" w:rsidR="00BE64E6" w:rsidRPr="005E7707" w:rsidRDefault="00BE64E6" w:rsidP="00BE64E6">
      <w:pPr>
        <w:spacing w:line="360" w:lineRule="auto"/>
        <w:ind w:firstLine="426"/>
        <w:jc w:val="both"/>
        <w:rPr>
          <w:color w:val="000000" w:themeColor="text1"/>
        </w:rPr>
      </w:pPr>
      <w:r>
        <w:t>In sum, the managerial value of these findings is configurational: brand success in the metaverse follows from coherent bundles of engagement, experience, and satisfaction rather than from any single lever, and brands can select among equifinal bundles according to their capabilities.</w:t>
      </w:r>
    </w:p>
    <w:p w14:paraId="0CB6B5B0" w14:textId="77777777" w:rsidR="005E7707" w:rsidRPr="005E7707" w:rsidRDefault="005E7707" w:rsidP="005E7707">
      <w:pPr>
        <w:spacing w:line="360" w:lineRule="auto"/>
        <w:ind w:firstLine="426"/>
        <w:jc w:val="both"/>
        <w:rPr>
          <w:color w:val="000000" w:themeColor="text1"/>
        </w:rPr>
      </w:pPr>
      <w:r>
        <w:t>Given the contested commercial trajectory of the metaverse, we scope these implications to brands operating on high-traffic immersive-social platforms (for example, Roblox and Fortnite) and to growth markets such as India, rather than to the metaverse as a universal channel.</w:t>
      </w:r>
    </w:p>
    <w:p w14:paraId="228994FA" w14:textId="77777777" w:rsidR="005E7707" w:rsidRDefault="005E7707" w:rsidP="004B0CFD">
      <w:pPr>
        <w:spacing w:line="360" w:lineRule="auto"/>
        <w:jc w:val="both"/>
        <w:rPr>
          <w:b/>
          <w:bCs/>
          <w:color w:val="000000" w:themeColor="text1"/>
        </w:rPr>
      </w:pPr>
    </w:p>
    <w:p w14:paraId="59E4CAF5" w14:textId="7000DF69" w:rsidR="00A731C8" w:rsidRPr="0043234C" w:rsidRDefault="00D9557D" w:rsidP="004B0CFD">
      <w:pPr>
        <w:spacing w:line="360" w:lineRule="auto"/>
        <w:jc w:val="both"/>
        <w:rPr>
          <w:b/>
          <w:bCs/>
          <w:color w:val="000000" w:themeColor="text1"/>
        </w:rPr>
      </w:pPr>
      <w:r>
        <w:rPr>
          <w:b/>
          <w:bCs/>
          <w:color w:val="000000" w:themeColor="text1"/>
        </w:rPr>
        <w:t>8</w:t>
      </w:r>
      <w:r w:rsidR="003734B4" w:rsidRPr="0043234C">
        <w:rPr>
          <w:b/>
          <w:bCs/>
          <w:color w:val="000000" w:themeColor="text1"/>
        </w:rPr>
        <w:t xml:space="preserve">. </w:t>
      </w:r>
      <w:r w:rsidR="00EB7038" w:rsidRPr="0043234C">
        <w:rPr>
          <w:b/>
          <w:bCs/>
          <w:color w:val="000000" w:themeColor="text1"/>
        </w:rPr>
        <w:t>Limitations and Future Scope</w:t>
      </w:r>
    </w:p>
    <w:p w14:paraId="247CA311" w14:textId="2DCE69A7" w:rsidR="00DF7521" w:rsidRPr="00DF7521" w:rsidRDefault="00DF7521" w:rsidP="00DF7521">
      <w:pPr>
        <w:pStyle w:val="NormalWeb"/>
        <w:spacing w:before="0" w:beforeAutospacing="0" w:after="0" w:afterAutospacing="0" w:line="360" w:lineRule="auto"/>
        <w:jc w:val="both"/>
        <w:rPr>
          <w:color w:val="000000" w:themeColor="text1"/>
        </w:rPr>
      </w:pPr>
      <w:r w:rsidRPr="00DF7521">
        <w:rPr>
          <w:color w:val="000000" w:themeColor="text1"/>
        </w:rPr>
        <w:t xml:space="preserve">This study provides valuable insights into user engagement and experience in the metaverse but is subject to several limitations. First, the reliance on a sample of </w:t>
      </w:r>
      <w:r w:rsidR="00113F0C">
        <w:rPr>
          <w:color w:val="000000" w:themeColor="text1"/>
        </w:rPr>
        <w:t>312</w:t>
      </w:r>
      <w:r w:rsidRPr="00DF7521">
        <w:rPr>
          <w:color w:val="000000" w:themeColor="text1"/>
        </w:rPr>
        <w:t xml:space="preserve"> active and experienced users, though ensuring expertise, may bias results toward highly engaged participants. Casual or novice users were underrepresented, limiting the generalisability of </w:t>
      </w:r>
      <w:r w:rsidRPr="00DF7521">
        <w:rPr>
          <w:color w:val="000000" w:themeColor="text1"/>
        </w:rPr>
        <w:lastRenderedPageBreak/>
        <w:t xml:space="preserve">findings across broader demographics. </w:t>
      </w:r>
      <w:r>
        <w:rPr>
          <w:color w:val="000000" w:themeColor="text1"/>
        </w:rPr>
        <w:t>T</w:t>
      </w:r>
      <w:r w:rsidRPr="00DF7521">
        <w:rPr>
          <w:color w:val="000000" w:themeColor="text1"/>
        </w:rPr>
        <w:t>his sampling bias restricts the ability to capture variations in behaviour across different user groups. A more diverse and representative sampling frame, including participants of varying demographics, backgrounds, and levels of experience, is necessary for future research.</w:t>
      </w:r>
    </w:p>
    <w:p w14:paraId="5C88924C" w14:textId="0A008138"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 xml:space="preserve">Second, the scope of variables was restricted. Decisions regarding inclusion and exclusion may have overlooked relevant factors influencing brand success. Moreover, the absence of a control group limits the ability to attribute outcomes solely to the constructs studied. Third, while </w:t>
      </w:r>
      <w:r w:rsidR="00202EAC">
        <w:rPr>
          <w:color w:val="000000" w:themeColor="text1"/>
        </w:rPr>
        <w:t>FsQCA</w:t>
      </w:r>
      <w:r w:rsidRPr="00DF7521">
        <w:rPr>
          <w:color w:val="000000" w:themeColor="text1"/>
        </w:rPr>
        <w:t xml:space="preserve"> was effective in analysing complex causal relationships, its small-N orientation and qualitative nature reduce robustness compared to larger-scale quantitative models. Relying exclusively on </w:t>
      </w:r>
      <w:r w:rsidR="00202EAC">
        <w:rPr>
          <w:color w:val="000000" w:themeColor="text1"/>
        </w:rPr>
        <w:t>FsQCA</w:t>
      </w:r>
      <w:r w:rsidRPr="00DF7521">
        <w:rPr>
          <w:color w:val="000000" w:themeColor="text1"/>
        </w:rPr>
        <w:t xml:space="preserve"> sacrifices opportunities for methodological triangulation and limits the capacity to validate findings across statistical approaches.</w:t>
      </w:r>
    </w:p>
    <w:p w14:paraId="7E61669D" w14:textId="77777777"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Additionally, the cross-sectional design precludes analysis of how engagement and experience evolve over time. Longitudinal studies are essential to track user behaviour and assess the sustainability of engagement within rapidly changing virtual ecosystems. Finally, ethical implications—including privacy, addiction, cyberbullying, and exploitation risks—remain underexplored. Future research should develop frameworks and guidelines to safeguard user well-being while maximising the positive impact of branding in immersive environments.</w:t>
      </w:r>
    </w:p>
    <w:p w14:paraId="1DA68F3E" w14:textId="77777777" w:rsidR="00DF7521" w:rsidRDefault="00DF7521" w:rsidP="00655765">
      <w:pPr>
        <w:pStyle w:val="NormalWeb"/>
        <w:spacing w:before="0" w:beforeAutospacing="0" w:after="0" w:afterAutospacing="0" w:line="360" w:lineRule="auto"/>
        <w:jc w:val="both"/>
        <w:rPr>
          <w:b/>
          <w:bCs/>
          <w:color w:val="000000" w:themeColor="text1"/>
          <w:sz w:val="22"/>
          <w:szCs w:val="22"/>
          <w:lang w:val="en-US"/>
        </w:rPr>
      </w:pPr>
    </w:p>
    <w:p w14:paraId="02A9D0F2" w14:textId="20BB0136" w:rsidR="006A5E51" w:rsidRDefault="00C12797" w:rsidP="00655765">
      <w:pPr>
        <w:pStyle w:val="NormalWeb"/>
        <w:spacing w:before="0" w:beforeAutospacing="0" w:after="0" w:afterAutospacing="0" w:line="360" w:lineRule="auto"/>
        <w:jc w:val="both"/>
        <w:rPr>
          <w:color w:val="000000" w:themeColor="text1"/>
          <w:lang w:val="en-US"/>
        </w:rPr>
      </w:pPr>
      <w:r w:rsidRPr="0043234C">
        <w:rPr>
          <w:b/>
          <w:bCs/>
          <w:color w:val="000000" w:themeColor="text1"/>
          <w:sz w:val="22"/>
          <w:szCs w:val="22"/>
          <w:lang w:val="en-US"/>
        </w:rPr>
        <w:t>Acknowledgement:</w:t>
      </w:r>
      <w:r w:rsidRPr="0043234C">
        <w:rPr>
          <w:color w:val="000000" w:themeColor="text1"/>
          <w:sz w:val="22"/>
          <w:szCs w:val="22"/>
          <w:lang w:val="en-US"/>
        </w:rPr>
        <w:br/>
      </w:r>
      <w:r w:rsidRPr="00DF7521">
        <w:rPr>
          <w:color w:val="000000" w:themeColor="text1"/>
          <w:lang w:val="en-US"/>
        </w:rPr>
        <w:t>The author(s) acknowledge the use of generative AI tools to enhance the linguistic quality and readability of this manuscript. These tools were employed solely to improve spelling, grammar, and overall clarity, based on the original content created by the author(s). The author(s) take full responsibility for the original content, interpretations, and conclusions presented in this work.</w:t>
      </w:r>
    </w:p>
    <w:p w14:paraId="190A9128" w14:textId="77777777" w:rsidR="00816F08" w:rsidRDefault="00816F08" w:rsidP="00D05FD0">
      <w:pPr>
        <w:spacing w:line="360" w:lineRule="auto"/>
        <w:ind w:left="720" w:hanging="720"/>
        <w:jc w:val="both"/>
        <w:rPr>
          <w:b/>
          <w:bCs/>
          <w:color w:val="000000" w:themeColor="text1"/>
        </w:rPr>
      </w:pPr>
    </w:p>
    <w:p w14:paraId="6FDCF685" w14:textId="77777777" w:rsidR="00163779" w:rsidRDefault="00163779" w:rsidP="00D05FD0">
      <w:pPr>
        <w:spacing w:line="360" w:lineRule="auto"/>
        <w:ind w:left="720" w:hanging="720"/>
        <w:jc w:val="both"/>
        <w:rPr>
          <w:b/>
          <w:bCs/>
          <w:color w:val="000000" w:themeColor="text1"/>
        </w:rPr>
      </w:pPr>
    </w:p>
    <w:p w14:paraId="57391680" w14:textId="77777777" w:rsidR="00163779" w:rsidRDefault="00163779" w:rsidP="00D05FD0">
      <w:pPr>
        <w:spacing w:line="360" w:lineRule="auto"/>
        <w:ind w:left="720" w:hanging="720"/>
        <w:jc w:val="both"/>
        <w:rPr>
          <w:b/>
          <w:bCs/>
          <w:color w:val="000000" w:themeColor="text1"/>
        </w:rPr>
      </w:pPr>
    </w:p>
    <w:p w14:paraId="420B68A2" w14:textId="77777777" w:rsidR="00163779" w:rsidRDefault="00163779" w:rsidP="00D05FD0">
      <w:pPr>
        <w:spacing w:line="360" w:lineRule="auto"/>
        <w:ind w:left="720" w:hanging="720"/>
        <w:jc w:val="both"/>
        <w:rPr>
          <w:b/>
          <w:bCs/>
          <w:color w:val="000000" w:themeColor="text1"/>
        </w:rPr>
      </w:pPr>
    </w:p>
    <w:p w14:paraId="55F8E450" w14:textId="77777777" w:rsidR="00163779" w:rsidRDefault="00163779" w:rsidP="00D05FD0">
      <w:pPr>
        <w:spacing w:line="360" w:lineRule="auto"/>
        <w:ind w:left="720" w:hanging="720"/>
        <w:jc w:val="both"/>
        <w:rPr>
          <w:b/>
          <w:bCs/>
          <w:color w:val="000000" w:themeColor="text1"/>
        </w:rPr>
      </w:pPr>
    </w:p>
    <w:p w14:paraId="00B80616" w14:textId="77777777" w:rsidR="00163779" w:rsidRDefault="00163779" w:rsidP="00D05FD0">
      <w:pPr>
        <w:spacing w:line="360" w:lineRule="auto"/>
        <w:ind w:left="720" w:hanging="720"/>
        <w:jc w:val="both"/>
        <w:rPr>
          <w:b/>
          <w:bCs/>
          <w:color w:val="000000" w:themeColor="text1"/>
        </w:rPr>
      </w:pPr>
    </w:p>
    <w:p w14:paraId="3368EC29" w14:textId="77777777" w:rsidR="00163779" w:rsidRDefault="00163779" w:rsidP="00D05FD0">
      <w:pPr>
        <w:spacing w:line="360" w:lineRule="auto"/>
        <w:ind w:left="720" w:hanging="720"/>
        <w:jc w:val="both"/>
        <w:rPr>
          <w:b/>
          <w:bCs/>
          <w:color w:val="000000" w:themeColor="text1"/>
        </w:rPr>
      </w:pPr>
    </w:p>
    <w:p w14:paraId="29034FAF" w14:textId="77777777" w:rsidR="00163779" w:rsidRDefault="00163779" w:rsidP="00D05FD0">
      <w:pPr>
        <w:spacing w:line="360" w:lineRule="auto"/>
        <w:ind w:left="720" w:hanging="720"/>
        <w:jc w:val="both"/>
        <w:rPr>
          <w:b/>
          <w:bCs/>
          <w:color w:val="000000" w:themeColor="text1"/>
        </w:rPr>
      </w:pPr>
    </w:p>
    <w:p w14:paraId="58692092" w14:textId="77777777" w:rsidR="00163779" w:rsidRDefault="00163779" w:rsidP="00D05FD0">
      <w:pPr>
        <w:spacing w:line="360" w:lineRule="auto"/>
        <w:ind w:left="720" w:hanging="720"/>
        <w:jc w:val="both"/>
        <w:rPr>
          <w:b/>
          <w:bCs/>
          <w:color w:val="000000" w:themeColor="text1"/>
        </w:rPr>
      </w:pPr>
    </w:p>
    <w:p w14:paraId="5BAE0C22" w14:textId="77777777" w:rsidR="00816F08" w:rsidRDefault="00816F08" w:rsidP="00D05FD0">
      <w:pPr>
        <w:spacing w:line="360" w:lineRule="auto"/>
        <w:ind w:left="720" w:hanging="720"/>
        <w:jc w:val="both"/>
        <w:rPr>
          <w:b/>
          <w:bCs/>
          <w:color w:val="000000" w:themeColor="text1"/>
        </w:rPr>
      </w:pPr>
    </w:p>
    <w:p w14:paraId="3E6AC243" w14:textId="456F58CA" w:rsidR="00D05FD0" w:rsidRPr="00531B5E" w:rsidRDefault="00D05FD0" w:rsidP="00D05FD0">
      <w:pPr>
        <w:spacing w:line="360" w:lineRule="auto"/>
        <w:ind w:left="720" w:hanging="720"/>
        <w:jc w:val="both"/>
        <w:rPr>
          <w:b/>
          <w:bCs/>
        </w:rPr>
      </w:pPr>
      <w:r w:rsidRPr="00531B5E">
        <w:rPr>
          <w:b/>
          <w:bCs/>
          <w:color w:val="000000" w:themeColor="text1"/>
        </w:rPr>
        <w:lastRenderedPageBreak/>
        <w:t>References</w:t>
      </w:r>
    </w:p>
    <w:p w14:paraId="14F044DD"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Agnihotri, D., Chaturvedi, P., Swarup, K., Mathur, A., Tripathi, V., </w:t>
      </w:r>
      <w:r>
        <w:rPr>
          <w:color w:val="000000" w:themeColor="text1"/>
        </w:rPr>
        <w:t>and</w:t>
      </w:r>
      <w:r w:rsidRPr="00531B5E">
        <w:rPr>
          <w:color w:val="000000" w:themeColor="text1"/>
        </w:rPr>
        <w:t xml:space="preserve"> Singh, N. (2024). Does social presence drive customer brand engagement and purchase intention in the fashion retail metaverse? The moderating role of self-efficacy. </w:t>
      </w:r>
      <w:r w:rsidRPr="00531B5E">
        <w:rPr>
          <w:i/>
          <w:iCs/>
          <w:color w:val="000000" w:themeColor="text1"/>
        </w:rPr>
        <w:t>Internet Research</w:t>
      </w:r>
      <w:r w:rsidRPr="00531B5E">
        <w:rPr>
          <w:color w:val="000000" w:themeColor="text1"/>
        </w:rPr>
        <w:t xml:space="preserve">. </w:t>
      </w:r>
      <w:hyperlink r:id="rId11" w:history="1">
        <w:r w:rsidRPr="00531B5E">
          <w:rPr>
            <w:rStyle w:val="Hyperlink"/>
          </w:rPr>
          <w:t>https://doi.org/10.1108/intr-01-2024-0030</w:t>
        </w:r>
      </w:hyperlink>
    </w:p>
    <w:p w14:paraId="608E94F8" w14:textId="77777777" w:rsidR="001F4649" w:rsidRPr="00531B5E" w:rsidRDefault="001F4649" w:rsidP="00D05FD0">
      <w:pPr>
        <w:shd w:val="clear" w:color="auto" w:fill="FFFFFF" w:themeFill="background1"/>
        <w:spacing w:line="360" w:lineRule="auto"/>
        <w:ind w:left="720" w:hanging="720"/>
        <w:jc w:val="both"/>
      </w:pPr>
      <w:bookmarkStart w:id="2" w:name="_Hlk199329179"/>
      <w:r w:rsidRPr="00531B5E">
        <w:t>Agnihotri</w:t>
      </w:r>
      <w:bookmarkEnd w:id="2"/>
      <w:r w:rsidRPr="00531B5E">
        <w:t>, R. (2020). Social media, customer engagement, and sales organizations: A research agenda. </w:t>
      </w:r>
      <w:r w:rsidRPr="00531B5E">
        <w:rPr>
          <w:i/>
          <w:iCs/>
        </w:rPr>
        <w:t>Industrial Marketing Management</w:t>
      </w:r>
      <w:r w:rsidRPr="00531B5E">
        <w:t>, </w:t>
      </w:r>
      <w:r w:rsidRPr="00531B5E">
        <w:rPr>
          <w:i/>
          <w:iCs/>
        </w:rPr>
        <w:t>90</w:t>
      </w:r>
      <w:r w:rsidRPr="00531B5E">
        <w:t>, 291-299.</w:t>
      </w:r>
    </w:p>
    <w:p w14:paraId="58F5E142" w14:textId="77777777" w:rsidR="001F4649" w:rsidRPr="00531B5E" w:rsidRDefault="001F4649" w:rsidP="00D05FD0">
      <w:pPr>
        <w:shd w:val="clear" w:color="auto" w:fill="FFFFFF" w:themeFill="background1"/>
        <w:spacing w:line="360" w:lineRule="auto"/>
        <w:ind w:left="720" w:hanging="720"/>
        <w:jc w:val="both"/>
      </w:pPr>
      <w:bookmarkStart w:id="3" w:name="_Hlk199425535"/>
      <w:proofErr w:type="spellStart"/>
      <w:r w:rsidRPr="00531B5E">
        <w:t>Alshater</w:t>
      </w:r>
      <w:bookmarkEnd w:id="3"/>
      <w:proofErr w:type="spellEnd"/>
      <w:r w:rsidRPr="00531B5E">
        <w:t xml:space="preserve">, M. M., Nasrallah, N., Khoury, R., </w:t>
      </w:r>
      <w:r>
        <w:t>and</w:t>
      </w:r>
      <w:r w:rsidRPr="00531B5E">
        <w:t xml:space="preserve"> Joshipura, M. (2024). Deciphering the world of NFTs: a scholarly review of trends, challenges, and opportunities. </w:t>
      </w:r>
      <w:r w:rsidRPr="00531B5E">
        <w:rPr>
          <w:i/>
          <w:iCs/>
        </w:rPr>
        <w:t>Electronic Commerce Research</w:t>
      </w:r>
      <w:r w:rsidRPr="00531B5E">
        <w:t>, 1-57.</w:t>
      </w:r>
    </w:p>
    <w:p w14:paraId="6BCF81C8" w14:textId="77777777" w:rsidR="001F4649" w:rsidRPr="00531B5E" w:rsidRDefault="001F4649" w:rsidP="00D05FD0">
      <w:pPr>
        <w:shd w:val="clear" w:color="auto" w:fill="FFFFFF" w:themeFill="background1"/>
        <w:spacing w:line="360" w:lineRule="auto"/>
        <w:ind w:left="720" w:hanging="720"/>
        <w:jc w:val="both"/>
      </w:pPr>
      <w:r w:rsidRPr="00531B5E">
        <w:t xml:space="preserve">Anderson, K. C., Hansen, H., </w:t>
      </w:r>
      <w:r>
        <w:t>and</w:t>
      </w:r>
      <w:r w:rsidRPr="00531B5E">
        <w:t xml:space="preserve"> </w:t>
      </w:r>
      <w:proofErr w:type="spellStart"/>
      <w:r w:rsidRPr="00531B5E">
        <w:t>Laverie</w:t>
      </w:r>
      <w:proofErr w:type="spellEnd"/>
      <w:r w:rsidRPr="00531B5E">
        <w:t>, D. (2024). Technology has Agency too! Disentangling Technology's Causal and Structural Agency in a Service System.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(2), 510-533.</w:t>
      </w:r>
    </w:p>
    <w:p w14:paraId="12B2C993" w14:textId="77777777" w:rsidR="001F4649" w:rsidRPr="00531B5E" w:rsidRDefault="001F4649" w:rsidP="00D05FD0">
      <w:pPr>
        <w:shd w:val="clear" w:color="auto" w:fill="FFFFFF" w:themeFill="background1"/>
        <w:spacing w:line="360" w:lineRule="auto"/>
        <w:ind w:left="720" w:hanging="720"/>
        <w:jc w:val="both"/>
      </w:pPr>
      <w:r w:rsidRPr="00531B5E">
        <w:t xml:space="preserve">Arya, V., Paul, J., </w:t>
      </w:r>
      <w:r>
        <w:t>and</w:t>
      </w:r>
      <w:r w:rsidRPr="00531B5E">
        <w:t xml:space="preserve"> Sethi, D. (2022). Like it or not! Brand communication on social networking sites triggers consumer‐based brand equity. </w:t>
      </w:r>
      <w:r w:rsidRPr="00531B5E">
        <w:rPr>
          <w:i/>
          <w:iCs/>
        </w:rPr>
        <w:t>International Journal of Consumer Studies</w:t>
      </w:r>
      <w:r w:rsidRPr="00531B5E">
        <w:t>, </w:t>
      </w:r>
      <w:r w:rsidRPr="00531B5E">
        <w:rPr>
          <w:i/>
          <w:iCs/>
        </w:rPr>
        <w:t>46</w:t>
      </w:r>
      <w:r w:rsidRPr="00531B5E">
        <w:t>(4), 1381-1398.</w:t>
      </w:r>
    </w:p>
    <w:p w14:paraId="6FEBBFE0" w14:textId="77777777" w:rsidR="001F4649" w:rsidRPr="00531B5E" w:rsidRDefault="001F4649" w:rsidP="00D05FD0">
      <w:pPr>
        <w:shd w:val="clear" w:color="auto" w:fill="FFFFFF" w:themeFill="background1"/>
        <w:spacing w:line="360" w:lineRule="auto"/>
        <w:ind w:left="720" w:hanging="720"/>
        <w:jc w:val="both"/>
      </w:pPr>
      <w:r w:rsidRPr="00531B5E">
        <w:t xml:space="preserve">Arya, V., </w:t>
      </w:r>
      <w:proofErr w:type="spellStart"/>
      <w:r w:rsidRPr="00531B5E">
        <w:t>Sambyal</w:t>
      </w:r>
      <w:proofErr w:type="spellEnd"/>
      <w:r w:rsidRPr="00531B5E">
        <w:t xml:space="preserve">, R., Sharma, A., </w:t>
      </w:r>
      <w:r>
        <w:t>and</w:t>
      </w:r>
      <w:r w:rsidRPr="00531B5E">
        <w:t xml:space="preserve"> Dwivedi, Y. K. (2024a). Brands are calling your AVATAR in Metaverse–A study to explore XR‐based gamification marketing activities </w:t>
      </w:r>
      <w:r>
        <w:t>and</w:t>
      </w:r>
      <w:r w:rsidRPr="00531B5E">
        <w:t xml:space="preserve"> consumer‐based brand equity in virtual world. </w:t>
      </w:r>
      <w:r w:rsidRPr="00531B5E">
        <w:rPr>
          <w:i/>
          <w:iCs/>
        </w:rPr>
        <w:t>Journal of Consumer Behaviour</w:t>
      </w:r>
      <w:r w:rsidRPr="00531B5E">
        <w:t>, </w:t>
      </w:r>
      <w:r w:rsidRPr="00531B5E">
        <w:rPr>
          <w:i/>
          <w:iCs/>
        </w:rPr>
        <w:t>23</w:t>
      </w:r>
      <w:r w:rsidRPr="00531B5E">
        <w:t>(2), 556-585.</w:t>
      </w:r>
    </w:p>
    <w:p w14:paraId="422CEC69" w14:textId="77777777" w:rsidR="001F4649" w:rsidRPr="00531B5E" w:rsidRDefault="001F4649" w:rsidP="00D05FD0">
      <w:pPr>
        <w:shd w:val="clear" w:color="auto" w:fill="FFFFFF" w:themeFill="background1"/>
        <w:spacing w:line="360" w:lineRule="auto"/>
        <w:ind w:left="720" w:hanging="720"/>
        <w:jc w:val="both"/>
      </w:pPr>
      <w:r w:rsidRPr="00531B5E">
        <w:t xml:space="preserve">Arya, V., Sethi, D., </w:t>
      </w:r>
      <w:r>
        <w:t>and</w:t>
      </w:r>
      <w:r w:rsidRPr="00531B5E">
        <w:t xml:space="preserve"> </w:t>
      </w:r>
      <w:proofErr w:type="spellStart"/>
      <w:r w:rsidRPr="00531B5E">
        <w:t>Hollebeek</w:t>
      </w:r>
      <w:proofErr w:type="spellEnd"/>
      <w:r w:rsidRPr="00531B5E">
        <w:t>, L. D. (2024b). Using augmented reality to strengthen consumer/brand relationships: the case of luxury brands. </w:t>
      </w:r>
      <w:r w:rsidRPr="00531B5E">
        <w:rPr>
          <w:i/>
          <w:iCs/>
        </w:rPr>
        <w:t>Journal of Consumer Behaviour</w:t>
      </w:r>
      <w:r w:rsidRPr="00531B5E">
        <w:t xml:space="preserve">. </w:t>
      </w:r>
      <w:hyperlink r:id="rId12" w:tgtFrame="_blank" w:history="1">
        <w:r w:rsidRPr="00531B5E">
          <w:rPr>
            <w:rStyle w:val="Hyperlink"/>
          </w:rPr>
          <w:t>https://doi.org/10.1002/cb.2419</w:t>
        </w:r>
      </w:hyperlink>
    </w:p>
    <w:p w14:paraId="50765189"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Basu, B., Kar, A. K., </w:t>
      </w:r>
      <w:r>
        <w:rPr>
          <w:color w:val="000000" w:themeColor="text1"/>
        </w:rPr>
        <w:t>and</w:t>
      </w:r>
      <w:r w:rsidRPr="00531B5E">
        <w:rPr>
          <w:color w:val="000000" w:themeColor="text1"/>
        </w:rPr>
        <w:t xml:space="preserve"> Sen, S. (2024). Antecedents of user experience in the immersive Metaverse ecosystem: Insights from mining user reviews. </w:t>
      </w:r>
      <w:r w:rsidRPr="00531B5E">
        <w:rPr>
          <w:i/>
          <w:iCs/>
          <w:color w:val="000000" w:themeColor="text1"/>
        </w:rPr>
        <w:t>Communications of the Association for Information Systems</w:t>
      </w:r>
      <w:r w:rsidRPr="00531B5E">
        <w:rPr>
          <w:color w:val="000000" w:themeColor="text1"/>
        </w:rPr>
        <w:t>, </w:t>
      </w:r>
      <w:r w:rsidRPr="00531B5E">
        <w:rPr>
          <w:i/>
          <w:iCs/>
          <w:color w:val="000000" w:themeColor="text1"/>
        </w:rPr>
        <w:t>55</w:t>
      </w:r>
      <w:r w:rsidRPr="00531B5E">
        <w:rPr>
          <w:color w:val="000000" w:themeColor="text1"/>
        </w:rPr>
        <w:t>(1), 13.</w:t>
      </w:r>
    </w:p>
    <w:p w14:paraId="6622C2FE"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Bilgihan</w:t>
      </w:r>
      <w:proofErr w:type="spellEnd"/>
      <w:r w:rsidRPr="00531B5E">
        <w:rPr>
          <w:color w:val="000000" w:themeColor="text1"/>
        </w:rPr>
        <w:t xml:space="preserve">, A., Leong, A. M. W., </w:t>
      </w:r>
      <w:proofErr w:type="spellStart"/>
      <w:r w:rsidRPr="00531B5E">
        <w:rPr>
          <w:color w:val="000000" w:themeColor="text1"/>
        </w:rPr>
        <w:t>Okumus</w:t>
      </w:r>
      <w:proofErr w:type="spellEnd"/>
      <w:r w:rsidRPr="00531B5E">
        <w:rPr>
          <w:color w:val="000000" w:themeColor="text1"/>
        </w:rPr>
        <w:t xml:space="preserve">, F., </w:t>
      </w:r>
      <w:r>
        <w:rPr>
          <w:color w:val="000000" w:themeColor="text1"/>
        </w:rPr>
        <w:t>and</w:t>
      </w:r>
      <w:r w:rsidRPr="00531B5E">
        <w:rPr>
          <w:color w:val="000000" w:themeColor="text1"/>
        </w:rPr>
        <w:t xml:space="preserve"> Bai, J. (2024). Proposing a metaverse engagement model for brand development. </w:t>
      </w:r>
      <w:r w:rsidRPr="00531B5E">
        <w:rPr>
          <w:i/>
          <w:iCs/>
          <w:color w:val="000000" w:themeColor="text1"/>
        </w:rPr>
        <w:t>Journal of Retailing and Consumer Services</w:t>
      </w:r>
      <w:r w:rsidRPr="00531B5E">
        <w:rPr>
          <w:color w:val="000000" w:themeColor="text1"/>
        </w:rPr>
        <w:t>, </w:t>
      </w:r>
      <w:r w:rsidRPr="00531B5E">
        <w:rPr>
          <w:i/>
          <w:iCs/>
          <w:color w:val="000000" w:themeColor="text1"/>
        </w:rPr>
        <w:t>78</w:t>
      </w:r>
      <w:r w:rsidRPr="00531B5E">
        <w:rPr>
          <w:color w:val="000000" w:themeColor="text1"/>
        </w:rPr>
        <w:t>, 103781.</w:t>
      </w:r>
    </w:p>
    <w:p w14:paraId="5E9F7C63"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Blazquez, M. (2024). The Metaverse and its potential for digital sustainability in fashion. </w:t>
      </w:r>
      <w:r w:rsidRPr="00531B5E">
        <w:rPr>
          <w:i/>
          <w:iCs/>
          <w:color w:val="000000" w:themeColor="text1"/>
        </w:rPr>
        <w:t>Journal of Global Fashion Marketing</w:t>
      </w:r>
      <w:r w:rsidRPr="00531B5E">
        <w:rPr>
          <w:color w:val="000000" w:themeColor="text1"/>
        </w:rPr>
        <w:t>, 15(3), 303-319.</w:t>
      </w:r>
    </w:p>
    <w:p w14:paraId="2773D44F" w14:textId="77777777" w:rsidR="001F4649" w:rsidRPr="00531B5E" w:rsidRDefault="001F4649" w:rsidP="00D05FD0">
      <w:pPr>
        <w:shd w:val="clear" w:color="auto" w:fill="FFFFFF" w:themeFill="background1"/>
        <w:spacing w:line="360" w:lineRule="auto"/>
        <w:ind w:left="720" w:hanging="720"/>
        <w:jc w:val="both"/>
      </w:pPr>
      <w:bookmarkStart w:id="4" w:name="_Hlk199423080"/>
      <w:r w:rsidRPr="00531B5E">
        <w:t xml:space="preserve">Brandes, L., </w:t>
      </w:r>
      <w:r>
        <w:t>and</w:t>
      </w:r>
      <w:r w:rsidRPr="00531B5E">
        <w:t xml:space="preserve"> </w:t>
      </w:r>
      <w:proofErr w:type="spellStart"/>
      <w:r w:rsidRPr="00531B5E">
        <w:t>Dölp</w:t>
      </w:r>
      <w:proofErr w:type="spellEnd"/>
      <w:r w:rsidRPr="00531B5E">
        <w:t>, K. (2025)</w:t>
      </w:r>
      <w:bookmarkEnd w:id="4"/>
      <w:r w:rsidRPr="00531B5E">
        <w:t>. Non-Fungible Tokens (NFTs) as Digital Brand Extensions: Evidence on Financial Performance and Parent-Brand Spillovers. </w:t>
      </w:r>
      <w:r w:rsidRPr="00531B5E">
        <w:rPr>
          <w:i/>
          <w:iCs/>
        </w:rPr>
        <w:t>International Journal of Research in Marketing</w:t>
      </w:r>
      <w:r w:rsidRPr="00531B5E">
        <w:t xml:space="preserve">. </w:t>
      </w:r>
      <w:hyperlink r:id="rId13" w:tgtFrame="_blank" w:tooltip="Persistent link using digital object identifier" w:history="1">
        <w:r w:rsidRPr="00531B5E">
          <w:rPr>
            <w:rStyle w:val="Hyperlink"/>
          </w:rPr>
          <w:t>https://doi.org/10.1016/j.ijresmar.2025.01.001</w:t>
        </w:r>
      </w:hyperlink>
    </w:p>
    <w:p w14:paraId="21A4953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lastRenderedPageBreak/>
        <w:t xml:space="preserve">Brodie, R. J., </w:t>
      </w:r>
      <w:proofErr w:type="spellStart"/>
      <w:r w:rsidRPr="00531B5E">
        <w:rPr>
          <w:color w:val="000000" w:themeColor="text1"/>
        </w:rPr>
        <w:t>Hollebeek</w:t>
      </w:r>
      <w:proofErr w:type="spellEnd"/>
      <w:r w:rsidRPr="00531B5E">
        <w:rPr>
          <w:color w:val="000000" w:themeColor="text1"/>
        </w:rPr>
        <w:t xml:space="preserve">, L. D., Jurić, B., </w:t>
      </w:r>
      <w:r>
        <w:rPr>
          <w:color w:val="000000" w:themeColor="text1"/>
        </w:rPr>
        <w:t>and</w:t>
      </w:r>
      <w:r w:rsidRPr="00531B5E">
        <w:rPr>
          <w:color w:val="000000" w:themeColor="text1"/>
        </w:rPr>
        <w:t xml:space="preserve"> Ilić, A. (2011). Customer Engagement: Conceptual Domain, Fundamental Propositions, and Implications for Research. </w:t>
      </w:r>
      <w:r w:rsidRPr="00531B5E">
        <w:rPr>
          <w:i/>
          <w:iCs/>
          <w:color w:val="000000" w:themeColor="text1"/>
        </w:rPr>
        <w:t>Journal of Service Research</w:t>
      </w:r>
      <w:r w:rsidRPr="00531B5E">
        <w:rPr>
          <w:color w:val="000000" w:themeColor="text1"/>
        </w:rPr>
        <w:t xml:space="preserve">, </w:t>
      </w:r>
      <w:r w:rsidRPr="00531B5E">
        <w:rPr>
          <w:i/>
          <w:iCs/>
          <w:color w:val="000000" w:themeColor="text1"/>
        </w:rPr>
        <w:t>14</w:t>
      </w:r>
      <w:r w:rsidRPr="00531B5E">
        <w:rPr>
          <w:color w:val="000000" w:themeColor="text1"/>
        </w:rPr>
        <w:t>(3), 252-271.</w:t>
      </w:r>
    </w:p>
    <w:p w14:paraId="41FD59DD" w14:textId="77777777" w:rsidR="001F4649" w:rsidRPr="00531B5E" w:rsidRDefault="001F4649" w:rsidP="00D05FD0">
      <w:pPr>
        <w:shd w:val="clear" w:color="auto" w:fill="FFFFFF" w:themeFill="background1"/>
        <w:spacing w:line="360" w:lineRule="auto"/>
        <w:ind w:left="720" w:hanging="720"/>
        <w:jc w:val="both"/>
      </w:pPr>
      <w:bookmarkStart w:id="5" w:name="_Hlk199422160"/>
      <w:r w:rsidRPr="00531B5E">
        <w:t>Brouard</w:t>
      </w:r>
      <w:bookmarkEnd w:id="5"/>
      <w:r w:rsidRPr="00531B5E">
        <w:t>, M. (2024). Setting sail in a tokenized world: an exploration of the Bored Ape Yacht club and the co-created consumer experience. </w:t>
      </w:r>
      <w:r w:rsidRPr="00531B5E">
        <w:rPr>
          <w:i/>
          <w:iCs/>
        </w:rPr>
        <w:t>International Journal of Research in Marketing</w:t>
      </w:r>
      <w:r w:rsidRPr="00531B5E">
        <w:t xml:space="preserve">. </w:t>
      </w:r>
      <w:hyperlink r:id="rId14" w:tgtFrame="_blank" w:tooltip="Persistent link using digital object identifier" w:history="1">
        <w:r w:rsidRPr="00531B5E">
          <w:rPr>
            <w:rStyle w:val="Hyperlink"/>
          </w:rPr>
          <w:t>https://doi.org/10.1016/j.ijresmar.2024.03.002</w:t>
        </w:r>
      </w:hyperlink>
    </w:p>
    <w:p w14:paraId="2F6D48EE" w14:textId="77777777" w:rsidR="001F4649" w:rsidRPr="00531B5E" w:rsidRDefault="001F4649" w:rsidP="00D05FD0">
      <w:pPr>
        <w:shd w:val="clear" w:color="auto" w:fill="FFFFFF" w:themeFill="background1"/>
        <w:spacing w:line="360" w:lineRule="auto"/>
        <w:ind w:left="720" w:hanging="720"/>
        <w:jc w:val="both"/>
      </w:pPr>
      <w:proofErr w:type="spellStart"/>
      <w:r w:rsidRPr="00531B5E">
        <w:rPr>
          <w:lang w:val="fr-FR"/>
        </w:rPr>
        <w:t>Buhalis</w:t>
      </w:r>
      <w:proofErr w:type="spellEnd"/>
      <w:r w:rsidRPr="00531B5E">
        <w:rPr>
          <w:lang w:val="fr-FR"/>
        </w:rPr>
        <w:t xml:space="preserve">, D., Leung, D., </w:t>
      </w:r>
      <w:r>
        <w:rPr>
          <w:lang w:val="fr-FR"/>
        </w:rPr>
        <w:t>and</w:t>
      </w:r>
      <w:r w:rsidRPr="00531B5E">
        <w:rPr>
          <w:lang w:val="fr-FR"/>
        </w:rPr>
        <w:t xml:space="preserve"> Lin, M. (2023). </w:t>
      </w:r>
      <w:r w:rsidRPr="00531B5E">
        <w:t>Metaverse as a disruptive technology revolutionising tourism management and marketing. </w:t>
      </w:r>
      <w:r w:rsidRPr="00531B5E">
        <w:rPr>
          <w:i/>
          <w:iCs/>
        </w:rPr>
        <w:t>Tourism management</w:t>
      </w:r>
      <w:r w:rsidRPr="00531B5E">
        <w:t>, </w:t>
      </w:r>
      <w:r w:rsidRPr="00531B5E">
        <w:rPr>
          <w:i/>
          <w:iCs/>
        </w:rPr>
        <w:t>97</w:t>
      </w:r>
      <w:r w:rsidRPr="00531B5E">
        <w:t>, 104724.</w:t>
      </w:r>
    </w:p>
    <w:p w14:paraId="0E939D8B" w14:textId="77777777" w:rsidR="001F4649" w:rsidRPr="00531B5E" w:rsidRDefault="001F4649" w:rsidP="00D05FD0">
      <w:pPr>
        <w:shd w:val="clear" w:color="auto" w:fill="FFFFFF" w:themeFill="background1"/>
        <w:spacing w:line="360" w:lineRule="auto"/>
        <w:ind w:left="720" w:hanging="720"/>
        <w:jc w:val="both"/>
      </w:pPr>
      <w:bookmarkStart w:id="6" w:name="_Hlk199421309"/>
      <w:r w:rsidRPr="00531B5E">
        <w:t>Cadet</w:t>
      </w:r>
      <w:bookmarkEnd w:id="6"/>
      <w:r w:rsidRPr="00531B5E">
        <w:t xml:space="preserve">, L. B., </w:t>
      </w:r>
      <w:r>
        <w:t>and</w:t>
      </w:r>
      <w:r w:rsidRPr="00531B5E">
        <w:t xml:space="preserve"> </w:t>
      </w:r>
      <w:bookmarkStart w:id="7" w:name="_Hlk199421317"/>
      <w:proofErr w:type="spellStart"/>
      <w:r w:rsidRPr="00531B5E">
        <w:t>Chainay</w:t>
      </w:r>
      <w:bookmarkEnd w:id="7"/>
      <w:proofErr w:type="spellEnd"/>
      <w:r w:rsidRPr="00531B5E">
        <w:t>, H. (2020). Memory of virtual experiences: Role of immersion, emotion and sense of presence. </w:t>
      </w:r>
      <w:r w:rsidRPr="00531B5E">
        <w:rPr>
          <w:i/>
          <w:iCs/>
        </w:rPr>
        <w:t>International Journal of Human-Computer Studies</w:t>
      </w:r>
      <w:r w:rsidRPr="00531B5E">
        <w:t>, </w:t>
      </w:r>
      <w:r w:rsidRPr="00531B5E">
        <w:rPr>
          <w:i/>
          <w:iCs/>
        </w:rPr>
        <w:t>144</w:t>
      </w:r>
      <w:r w:rsidRPr="00531B5E">
        <w:t>, 102506.</w:t>
      </w:r>
    </w:p>
    <w:p w14:paraId="500F911F"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Chandra, S., Verma, S., Lim, W. M., Kumar, S., and </w:t>
      </w:r>
      <w:proofErr w:type="spellStart"/>
      <w:r w:rsidRPr="00531B5E">
        <w:rPr>
          <w:color w:val="000000" w:themeColor="text1"/>
        </w:rPr>
        <w:t>Donthu</w:t>
      </w:r>
      <w:proofErr w:type="spellEnd"/>
      <w:r w:rsidRPr="00531B5E">
        <w:rPr>
          <w:color w:val="000000" w:themeColor="text1"/>
        </w:rPr>
        <w:t>, N. (2022). Personalization In Personalized Marketing: Trends and Ways Forward. </w:t>
      </w:r>
      <w:r w:rsidRPr="00531B5E">
        <w:rPr>
          <w:i/>
          <w:iCs/>
          <w:color w:val="000000" w:themeColor="text1"/>
        </w:rPr>
        <w:t>Psychology and Marketing</w:t>
      </w:r>
      <w:r w:rsidRPr="00531B5E">
        <w:rPr>
          <w:color w:val="000000" w:themeColor="text1"/>
        </w:rPr>
        <w:t>, 39(8), 1529-1562.</w:t>
      </w:r>
    </w:p>
    <w:p w14:paraId="003F31E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lang w:val="fr-FR"/>
        </w:rPr>
        <w:t xml:space="preserve">Chang, C. W., Lai, C. J., </w:t>
      </w:r>
      <w:r>
        <w:rPr>
          <w:color w:val="000000" w:themeColor="text1"/>
          <w:lang w:val="fr-FR"/>
        </w:rPr>
        <w:t>and</w:t>
      </w:r>
      <w:r w:rsidRPr="00531B5E">
        <w:rPr>
          <w:color w:val="000000" w:themeColor="text1"/>
          <w:lang w:val="fr-FR"/>
        </w:rPr>
        <w:t xml:space="preserve"> Yen, C. C. (2024). </w:t>
      </w:r>
      <w:r w:rsidRPr="00531B5E">
        <w:rPr>
          <w:color w:val="000000" w:themeColor="text1"/>
        </w:rPr>
        <w:t>Examining drivers of NFT purchase intention: The impact of perceived scarcity and risk. </w:t>
      </w:r>
      <w:r w:rsidRPr="00531B5E">
        <w:rPr>
          <w:i/>
          <w:iCs/>
          <w:color w:val="000000" w:themeColor="text1"/>
        </w:rPr>
        <w:t xml:space="preserve">Acta </w:t>
      </w:r>
      <w:proofErr w:type="spellStart"/>
      <w:r w:rsidRPr="00531B5E">
        <w:rPr>
          <w:i/>
          <w:iCs/>
          <w:color w:val="000000" w:themeColor="text1"/>
        </w:rPr>
        <w:t>Psychologica</w:t>
      </w:r>
      <w:proofErr w:type="spellEnd"/>
      <w:r w:rsidRPr="00531B5E">
        <w:rPr>
          <w:color w:val="000000" w:themeColor="text1"/>
        </w:rPr>
        <w:t>, </w:t>
      </w:r>
      <w:r w:rsidRPr="00531B5E">
        <w:rPr>
          <w:i/>
          <w:iCs/>
          <w:color w:val="000000" w:themeColor="text1"/>
        </w:rPr>
        <w:t>248</w:t>
      </w:r>
      <w:r w:rsidRPr="00531B5E">
        <w:rPr>
          <w:color w:val="000000" w:themeColor="text1"/>
        </w:rPr>
        <w:t>, 104424.</w:t>
      </w:r>
    </w:p>
    <w:p w14:paraId="13690929"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8" w:name="_Hlk199424230"/>
      <w:r w:rsidRPr="00531B5E">
        <w:rPr>
          <w:color w:val="000000" w:themeColor="text1"/>
        </w:rPr>
        <w:t>Corne</w:t>
      </w:r>
      <w:bookmarkEnd w:id="8"/>
      <w:r w:rsidRPr="00531B5E">
        <w:rPr>
          <w:color w:val="000000" w:themeColor="text1"/>
        </w:rPr>
        <w:t xml:space="preserve">, A., Massot, V., </w:t>
      </w:r>
      <w:r>
        <w:rPr>
          <w:color w:val="000000" w:themeColor="text1"/>
        </w:rPr>
        <w:t>and</w:t>
      </w:r>
      <w:r w:rsidRPr="00531B5E">
        <w:rPr>
          <w:color w:val="000000" w:themeColor="text1"/>
        </w:rPr>
        <w:t xml:space="preserve"> </w:t>
      </w:r>
      <w:proofErr w:type="spellStart"/>
      <w:r w:rsidRPr="00531B5E">
        <w:rPr>
          <w:color w:val="000000" w:themeColor="text1"/>
        </w:rPr>
        <w:t>Merasli</w:t>
      </w:r>
      <w:proofErr w:type="spellEnd"/>
      <w:r w:rsidRPr="00531B5E">
        <w:rPr>
          <w:color w:val="000000" w:themeColor="text1"/>
        </w:rPr>
        <w:t>, S. (2023). The determinants of the adoption of blockchain technology in the tourism sector and metaverse perspectives.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Tourism</w:t>
      </w:r>
      <w:r w:rsidRPr="00531B5E">
        <w:rPr>
          <w:color w:val="000000" w:themeColor="text1"/>
        </w:rPr>
        <w:t>, </w:t>
      </w:r>
      <w:r w:rsidRPr="00531B5E">
        <w:rPr>
          <w:i/>
          <w:iCs/>
          <w:color w:val="000000" w:themeColor="text1"/>
        </w:rPr>
        <w:t>25</w:t>
      </w:r>
      <w:r w:rsidRPr="00531B5E">
        <w:rPr>
          <w:color w:val="000000" w:themeColor="text1"/>
        </w:rPr>
        <w:t>(4), 605-633.</w:t>
      </w:r>
    </w:p>
    <w:p w14:paraId="3F9138DF" w14:textId="77777777" w:rsidR="001F4649" w:rsidRPr="00531B5E" w:rsidRDefault="001F4649" w:rsidP="00D05FD0">
      <w:pPr>
        <w:shd w:val="clear" w:color="auto" w:fill="FFFFFF" w:themeFill="background1"/>
        <w:spacing w:line="360" w:lineRule="auto"/>
        <w:ind w:left="720" w:hanging="720"/>
        <w:jc w:val="both"/>
      </w:pPr>
      <w:bookmarkStart w:id="9" w:name="_Hlk199355299"/>
      <w:r w:rsidRPr="00531B5E">
        <w:t>Csikszentmihalyi</w:t>
      </w:r>
      <w:bookmarkEnd w:id="9"/>
      <w:r w:rsidRPr="00531B5E">
        <w:t xml:space="preserve">, M., Montijo, M. N., </w:t>
      </w:r>
      <w:r>
        <w:t>and</w:t>
      </w:r>
      <w:r w:rsidRPr="00531B5E">
        <w:t xml:space="preserve"> Mouton, A. R. (2018). Flow theory: Optimizing elite performance in the creative realm. In S. I. Pfeiffer, E. Shaunessy-Dedrick, </w:t>
      </w:r>
      <w:r>
        <w:t>and</w:t>
      </w:r>
      <w:r w:rsidRPr="00531B5E">
        <w:t xml:space="preserve"> M. Foley-Nicpon (Eds.), APA handbook of giftedness and talent (pp. 215–229). American Psychological Association.</w:t>
      </w:r>
    </w:p>
    <w:p w14:paraId="413F9617" w14:textId="77777777" w:rsidR="001F4649" w:rsidRPr="00531B5E" w:rsidRDefault="001F4649" w:rsidP="00D05FD0">
      <w:pPr>
        <w:shd w:val="clear" w:color="auto" w:fill="FFFFFF" w:themeFill="background1"/>
        <w:spacing w:line="360" w:lineRule="auto"/>
        <w:ind w:left="720" w:hanging="720"/>
        <w:jc w:val="both"/>
      </w:pPr>
      <w:r w:rsidRPr="00531B5E">
        <w:t>Csikszentmihalyi, Mihaly. (1990). Flow: The Psychology of Optimal Experience. </w:t>
      </w:r>
      <w:r w:rsidRPr="00531B5E">
        <w:rPr>
          <w:i/>
          <w:iCs/>
        </w:rPr>
        <w:t>Journal of Leisure Research</w:t>
      </w:r>
      <w:r w:rsidRPr="00531B5E">
        <w:t>, 24(1), pp. 93–94</w:t>
      </w:r>
    </w:p>
    <w:p w14:paraId="3F6DBC8F" w14:textId="77777777" w:rsidR="001F4649" w:rsidRPr="00531B5E" w:rsidRDefault="001F4649" w:rsidP="00D05FD0">
      <w:pPr>
        <w:shd w:val="clear" w:color="auto" w:fill="FFFFFF" w:themeFill="background1"/>
        <w:spacing w:line="360" w:lineRule="auto"/>
        <w:ind w:left="720" w:hanging="720"/>
        <w:jc w:val="both"/>
      </w:pPr>
      <w:bookmarkStart w:id="10" w:name="_Hlk199324780"/>
      <w:proofErr w:type="spellStart"/>
      <w:r w:rsidRPr="00531B5E">
        <w:t>Daassi</w:t>
      </w:r>
      <w:bookmarkEnd w:id="10"/>
      <w:proofErr w:type="spellEnd"/>
      <w:r w:rsidRPr="00531B5E">
        <w:t xml:space="preserve">, M., </w:t>
      </w:r>
      <w:r>
        <w:t>and</w:t>
      </w:r>
      <w:r w:rsidRPr="00531B5E">
        <w:t xml:space="preserve"> </w:t>
      </w:r>
      <w:proofErr w:type="spellStart"/>
      <w:r w:rsidRPr="00531B5E">
        <w:t>Debbabi</w:t>
      </w:r>
      <w:proofErr w:type="spellEnd"/>
      <w:r w:rsidRPr="00531B5E">
        <w:t>, S. (2021). Intention to reuse AR-based apps: The combined role of the sense of immersion, product presence and perceived realism. </w:t>
      </w:r>
      <w:r w:rsidRPr="00531B5E">
        <w:rPr>
          <w:i/>
          <w:iCs/>
        </w:rPr>
        <w:t xml:space="preserve">Information </w:t>
      </w:r>
      <w:r>
        <w:rPr>
          <w:i/>
          <w:iCs/>
        </w:rPr>
        <w:t>and</w:t>
      </w:r>
      <w:r w:rsidRPr="00531B5E">
        <w:rPr>
          <w:i/>
          <w:iCs/>
        </w:rPr>
        <w:t xml:space="preserve"> Management</w:t>
      </w:r>
      <w:r w:rsidRPr="00531B5E">
        <w:t>, </w:t>
      </w:r>
      <w:r w:rsidRPr="00531B5E">
        <w:rPr>
          <w:i/>
          <w:iCs/>
        </w:rPr>
        <w:t>58</w:t>
      </w:r>
      <w:r w:rsidRPr="00531B5E">
        <w:t>(4), 103453.</w:t>
      </w:r>
    </w:p>
    <w:p w14:paraId="6FE7895F"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Deci, E. L., </w:t>
      </w:r>
      <w:r>
        <w:rPr>
          <w:rFonts w:eastAsia="inter"/>
          <w:bCs/>
          <w:color w:val="000000"/>
          <w:sz w:val="22"/>
        </w:rPr>
        <w:t>and</w:t>
      </w:r>
      <w:r w:rsidRPr="00BF3C3F">
        <w:rPr>
          <w:rFonts w:eastAsia="inter"/>
          <w:bCs/>
          <w:color w:val="000000"/>
          <w:sz w:val="22"/>
        </w:rPr>
        <w:t xml:space="preserve"> Ryan, R. M. (2000). The “What” and “Why” of Goal Pursuits: Human Needs and the Self-Determination of </w:t>
      </w:r>
      <w:proofErr w:type="spellStart"/>
      <w:r w:rsidRPr="00BF3C3F">
        <w:rPr>
          <w:rFonts w:eastAsia="inter"/>
          <w:bCs/>
          <w:color w:val="000000"/>
          <w:sz w:val="22"/>
        </w:rPr>
        <w:t>Behavior</w:t>
      </w:r>
      <w:proofErr w:type="spellEnd"/>
      <w:r w:rsidRPr="00BF3C3F">
        <w:rPr>
          <w:rFonts w:eastAsia="inter"/>
          <w:bCs/>
          <w:color w:val="000000"/>
          <w:sz w:val="22"/>
        </w:rPr>
        <w:t>. Psychological Inquiry, 11(4), 227–268.</w:t>
      </w:r>
    </w:p>
    <w:p w14:paraId="208DF008"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1" w:name="_Hlk199356571"/>
      <w:r w:rsidRPr="00531B5E">
        <w:rPr>
          <w:color w:val="000000" w:themeColor="text1"/>
        </w:rPr>
        <w:lastRenderedPageBreak/>
        <w:t xml:space="preserve">Douglas, E. J., Shepherd, D. A., </w:t>
      </w:r>
      <w:r>
        <w:rPr>
          <w:color w:val="000000" w:themeColor="text1"/>
        </w:rPr>
        <w:t>and</w:t>
      </w:r>
      <w:r w:rsidRPr="00531B5E">
        <w:rPr>
          <w:color w:val="000000" w:themeColor="text1"/>
        </w:rPr>
        <w:t xml:space="preserve"> Prentice, C. (2020). Using fuzzy-set qualitative comparative analysis for a finer-grained understanding of entrepreneurship. </w:t>
      </w:r>
      <w:r w:rsidRPr="00531B5E">
        <w:rPr>
          <w:i/>
          <w:iCs/>
          <w:color w:val="000000" w:themeColor="text1"/>
        </w:rPr>
        <w:t>Journal of Business Venturing</w:t>
      </w:r>
      <w:r w:rsidRPr="00531B5E">
        <w:rPr>
          <w:color w:val="000000" w:themeColor="text1"/>
        </w:rPr>
        <w:t>, </w:t>
      </w:r>
      <w:r w:rsidRPr="00531B5E">
        <w:rPr>
          <w:i/>
          <w:iCs/>
          <w:color w:val="000000" w:themeColor="text1"/>
        </w:rPr>
        <w:t>35</w:t>
      </w:r>
      <w:r w:rsidRPr="00531B5E">
        <w:rPr>
          <w:color w:val="000000" w:themeColor="text1"/>
        </w:rPr>
        <w:t>(1), 105970.</w:t>
      </w:r>
    </w:p>
    <w:bookmarkEnd w:id="11"/>
    <w:p w14:paraId="003E39C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Duong, C. D., Ngo, T. V. N., Khuc, T. A., Tran, N. M., </w:t>
      </w:r>
      <w:r>
        <w:rPr>
          <w:color w:val="000000" w:themeColor="text1"/>
        </w:rPr>
        <w:t>and</w:t>
      </w:r>
      <w:r w:rsidRPr="00531B5E">
        <w:rPr>
          <w:color w:val="000000" w:themeColor="text1"/>
        </w:rPr>
        <w:t xml:space="preserve"> Nguyen, T. P. T. (2025). </w:t>
      </w:r>
      <w:proofErr w:type="spellStart"/>
      <w:r w:rsidRPr="00531B5E">
        <w:rPr>
          <w:color w:val="000000" w:themeColor="text1"/>
        </w:rPr>
        <w:t>Unraveling</w:t>
      </w:r>
      <w:proofErr w:type="spellEnd"/>
      <w:r w:rsidRPr="00531B5E">
        <w:rPr>
          <w:color w:val="000000" w:themeColor="text1"/>
        </w:rPr>
        <w:t xml:space="preserve"> the dark side of ChatGPT: A moderated mediation model of technology anxiety and technostress.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People</w:t>
      </w:r>
      <w:r w:rsidRPr="00531B5E">
        <w:rPr>
          <w:color w:val="000000" w:themeColor="text1"/>
        </w:rPr>
        <w:t>, </w:t>
      </w:r>
      <w:r w:rsidRPr="00531B5E">
        <w:rPr>
          <w:i/>
          <w:iCs/>
          <w:color w:val="000000" w:themeColor="text1"/>
        </w:rPr>
        <w:t>38</w:t>
      </w:r>
      <w:r w:rsidRPr="00531B5E">
        <w:rPr>
          <w:color w:val="000000" w:themeColor="text1"/>
        </w:rPr>
        <w:t>(4), 2015-2040.</w:t>
      </w:r>
    </w:p>
    <w:p w14:paraId="6E3A423B"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2" w:name="_Hlk199415064"/>
      <w:r w:rsidRPr="00531B5E">
        <w:rPr>
          <w:color w:val="000000" w:themeColor="text1"/>
        </w:rPr>
        <w:t>Dwivedi</w:t>
      </w:r>
      <w:bookmarkEnd w:id="12"/>
      <w:r w:rsidRPr="00531B5E">
        <w:rPr>
          <w:color w:val="000000" w:themeColor="text1"/>
        </w:rPr>
        <w:t xml:space="preserve">, Y. K., Hughes, L., Wang, Y., </w:t>
      </w:r>
      <w:proofErr w:type="spellStart"/>
      <w:r w:rsidRPr="00531B5E">
        <w:rPr>
          <w:color w:val="000000" w:themeColor="text1"/>
        </w:rPr>
        <w:t>Alalwan</w:t>
      </w:r>
      <w:proofErr w:type="spellEnd"/>
      <w:r w:rsidRPr="00531B5E">
        <w:rPr>
          <w:color w:val="000000" w:themeColor="text1"/>
        </w:rPr>
        <w:t xml:space="preserve">, A. A., Ahn, S. J., Balakrishnan, J., ... </w:t>
      </w:r>
      <w:r>
        <w:rPr>
          <w:color w:val="000000" w:themeColor="text1"/>
        </w:rPr>
        <w:t>and</w:t>
      </w:r>
      <w:r w:rsidRPr="00531B5E">
        <w:rPr>
          <w:color w:val="000000" w:themeColor="text1"/>
        </w:rPr>
        <w:t xml:space="preserve"> Wirtz, J. (2023). Metaverse marketing: How the metaverse will shape the future of consumer research and practice. </w:t>
      </w:r>
      <w:r w:rsidRPr="00531B5E">
        <w:rPr>
          <w:i/>
          <w:iCs/>
          <w:color w:val="000000" w:themeColor="text1"/>
        </w:rPr>
        <w:t xml:space="preserve">Psychology </w:t>
      </w:r>
      <w:r>
        <w:rPr>
          <w:i/>
          <w:iCs/>
          <w:color w:val="000000" w:themeColor="text1"/>
        </w:rPr>
        <w:t>and</w:t>
      </w:r>
      <w:r w:rsidRPr="00531B5E">
        <w:rPr>
          <w:i/>
          <w:iCs/>
          <w:color w:val="000000" w:themeColor="text1"/>
        </w:rPr>
        <w:t xml:space="preserve"> Marketing</w:t>
      </w:r>
      <w:r w:rsidRPr="00531B5E">
        <w:rPr>
          <w:color w:val="000000" w:themeColor="text1"/>
        </w:rPr>
        <w:t>, 40(4), 750-776.</w:t>
      </w:r>
    </w:p>
    <w:p w14:paraId="4C0BB637" w14:textId="77777777" w:rsidR="001F4649" w:rsidRPr="00531B5E" w:rsidRDefault="001F4649" w:rsidP="00D05FD0">
      <w:pPr>
        <w:shd w:val="clear" w:color="auto" w:fill="FFFFFF" w:themeFill="background1"/>
        <w:spacing w:line="360" w:lineRule="auto"/>
        <w:ind w:left="720" w:hanging="720"/>
        <w:jc w:val="both"/>
      </w:pPr>
      <w:r w:rsidRPr="00531B5E">
        <w:t>Ebrahim, R. S. (2020). The role of trust in understanding the impact of social media marketing on brand equity and brand loyalty. </w:t>
      </w:r>
      <w:r w:rsidRPr="00531B5E">
        <w:rPr>
          <w:i/>
          <w:iCs/>
        </w:rPr>
        <w:t>Journal of Relationship Marketing</w:t>
      </w:r>
      <w:r w:rsidRPr="00531B5E">
        <w:t>, </w:t>
      </w:r>
      <w:r w:rsidRPr="00531B5E">
        <w:rPr>
          <w:i/>
          <w:iCs/>
        </w:rPr>
        <w:t>19</w:t>
      </w:r>
      <w:r w:rsidRPr="00531B5E">
        <w:t>(4), 287-308.</w:t>
      </w:r>
    </w:p>
    <w:p w14:paraId="785A2987" w14:textId="77777777" w:rsidR="001F4649" w:rsidRPr="00531B5E" w:rsidRDefault="001F4649" w:rsidP="00D05FD0">
      <w:pPr>
        <w:shd w:val="clear" w:color="auto" w:fill="FFFFFF" w:themeFill="background1"/>
        <w:spacing w:line="360" w:lineRule="auto"/>
        <w:ind w:left="720" w:hanging="720"/>
        <w:jc w:val="both"/>
      </w:pPr>
      <w:r w:rsidRPr="00531B5E">
        <w:t xml:space="preserve">Eggenschwiler, M., </w:t>
      </w:r>
      <w:proofErr w:type="spellStart"/>
      <w:r w:rsidRPr="00531B5E">
        <w:t>Linzmajer</w:t>
      </w:r>
      <w:proofErr w:type="spellEnd"/>
      <w:r w:rsidRPr="00531B5E">
        <w:t xml:space="preserve">, M., Roggeveen, A. L., </w:t>
      </w:r>
      <w:r>
        <w:t>and</w:t>
      </w:r>
      <w:r w:rsidRPr="00531B5E">
        <w:t xml:space="preserve"> Rudolph, T. (2024). Retailing in the metaverse: A framework of managerial considerations for success. </w:t>
      </w:r>
      <w:r w:rsidRPr="00531B5E">
        <w:rPr>
          <w:i/>
          <w:iCs/>
        </w:rPr>
        <w:t>Journal of Retailing and Consumer Services</w:t>
      </w:r>
      <w:r w:rsidRPr="00531B5E">
        <w:t>, </w:t>
      </w:r>
      <w:r w:rsidRPr="00531B5E">
        <w:rPr>
          <w:i/>
          <w:iCs/>
        </w:rPr>
        <w:t>79</w:t>
      </w:r>
      <w:r w:rsidRPr="00531B5E">
        <w:t>, 103791.</w:t>
      </w:r>
    </w:p>
    <w:p w14:paraId="35F8202C" w14:textId="77777777" w:rsidR="001F4649" w:rsidRDefault="001F4649" w:rsidP="00D05FD0">
      <w:pPr>
        <w:shd w:val="clear" w:color="auto" w:fill="FFFFFF" w:themeFill="background1"/>
        <w:spacing w:line="360" w:lineRule="auto"/>
        <w:ind w:left="720" w:hanging="720"/>
        <w:jc w:val="both"/>
      </w:pPr>
      <w:bookmarkStart w:id="13" w:name="_Hlk199324225"/>
      <w:r w:rsidRPr="00531B5E">
        <w:t>Fan</w:t>
      </w:r>
      <w:bookmarkEnd w:id="13"/>
      <w:r w:rsidRPr="00531B5E">
        <w:t xml:space="preserve">, X., Jiang, X., </w:t>
      </w:r>
      <w:r>
        <w:t>and</w:t>
      </w:r>
      <w:r w:rsidRPr="00531B5E">
        <w:t xml:space="preserve"> Deng, N. (2022). Immersive technology: A meta-analysis of augmented/virtual reality applications and their impact on tourism experience. </w:t>
      </w:r>
      <w:r w:rsidRPr="00531B5E">
        <w:rPr>
          <w:i/>
          <w:iCs/>
        </w:rPr>
        <w:t>Tourism Management</w:t>
      </w:r>
      <w:r w:rsidRPr="00531B5E">
        <w:t>, </w:t>
      </w:r>
      <w:r w:rsidRPr="00531B5E">
        <w:rPr>
          <w:i/>
          <w:iCs/>
        </w:rPr>
        <w:t>91</w:t>
      </w:r>
      <w:r w:rsidRPr="00531B5E">
        <w:t>, 104534.</w:t>
      </w:r>
    </w:p>
    <w:p w14:paraId="0AF702B1" w14:textId="77777777" w:rsidR="001F4649" w:rsidRPr="00AF1D04" w:rsidRDefault="001F4649" w:rsidP="00AF1D04">
      <w:pPr>
        <w:shd w:val="clear" w:color="auto" w:fill="FFFFFF" w:themeFill="background1"/>
        <w:spacing w:line="360" w:lineRule="auto"/>
        <w:ind w:left="720" w:hanging="720"/>
        <w:jc w:val="both"/>
      </w:pPr>
      <w:r w:rsidRPr="00AF1D04">
        <w:t xml:space="preserve">Fornell, C., </w:t>
      </w:r>
      <w:r>
        <w:t>and</w:t>
      </w:r>
      <w:r w:rsidRPr="00AF1D04">
        <w:t xml:space="preserve"> Larcker, D. F. (1981). Evaluating Structural Equation Models with Unobservable Variables and Measurement Error. </w:t>
      </w:r>
      <w:r w:rsidRPr="00AF1D04">
        <w:rPr>
          <w:i/>
          <w:iCs/>
        </w:rPr>
        <w:t>Journal of Marketing Research</w:t>
      </w:r>
      <w:r w:rsidRPr="00AF1D04">
        <w:t xml:space="preserve">, </w:t>
      </w:r>
      <w:r w:rsidRPr="00AF1D04">
        <w:rPr>
          <w:i/>
          <w:iCs/>
        </w:rPr>
        <w:t>18</w:t>
      </w:r>
      <w:r w:rsidRPr="00AF1D04">
        <w:t>(1), 39-50.</w:t>
      </w:r>
    </w:p>
    <w:p w14:paraId="412EF773" w14:textId="77777777" w:rsidR="001F4649" w:rsidRDefault="001F4649" w:rsidP="00AF1D04">
      <w:pPr>
        <w:shd w:val="clear" w:color="auto" w:fill="FFFFFF" w:themeFill="background1"/>
        <w:spacing w:line="360" w:lineRule="auto"/>
        <w:ind w:left="720" w:hanging="720"/>
        <w:jc w:val="both"/>
      </w:pPr>
      <w:r w:rsidRPr="000435DC">
        <w:t xml:space="preserve">Fornell, Claes, Michael D. Johnson, Eugene W. Anderson, </w:t>
      </w:r>
      <w:proofErr w:type="spellStart"/>
      <w:r w:rsidRPr="000435DC">
        <w:t>Jaesung</w:t>
      </w:r>
      <w:proofErr w:type="spellEnd"/>
      <w:r w:rsidRPr="000435DC">
        <w:t xml:space="preserve"> Cha, and Barbara Everitt Bryant. "The American customer satisfaction index: nature, purpose, and findings." </w:t>
      </w:r>
      <w:r w:rsidRPr="000435DC">
        <w:rPr>
          <w:i/>
          <w:iCs/>
        </w:rPr>
        <w:t xml:space="preserve">Journal of </w:t>
      </w:r>
      <w:r>
        <w:rPr>
          <w:i/>
          <w:iCs/>
        </w:rPr>
        <w:t>M</w:t>
      </w:r>
      <w:r w:rsidRPr="000435DC">
        <w:rPr>
          <w:i/>
          <w:iCs/>
        </w:rPr>
        <w:t>arketing</w:t>
      </w:r>
      <w:r w:rsidRPr="000435DC">
        <w:t> 60, no. 4 (1996): 7-18.</w:t>
      </w:r>
    </w:p>
    <w:p w14:paraId="41D7C4A1" w14:textId="77777777" w:rsidR="001F4649" w:rsidRPr="00531B5E" w:rsidRDefault="001F4649" w:rsidP="00D05FD0">
      <w:pPr>
        <w:shd w:val="clear" w:color="auto" w:fill="FFFFFF" w:themeFill="background1"/>
        <w:spacing w:line="360" w:lineRule="auto"/>
        <w:ind w:left="720" w:hanging="720"/>
        <w:jc w:val="both"/>
      </w:pPr>
      <w:bookmarkStart w:id="14" w:name="_Hlk199425029"/>
      <w:r w:rsidRPr="00531B5E">
        <w:t>Fritze</w:t>
      </w:r>
      <w:bookmarkEnd w:id="14"/>
      <w:r w:rsidRPr="00531B5E">
        <w:t xml:space="preserve">, M. P., Marchand, A., Eisingerich, A. B., </w:t>
      </w:r>
      <w:r>
        <w:t>and</w:t>
      </w:r>
      <w:r w:rsidRPr="00531B5E">
        <w:t xml:space="preserve"> </w:t>
      </w:r>
      <w:proofErr w:type="spellStart"/>
      <w:r w:rsidRPr="00531B5E">
        <w:t>Benkenstein</w:t>
      </w:r>
      <w:proofErr w:type="spellEnd"/>
      <w:r w:rsidRPr="00531B5E">
        <w:t>, M. (2020). Access-based services as substitutes for material possessions: the role of psychological ownership. </w:t>
      </w:r>
      <w:r w:rsidRPr="00531B5E">
        <w:rPr>
          <w:i/>
          <w:iCs/>
        </w:rPr>
        <w:t>Journal of Service Research</w:t>
      </w:r>
      <w:r w:rsidRPr="00531B5E">
        <w:t>, </w:t>
      </w:r>
      <w:r w:rsidRPr="00531B5E">
        <w:rPr>
          <w:i/>
          <w:iCs/>
        </w:rPr>
        <w:t>23</w:t>
      </w:r>
      <w:r w:rsidRPr="00531B5E">
        <w:t>(3), 368-385.</w:t>
      </w:r>
    </w:p>
    <w:p w14:paraId="0D9F23C4" w14:textId="77777777" w:rsidR="001F4649" w:rsidRPr="00531B5E" w:rsidRDefault="001F4649" w:rsidP="00D05FD0">
      <w:pPr>
        <w:shd w:val="clear" w:color="auto" w:fill="FFFFFF" w:themeFill="background1"/>
        <w:spacing w:line="360" w:lineRule="auto"/>
        <w:ind w:left="720" w:hanging="720"/>
        <w:jc w:val="both"/>
      </w:pPr>
      <w:r w:rsidRPr="00531B5E">
        <w:t xml:space="preserve">Furnari, S., Crilly, D., </w:t>
      </w:r>
      <w:proofErr w:type="spellStart"/>
      <w:r w:rsidRPr="00531B5E">
        <w:t>Misangyi</w:t>
      </w:r>
      <w:proofErr w:type="spellEnd"/>
      <w:r w:rsidRPr="00531B5E">
        <w:t xml:space="preserve">, V. F., </w:t>
      </w:r>
      <w:proofErr w:type="spellStart"/>
      <w:r w:rsidRPr="00531B5E">
        <w:t>Greckhamer</w:t>
      </w:r>
      <w:proofErr w:type="spellEnd"/>
      <w:r w:rsidRPr="00531B5E">
        <w:t xml:space="preserve">, T., Fiss, P. C., </w:t>
      </w:r>
      <w:r>
        <w:t>and</w:t>
      </w:r>
      <w:r w:rsidRPr="00531B5E">
        <w:t xml:space="preserve"> Aguilera, R. V. (2021). Capturing causal complexity: Heuristics for configurational theorizing. </w:t>
      </w:r>
      <w:r w:rsidRPr="00531B5E">
        <w:rPr>
          <w:i/>
          <w:iCs/>
        </w:rPr>
        <w:t>Academy of Management Review</w:t>
      </w:r>
      <w:r w:rsidRPr="00531B5E">
        <w:t>, </w:t>
      </w:r>
      <w:r w:rsidRPr="00531B5E">
        <w:rPr>
          <w:i/>
          <w:iCs/>
        </w:rPr>
        <w:t>46</w:t>
      </w:r>
      <w:r w:rsidRPr="00531B5E">
        <w:t>(4), 778-799.</w:t>
      </w:r>
    </w:p>
    <w:p w14:paraId="2D2BD06D" w14:textId="77777777" w:rsidR="001F4649" w:rsidRDefault="001F4649" w:rsidP="00D05FD0">
      <w:pPr>
        <w:shd w:val="clear" w:color="auto" w:fill="FFFFFF" w:themeFill="background1"/>
        <w:spacing w:line="360" w:lineRule="auto"/>
        <w:ind w:left="720" w:hanging="720"/>
        <w:jc w:val="both"/>
        <w:rPr>
          <w:color w:val="000000" w:themeColor="text1"/>
        </w:rPr>
      </w:pPr>
      <w:bookmarkStart w:id="15" w:name="_Hlk199356732"/>
      <w:proofErr w:type="spellStart"/>
      <w:r w:rsidRPr="00531B5E">
        <w:rPr>
          <w:color w:val="000000" w:themeColor="text1"/>
          <w:lang w:val="fr-FR"/>
        </w:rPr>
        <w:t>Habachi</w:t>
      </w:r>
      <w:bookmarkEnd w:id="15"/>
      <w:proofErr w:type="spellEnd"/>
      <w:r w:rsidRPr="00531B5E">
        <w:rPr>
          <w:color w:val="000000" w:themeColor="text1"/>
          <w:lang w:val="fr-FR"/>
        </w:rPr>
        <w:t xml:space="preserve">, S., Matute, J., </w:t>
      </w:r>
      <w:r>
        <w:rPr>
          <w:color w:val="000000" w:themeColor="text1"/>
          <w:lang w:val="fr-FR"/>
        </w:rPr>
        <w:t>and</w:t>
      </w:r>
      <w:r w:rsidRPr="00531B5E">
        <w:rPr>
          <w:color w:val="000000" w:themeColor="text1"/>
          <w:lang w:val="fr-FR"/>
        </w:rPr>
        <w:t xml:space="preserve"> Palau-</w:t>
      </w:r>
      <w:proofErr w:type="spellStart"/>
      <w:r w:rsidRPr="00531B5E">
        <w:rPr>
          <w:color w:val="000000" w:themeColor="text1"/>
          <w:lang w:val="fr-FR"/>
        </w:rPr>
        <w:t>Saumell</w:t>
      </w:r>
      <w:proofErr w:type="spellEnd"/>
      <w:r w:rsidRPr="00531B5E">
        <w:rPr>
          <w:color w:val="000000" w:themeColor="text1"/>
          <w:lang w:val="fr-FR"/>
        </w:rPr>
        <w:t xml:space="preserve">, R. (2024). </w:t>
      </w:r>
      <w:r w:rsidRPr="00531B5E">
        <w:rPr>
          <w:color w:val="000000" w:themeColor="text1"/>
        </w:rPr>
        <w:t xml:space="preserve">Gamify, engage, build loyalty: exploring the benefits of </w:t>
      </w:r>
      <w:proofErr w:type="spellStart"/>
      <w:r w:rsidRPr="00531B5E">
        <w:rPr>
          <w:color w:val="000000" w:themeColor="text1"/>
        </w:rPr>
        <w:t>gameful</w:t>
      </w:r>
      <w:proofErr w:type="spellEnd"/>
      <w:r w:rsidRPr="00531B5E">
        <w:rPr>
          <w:color w:val="000000" w:themeColor="text1"/>
        </w:rPr>
        <w:t xml:space="preserve"> experience for branded sports apps. </w:t>
      </w:r>
      <w:r w:rsidRPr="00531B5E">
        <w:rPr>
          <w:i/>
          <w:iCs/>
          <w:color w:val="000000" w:themeColor="text1"/>
        </w:rPr>
        <w:t xml:space="preserve">Journal of Product </w:t>
      </w:r>
      <w:r>
        <w:rPr>
          <w:i/>
          <w:iCs/>
          <w:color w:val="000000" w:themeColor="text1"/>
        </w:rPr>
        <w:t>and</w:t>
      </w:r>
      <w:r w:rsidRPr="00531B5E">
        <w:rPr>
          <w:i/>
          <w:iCs/>
          <w:color w:val="000000" w:themeColor="text1"/>
        </w:rPr>
        <w:t xml:space="preserve"> Brand Management</w:t>
      </w:r>
      <w:r w:rsidRPr="00531B5E">
        <w:rPr>
          <w:color w:val="000000" w:themeColor="text1"/>
        </w:rPr>
        <w:t>, </w:t>
      </w:r>
      <w:r w:rsidRPr="00531B5E">
        <w:rPr>
          <w:i/>
          <w:iCs/>
          <w:color w:val="000000" w:themeColor="text1"/>
        </w:rPr>
        <w:t>33</w:t>
      </w:r>
      <w:r w:rsidRPr="00531B5E">
        <w:rPr>
          <w:color w:val="000000" w:themeColor="text1"/>
        </w:rPr>
        <w:t>(1), 57-75.</w:t>
      </w:r>
    </w:p>
    <w:p w14:paraId="04E79E3F" w14:textId="77777777" w:rsidR="001F4649" w:rsidRDefault="001F4649" w:rsidP="00D05FD0">
      <w:pPr>
        <w:shd w:val="clear" w:color="auto" w:fill="FFFFFF" w:themeFill="background1"/>
        <w:spacing w:line="360" w:lineRule="auto"/>
        <w:ind w:left="720" w:hanging="720"/>
        <w:jc w:val="both"/>
        <w:rPr>
          <w:color w:val="000000" w:themeColor="text1"/>
        </w:rPr>
      </w:pPr>
      <w:r w:rsidRPr="00647204">
        <w:rPr>
          <w:color w:val="000000" w:themeColor="text1"/>
        </w:rPr>
        <w:t>Hair Jr., J.F., Black, W.C., Babin, B.J. and Anderson, R.E. (2010) Multivariate Data Analysis. 7th Edition, Prentice Hall, Upper Saddle River, 761.</w:t>
      </w:r>
    </w:p>
    <w:p w14:paraId="44AE96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023327">
        <w:rPr>
          <w:color w:val="000000" w:themeColor="text1"/>
        </w:rPr>
        <w:lastRenderedPageBreak/>
        <w:t xml:space="preserve">Hair, J. F., Risher, J. J., Sarstedt, M., </w:t>
      </w:r>
      <w:r>
        <w:rPr>
          <w:color w:val="000000" w:themeColor="text1"/>
        </w:rPr>
        <w:t>and</w:t>
      </w:r>
      <w:r w:rsidRPr="00023327">
        <w:rPr>
          <w:color w:val="000000" w:themeColor="text1"/>
        </w:rPr>
        <w:t xml:space="preserve"> Ringle, C. M. (2019). When to use and how to report the results of PLS-SEM. </w:t>
      </w:r>
      <w:r w:rsidRPr="00023327">
        <w:rPr>
          <w:i/>
          <w:iCs/>
          <w:color w:val="000000" w:themeColor="text1"/>
        </w:rPr>
        <w:t>European business review</w:t>
      </w:r>
      <w:r w:rsidRPr="00023327">
        <w:rPr>
          <w:color w:val="000000" w:themeColor="text1"/>
        </w:rPr>
        <w:t>, </w:t>
      </w:r>
      <w:r w:rsidRPr="00023327">
        <w:rPr>
          <w:i/>
          <w:iCs/>
          <w:color w:val="000000" w:themeColor="text1"/>
        </w:rPr>
        <w:t>31</w:t>
      </w:r>
      <w:r w:rsidRPr="00023327">
        <w:rPr>
          <w:color w:val="000000" w:themeColor="text1"/>
        </w:rPr>
        <w:t>(1), 2-24.</w:t>
      </w:r>
    </w:p>
    <w:p w14:paraId="78D64E3F" w14:textId="77777777" w:rsidR="001F4649" w:rsidRPr="00531B5E" w:rsidRDefault="001F4649" w:rsidP="00D05FD0">
      <w:pPr>
        <w:shd w:val="clear" w:color="auto" w:fill="FFFFFF" w:themeFill="background1"/>
        <w:spacing w:line="360" w:lineRule="auto"/>
        <w:ind w:left="720" w:hanging="720"/>
        <w:jc w:val="both"/>
      </w:pPr>
      <w:r w:rsidRPr="00531B5E">
        <w:t xml:space="preserve">Hennig-Thurau, T., Aliman, D. N., Herting, A. M., </w:t>
      </w:r>
      <w:proofErr w:type="spellStart"/>
      <w:r w:rsidRPr="00531B5E">
        <w:t>Cziehso</w:t>
      </w:r>
      <w:proofErr w:type="spellEnd"/>
      <w:r w:rsidRPr="00531B5E">
        <w:t xml:space="preserve">, G. P., Linder, M., </w:t>
      </w:r>
      <w:r>
        <w:t>and</w:t>
      </w:r>
      <w:r w:rsidRPr="00531B5E">
        <w:t xml:space="preserve"> Kübler, R. V. (2023). Social interactions in the metaverse: Framework, initial evidence, and research roadmap. </w:t>
      </w:r>
      <w:r w:rsidRPr="00531B5E">
        <w:rPr>
          <w:i/>
          <w:iCs/>
        </w:rPr>
        <w:t>Journal of the Academy of Marketing Science</w:t>
      </w:r>
      <w:r w:rsidRPr="00531B5E">
        <w:t>, </w:t>
      </w:r>
      <w:r w:rsidRPr="00531B5E">
        <w:rPr>
          <w:i/>
          <w:iCs/>
        </w:rPr>
        <w:t>51</w:t>
      </w:r>
      <w:r w:rsidRPr="00531B5E">
        <w:t>(4), 889-913.</w:t>
      </w:r>
    </w:p>
    <w:p w14:paraId="5084AEF6" w14:textId="77777777" w:rsidR="001F4649" w:rsidRPr="001F4649" w:rsidRDefault="001F4649" w:rsidP="008F0D46">
      <w:pPr>
        <w:shd w:val="clear" w:color="auto" w:fill="FFFFFF" w:themeFill="background1"/>
        <w:spacing w:line="360" w:lineRule="auto"/>
        <w:ind w:left="720" w:hanging="720"/>
        <w:jc w:val="both"/>
      </w:pPr>
      <w:r w:rsidRPr="001F4649">
        <w:t xml:space="preserve">Henseler, J., Ringle, C. M., &amp; Sarstedt, M. (2015). A new criterion for assessing discriminant validity in variance-based structural equation </w:t>
      </w:r>
      <w:proofErr w:type="spellStart"/>
      <w:r w:rsidRPr="001F4649">
        <w:t>modeling</w:t>
      </w:r>
      <w:proofErr w:type="spellEnd"/>
      <w:r w:rsidRPr="001F4649">
        <w:t>. Journal of the academy of marketing science, 43(1), 115-135.</w:t>
      </w:r>
    </w:p>
    <w:p w14:paraId="0D38F8C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Hsieh, J. K., and Tsao, W. C. (2019). Engaging Consumers with Branded Social Media: The Impact of Social Identification, Personal Identification, And Interactivity. </w:t>
      </w:r>
      <w:r w:rsidRPr="00531B5E">
        <w:rPr>
          <w:i/>
          <w:iCs/>
          <w:color w:val="000000" w:themeColor="text1"/>
        </w:rPr>
        <w:t>Journal of Business Research</w:t>
      </w:r>
      <w:r w:rsidRPr="00531B5E">
        <w:rPr>
          <w:color w:val="000000" w:themeColor="text1"/>
        </w:rPr>
        <w:t>, 96, 382-391.</w:t>
      </w:r>
    </w:p>
    <w:p w14:paraId="5DAB8802"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Huang, Z., and Benyoucef, M. (2013). From E-Commerce to Social Commerce: A Close Look at Design Features. </w:t>
      </w:r>
      <w:r w:rsidRPr="00531B5E">
        <w:rPr>
          <w:i/>
          <w:iCs/>
          <w:color w:val="000000" w:themeColor="text1"/>
        </w:rPr>
        <w:t>Electronic Commerce Research and Applications</w:t>
      </w:r>
      <w:r w:rsidRPr="00531B5E">
        <w:rPr>
          <w:color w:val="000000" w:themeColor="text1"/>
        </w:rPr>
        <w:t>, 12(4), 246-259.</w:t>
      </w:r>
    </w:p>
    <w:p w14:paraId="188D9FA7" w14:textId="77777777" w:rsidR="001F4649" w:rsidRPr="00531B5E" w:rsidRDefault="001F4649" w:rsidP="00D05FD0">
      <w:pPr>
        <w:shd w:val="clear" w:color="auto" w:fill="FFFFFF" w:themeFill="background1"/>
        <w:spacing w:line="360" w:lineRule="auto"/>
        <w:ind w:left="720" w:hanging="720"/>
        <w:jc w:val="both"/>
        <w:rPr>
          <w:lang w:val="fr-FR"/>
        </w:rPr>
      </w:pPr>
      <w:r w:rsidRPr="00531B5E">
        <w:t xml:space="preserve">Hwang, I., </w:t>
      </w:r>
      <w:r>
        <w:t>and</w:t>
      </w:r>
      <w:r w:rsidRPr="00531B5E">
        <w:t xml:space="preserve"> Seo, R. (2025). Organizational support for digital transformation in the metaverse: a contingent pathway from user experience to digitalization resistance. </w:t>
      </w:r>
      <w:proofErr w:type="spellStart"/>
      <w:r w:rsidRPr="00531B5E">
        <w:rPr>
          <w:i/>
          <w:iCs/>
          <w:lang w:val="fr-FR"/>
        </w:rPr>
        <w:t>R</w:t>
      </w:r>
      <w:r>
        <w:rPr>
          <w:i/>
          <w:iCs/>
          <w:lang w:val="fr-FR"/>
        </w:rPr>
        <w:t>and</w:t>
      </w:r>
      <w:r w:rsidRPr="00531B5E">
        <w:rPr>
          <w:i/>
          <w:iCs/>
          <w:lang w:val="fr-FR"/>
        </w:rPr>
        <w:t>D</w:t>
      </w:r>
      <w:proofErr w:type="spellEnd"/>
      <w:r w:rsidRPr="00531B5E">
        <w:rPr>
          <w:i/>
          <w:iCs/>
          <w:lang w:val="fr-FR"/>
        </w:rPr>
        <w:t xml:space="preserve"> Management</w:t>
      </w:r>
      <w:r w:rsidRPr="00531B5E">
        <w:rPr>
          <w:lang w:val="fr-FR"/>
        </w:rPr>
        <w:t>, </w:t>
      </w:r>
      <w:r w:rsidRPr="00531B5E">
        <w:rPr>
          <w:i/>
          <w:iCs/>
          <w:lang w:val="fr-FR"/>
        </w:rPr>
        <w:t>55</w:t>
      </w:r>
      <w:r w:rsidRPr="00531B5E">
        <w:rPr>
          <w:lang w:val="fr-FR"/>
        </w:rPr>
        <w:t>(2), 420-437.</w:t>
      </w:r>
    </w:p>
    <w:p w14:paraId="0C3284DD" w14:textId="77777777" w:rsidR="001F4649" w:rsidRPr="00DA27CD" w:rsidRDefault="001F4649" w:rsidP="00DA27CD">
      <w:pPr>
        <w:spacing w:before="157" w:after="157" w:line="360" w:lineRule="auto"/>
        <w:ind w:left="720" w:hanging="720"/>
        <w:rPr>
          <w:rFonts w:eastAsia="inter"/>
          <w:bCs/>
          <w:color w:val="000000"/>
          <w:sz w:val="22"/>
        </w:rPr>
      </w:pPr>
      <w:bookmarkStart w:id="16" w:name="_Hlk207269168"/>
      <w:r w:rsidRPr="00DA27CD">
        <w:rPr>
          <w:rFonts w:eastAsia="inter"/>
          <w:bCs/>
          <w:color w:val="000000"/>
          <w:sz w:val="22"/>
        </w:rPr>
        <w:t>Hyeon Jo, Jae Kwang Lee</w:t>
      </w:r>
      <w:bookmarkEnd w:id="16"/>
      <w:r w:rsidRPr="00DA27CD">
        <w:rPr>
          <w:rFonts w:eastAsia="inter"/>
          <w:bCs/>
          <w:color w:val="000000"/>
          <w:sz w:val="22"/>
        </w:rPr>
        <w:t>; Key Drivers of User Engagement in Game-Based Metaverses: Enjoyment, Escapism, Reward, and Spontaneity. </w:t>
      </w:r>
      <w:r w:rsidRPr="00DA27CD">
        <w:rPr>
          <w:rFonts w:eastAsia="inter"/>
          <w:bCs/>
          <w:i/>
          <w:iCs/>
          <w:color w:val="000000"/>
          <w:sz w:val="22"/>
        </w:rPr>
        <w:t>PRESENCE: Virtual and Augmented Reality</w:t>
      </w:r>
      <w:r w:rsidRPr="00DA27CD">
        <w:rPr>
          <w:rFonts w:eastAsia="inter"/>
          <w:bCs/>
          <w:color w:val="000000"/>
          <w:sz w:val="22"/>
        </w:rPr>
        <w:t> 2025; 34 219–241.</w:t>
      </w:r>
    </w:p>
    <w:p w14:paraId="091FD8CC" w14:textId="77777777" w:rsidR="001F4649" w:rsidRPr="00531B5E" w:rsidRDefault="001F4649" w:rsidP="00D05FD0">
      <w:pPr>
        <w:shd w:val="clear" w:color="auto" w:fill="FFFFFF" w:themeFill="background1"/>
        <w:spacing w:line="360" w:lineRule="auto"/>
        <w:ind w:left="720" w:hanging="720"/>
        <w:jc w:val="both"/>
      </w:pPr>
      <w:bookmarkStart w:id="17" w:name="_Hlk199329375"/>
      <w:proofErr w:type="spellStart"/>
      <w:r w:rsidRPr="00531B5E">
        <w:rPr>
          <w:lang w:val="fr-FR"/>
        </w:rPr>
        <w:t>İlkan</w:t>
      </w:r>
      <w:bookmarkEnd w:id="17"/>
      <w:proofErr w:type="spellEnd"/>
      <w:r w:rsidRPr="00531B5E">
        <w:rPr>
          <w:lang w:val="fr-FR"/>
        </w:rPr>
        <w:t xml:space="preserve">, Ş. P., </w:t>
      </w:r>
      <w:proofErr w:type="spellStart"/>
      <w:r w:rsidRPr="00531B5E">
        <w:rPr>
          <w:lang w:val="fr-FR"/>
        </w:rPr>
        <w:t>Öztüren</w:t>
      </w:r>
      <w:proofErr w:type="spellEnd"/>
      <w:r w:rsidRPr="00531B5E">
        <w:rPr>
          <w:lang w:val="fr-FR"/>
        </w:rPr>
        <w:t xml:space="preserve">, A., </w:t>
      </w:r>
      <w:proofErr w:type="spellStart"/>
      <w:r w:rsidRPr="00531B5E">
        <w:rPr>
          <w:lang w:val="fr-FR"/>
        </w:rPr>
        <w:t>Avcı</w:t>
      </w:r>
      <w:proofErr w:type="spellEnd"/>
      <w:r w:rsidRPr="00531B5E">
        <w:rPr>
          <w:lang w:val="fr-FR"/>
        </w:rPr>
        <w:t xml:space="preserve">, T., </w:t>
      </w:r>
      <w:r>
        <w:rPr>
          <w:lang w:val="fr-FR"/>
        </w:rPr>
        <w:t>and</w:t>
      </w:r>
      <w:r w:rsidRPr="00531B5E">
        <w:rPr>
          <w:lang w:val="fr-FR"/>
        </w:rPr>
        <w:t xml:space="preserve"> Irani, F. (2023). </w:t>
      </w:r>
      <w:r w:rsidRPr="00531B5E">
        <w:t>Mobile application features effects on the application's engagement and intention for continuing use in tourism. </w:t>
      </w:r>
      <w:r w:rsidRPr="00531B5E">
        <w:rPr>
          <w:i/>
          <w:iCs/>
        </w:rPr>
        <w:t>Asia Pacific Journal of Tourism Research</w:t>
      </w:r>
      <w:r w:rsidRPr="00531B5E">
        <w:t>, </w:t>
      </w:r>
      <w:r w:rsidRPr="00531B5E">
        <w:rPr>
          <w:i/>
          <w:iCs/>
        </w:rPr>
        <w:t>28</w:t>
      </w:r>
      <w:r w:rsidRPr="00531B5E">
        <w:t>(4), 386-400.</w:t>
      </w:r>
    </w:p>
    <w:p w14:paraId="25CCBAAA" w14:textId="77777777" w:rsidR="001F4649" w:rsidRPr="00531B5E" w:rsidRDefault="001F4649" w:rsidP="00D05FD0">
      <w:pPr>
        <w:shd w:val="clear" w:color="auto" w:fill="FFFFFF" w:themeFill="background1"/>
        <w:spacing w:line="360" w:lineRule="auto"/>
        <w:ind w:left="720" w:hanging="720"/>
        <w:jc w:val="both"/>
      </w:pPr>
      <w:r w:rsidRPr="00531B5E">
        <w:t xml:space="preserve">Jeong, E., </w:t>
      </w:r>
      <w:r>
        <w:t>and</w:t>
      </w:r>
      <w:r w:rsidRPr="00531B5E">
        <w:t xml:space="preserve"> Kim, S. (2019). Exploring a theoretical framework for understanding the relationship between customer engagement and brand loyalty in social media marketing. </w:t>
      </w:r>
      <w:r w:rsidRPr="00531B5E">
        <w:rPr>
          <w:i/>
          <w:iCs/>
        </w:rPr>
        <w:t>Journal of Business Research</w:t>
      </w:r>
      <w:r w:rsidRPr="00531B5E">
        <w:t>, 95, 365-374.</w:t>
      </w:r>
    </w:p>
    <w:p w14:paraId="3A21DA35" w14:textId="77777777" w:rsidR="001F4649" w:rsidRPr="00531B5E" w:rsidRDefault="001F4649" w:rsidP="00D05FD0">
      <w:pPr>
        <w:shd w:val="clear" w:color="auto" w:fill="FFFFFF" w:themeFill="background1"/>
        <w:spacing w:line="360" w:lineRule="auto"/>
        <w:ind w:left="720" w:hanging="720"/>
        <w:jc w:val="both"/>
      </w:pPr>
      <w:r w:rsidRPr="00531B5E">
        <w:t xml:space="preserve">Jia, R., Steelman, Z., </w:t>
      </w:r>
      <w:r>
        <w:t>and</w:t>
      </w:r>
      <w:r w:rsidRPr="00531B5E">
        <w:t xml:space="preserve"> Jia, H. (2022). What makes one intrinsically interested in IT? An exploratory study on influences of autistic tendency and gender in the U.S. and India. </w:t>
      </w:r>
      <w:r w:rsidRPr="00531B5E">
        <w:rPr>
          <w:i/>
          <w:iCs/>
        </w:rPr>
        <w:t>MIS Quarterly</w:t>
      </w:r>
      <w:r w:rsidRPr="00531B5E">
        <w:t xml:space="preserve">, </w:t>
      </w:r>
      <w:r w:rsidRPr="00531B5E">
        <w:rPr>
          <w:i/>
          <w:iCs/>
        </w:rPr>
        <w:t>45</w:t>
      </w:r>
      <w:r w:rsidRPr="00531B5E">
        <w:t xml:space="preserve">(3), 1603–1634. </w:t>
      </w:r>
    </w:p>
    <w:p w14:paraId="3FBD03E9" w14:textId="77777777" w:rsidR="001F4649" w:rsidRPr="00531B5E" w:rsidRDefault="001F4649" w:rsidP="00D05FD0">
      <w:pPr>
        <w:shd w:val="clear" w:color="auto" w:fill="FFFFFF" w:themeFill="background1"/>
        <w:spacing w:line="360" w:lineRule="auto"/>
        <w:ind w:left="720" w:hanging="720"/>
        <w:jc w:val="both"/>
      </w:pPr>
      <w:r w:rsidRPr="00531B5E">
        <w:t xml:space="preserve">Kenton, W. (2023, January 31). </w:t>
      </w:r>
      <w:proofErr w:type="spellStart"/>
      <w:r w:rsidRPr="00531B5E">
        <w:rPr>
          <w:i/>
          <w:iCs/>
        </w:rPr>
        <w:t>Macromarketing</w:t>
      </w:r>
      <w:proofErr w:type="spellEnd"/>
      <w:r w:rsidRPr="00531B5E">
        <w:rPr>
          <w:i/>
          <w:iCs/>
        </w:rPr>
        <w:t>: Meaning Compared to Micromarketing</w:t>
      </w:r>
      <w:r w:rsidRPr="00531B5E">
        <w:t xml:space="preserve">. Investopedia. Accessed on June 2024, available at: </w:t>
      </w:r>
      <w:hyperlink r:id="rId15" w:history="1">
        <w:r w:rsidRPr="00531B5E">
          <w:rPr>
            <w:rStyle w:val="Hyperlink"/>
          </w:rPr>
          <w:t>https://www.investopedia.com/terms/m/macromarketing.asp</w:t>
        </w:r>
      </w:hyperlink>
      <w:r w:rsidRPr="00531B5E">
        <w:t xml:space="preserve"> </w:t>
      </w:r>
    </w:p>
    <w:p w14:paraId="514BE79F" w14:textId="77777777" w:rsidR="001F4649" w:rsidRDefault="001F4649" w:rsidP="00D05FD0">
      <w:pPr>
        <w:shd w:val="clear" w:color="auto" w:fill="FFFFFF" w:themeFill="background1"/>
        <w:spacing w:line="360" w:lineRule="auto"/>
        <w:ind w:left="720" w:hanging="720"/>
        <w:jc w:val="both"/>
      </w:pPr>
      <w:r>
        <w:lastRenderedPageBreak/>
        <w:t xml:space="preserve">Kline, R. B. (2023). </w:t>
      </w:r>
      <w:r>
        <w:rPr>
          <w:rStyle w:val="Emphasis"/>
        </w:rPr>
        <w:t xml:space="preserve">Principles and practice of structural equation </w:t>
      </w:r>
      <w:proofErr w:type="spellStart"/>
      <w:r>
        <w:rPr>
          <w:rStyle w:val="Emphasis"/>
        </w:rPr>
        <w:t>modeling</w:t>
      </w:r>
      <w:proofErr w:type="spellEnd"/>
      <w:r>
        <w:t xml:space="preserve"> (5th ed.). The Guilford Press, A Division of Guilford Publications, Inc., 370 Seventh Avenue, Suite 1200, New York, NY 10001.</w:t>
      </w:r>
    </w:p>
    <w:p w14:paraId="6801A0C4" w14:textId="77777777" w:rsidR="001F4649" w:rsidRPr="00531B5E" w:rsidRDefault="001F4649" w:rsidP="00D05FD0">
      <w:pPr>
        <w:shd w:val="clear" w:color="auto" w:fill="FFFFFF" w:themeFill="background1"/>
        <w:spacing w:line="360" w:lineRule="auto"/>
        <w:ind w:left="720" w:hanging="720"/>
        <w:jc w:val="both"/>
      </w:pPr>
      <w:proofErr w:type="spellStart"/>
      <w:r w:rsidRPr="00531B5E">
        <w:t>Koohang</w:t>
      </w:r>
      <w:proofErr w:type="spellEnd"/>
      <w:r w:rsidRPr="00531B5E">
        <w:t xml:space="preserve">, A., Nord, J. H., Ooi, K. B., Tan, G. W. H., Al-Emran, M., Aw, E. C. X., ... </w:t>
      </w:r>
      <w:r>
        <w:t>and</w:t>
      </w:r>
      <w:r w:rsidRPr="00531B5E">
        <w:t xml:space="preserve"> Wong, L. W. (2023). Shaping the metaverse into reality: a holistic multidisciplinary understanding of opportunities, challenges, and avenues for future investigation. </w:t>
      </w:r>
      <w:r w:rsidRPr="00531B5E">
        <w:rPr>
          <w:i/>
          <w:iCs/>
        </w:rPr>
        <w:t>Journal of Computer Information Systems</w:t>
      </w:r>
      <w:r w:rsidRPr="00531B5E">
        <w:t>, </w:t>
      </w:r>
      <w:r w:rsidRPr="00531B5E">
        <w:rPr>
          <w:i/>
          <w:iCs/>
        </w:rPr>
        <w:t>63</w:t>
      </w:r>
      <w:r w:rsidRPr="00531B5E">
        <w:t>(3), 735-765.</w:t>
      </w:r>
    </w:p>
    <w:p w14:paraId="21816F86" w14:textId="77777777" w:rsidR="001F4649" w:rsidRPr="00531B5E" w:rsidRDefault="001F4649" w:rsidP="00D05FD0">
      <w:pPr>
        <w:shd w:val="clear" w:color="auto" w:fill="FFFFFF" w:themeFill="background1"/>
        <w:spacing w:line="360" w:lineRule="auto"/>
        <w:ind w:left="720" w:hanging="720"/>
        <w:jc w:val="both"/>
      </w:pPr>
      <w:proofErr w:type="spellStart"/>
      <w:r w:rsidRPr="00531B5E">
        <w:t>Kopalle</w:t>
      </w:r>
      <w:proofErr w:type="spellEnd"/>
      <w:r w:rsidRPr="00531B5E">
        <w:t xml:space="preserve">, P. K., Gangwar, M., </w:t>
      </w:r>
      <w:r>
        <w:t>and</w:t>
      </w:r>
      <w:r w:rsidRPr="00531B5E">
        <w:t xml:space="preserve"> Uppal, A. (2024). Commentary on “AI is Changing the World: For Better or for Worse?”.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(4), 886-891.</w:t>
      </w:r>
    </w:p>
    <w:p w14:paraId="7DA025DE" w14:textId="77777777" w:rsidR="001F4649" w:rsidRPr="00531B5E" w:rsidRDefault="001F4649" w:rsidP="00D05FD0">
      <w:pPr>
        <w:shd w:val="clear" w:color="auto" w:fill="FFFFFF" w:themeFill="background1"/>
        <w:spacing w:line="360" w:lineRule="auto"/>
        <w:ind w:left="720" w:hanging="720"/>
        <w:jc w:val="both"/>
      </w:pPr>
      <w:proofErr w:type="spellStart"/>
      <w:r w:rsidRPr="00531B5E">
        <w:t>Kozinets</w:t>
      </w:r>
      <w:proofErr w:type="spellEnd"/>
      <w:r w:rsidRPr="00531B5E">
        <w:t xml:space="preserve">, R. V. (2023). Immersive </w:t>
      </w:r>
      <w:proofErr w:type="spellStart"/>
      <w:r w:rsidRPr="00531B5E">
        <w:t>netnography</w:t>
      </w:r>
      <w:proofErr w:type="spellEnd"/>
      <w:r w:rsidRPr="00531B5E">
        <w:t>: a novel method for service experience research in virtual reality, augmented reality and metaverse contexts. </w:t>
      </w:r>
      <w:r w:rsidRPr="00531B5E">
        <w:rPr>
          <w:i/>
          <w:iCs/>
        </w:rPr>
        <w:t>Journal of Service Management</w:t>
      </w:r>
      <w:r w:rsidRPr="00531B5E">
        <w:t>, </w:t>
      </w:r>
      <w:r w:rsidRPr="00531B5E">
        <w:rPr>
          <w:i/>
          <w:iCs/>
        </w:rPr>
        <w:t>34</w:t>
      </w:r>
      <w:r w:rsidRPr="00531B5E">
        <w:t>(1), 100-125.</w:t>
      </w:r>
    </w:p>
    <w:p w14:paraId="03D9ACB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Kumar, A., </w:t>
      </w:r>
      <w:r>
        <w:rPr>
          <w:color w:val="000000" w:themeColor="text1"/>
        </w:rPr>
        <w:t>and</w:t>
      </w:r>
      <w:r w:rsidRPr="00531B5E">
        <w:rPr>
          <w:color w:val="000000" w:themeColor="text1"/>
        </w:rPr>
        <w:t xml:space="preserve"> Shankar, A. (2024). Investigating the role of metaverse influencers’ attributes for the next generation of services. </w:t>
      </w:r>
      <w:r w:rsidRPr="00531B5E">
        <w:rPr>
          <w:i/>
          <w:iCs/>
          <w:color w:val="000000" w:themeColor="text1"/>
        </w:rPr>
        <w:t>Journal of Services Marketing</w:t>
      </w:r>
      <w:r w:rsidRPr="00531B5E">
        <w:rPr>
          <w:color w:val="000000" w:themeColor="text1"/>
        </w:rPr>
        <w:t>, </w:t>
      </w:r>
      <w:r w:rsidRPr="00531B5E">
        <w:rPr>
          <w:i/>
          <w:iCs/>
          <w:color w:val="000000" w:themeColor="text1"/>
        </w:rPr>
        <w:t>38</w:t>
      </w:r>
      <w:r w:rsidRPr="00531B5E">
        <w:rPr>
          <w:color w:val="000000" w:themeColor="text1"/>
        </w:rPr>
        <w:t>(7), 816-838.</w:t>
      </w:r>
    </w:p>
    <w:p w14:paraId="50C38DB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Kyriakou, T., de la Campa Crespo, M.Á., Panayiotou, A., Chrysanthou, Y., Charalambous, P. and </w:t>
      </w:r>
      <w:proofErr w:type="spellStart"/>
      <w:r w:rsidRPr="00531B5E">
        <w:rPr>
          <w:color w:val="000000" w:themeColor="text1"/>
        </w:rPr>
        <w:t>Aristidou</w:t>
      </w:r>
      <w:proofErr w:type="spellEnd"/>
      <w:r w:rsidRPr="00531B5E">
        <w:rPr>
          <w:color w:val="000000" w:themeColor="text1"/>
        </w:rPr>
        <w:t xml:space="preserve">, A. (2024), Virtual Instrument Performances (VIP): A Comprehensive Review. </w:t>
      </w:r>
      <w:r w:rsidRPr="00531B5E">
        <w:rPr>
          <w:i/>
          <w:iCs/>
          <w:color w:val="000000" w:themeColor="text1"/>
        </w:rPr>
        <w:t>Computer Graphics Forum</w:t>
      </w:r>
      <w:r w:rsidRPr="00531B5E">
        <w:rPr>
          <w:color w:val="000000" w:themeColor="text1"/>
        </w:rPr>
        <w:t>, 43: e15065. </w:t>
      </w:r>
      <w:hyperlink r:id="rId16" w:history="1">
        <w:r w:rsidRPr="00531B5E">
          <w:rPr>
            <w:rStyle w:val="Hyperlink"/>
          </w:rPr>
          <w:t>https://doi.org/10.1111/cgf.15065</w:t>
        </w:r>
      </w:hyperlink>
    </w:p>
    <w:p w14:paraId="7920B03F" w14:textId="77777777" w:rsidR="001F4649" w:rsidRPr="00531B5E" w:rsidRDefault="001F4649" w:rsidP="00D05FD0">
      <w:pPr>
        <w:shd w:val="clear" w:color="auto" w:fill="FFFFFF" w:themeFill="background1"/>
        <w:spacing w:line="360" w:lineRule="auto"/>
        <w:ind w:left="720" w:hanging="720"/>
        <w:jc w:val="both"/>
      </w:pPr>
      <w:r w:rsidRPr="00531B5E">
        <w:t xml:space="preserve">Lavoie, R., Main, K., King, C., </w:t>
      </w:r>
      <w:r>
        <w:t>and</w:t>
      </w:r>
      <w:r w:rsidRPr="00531B5E">
        <w:t xml:space="preserve"> King, D. (2021). Virtual experience, real consequences: the potential negative emotional consequences of virtual reality gameplay. </w:t>
      </w:r>
      <w:r w:rsidRPr="00531B5E">
        <w:rPr>
          <w:i/>
          <w:iCs/>
        </w:rPr>
        <w:t>Virtual Reality</w:t>
      </w:r>
      <w:r w:rsidRPr="00531B5E">
        <w:t>, </w:t>
      </w:r>
      <w:r w:rsidRPr="00531B5E">
        <w:rPr>
          <w:i/>
          <w:iCs/>
        </w:rPr>
        <w:t>25</w:t>
      </w:r>
      <w:r w:rsidRPr="00531B5E">
        <w:t>(1), 69-81.</w:t>
      </w:r>
    </w:p>
    <w:p w14:paraId="76164A02" w14:textId="77777777" w:rsidR="001F4649" w:rsidRPr="00531B5E" w:rsidRDefault="001F4649" w:rsidP="00D05FD0">
      <w:pPr>
        <w:shd w:val="clear" w:color="auto" w:fill="FFFFFF" w:themeFill="background1"/>
        <w:spacing w:line="360" w:lineRule="auto"/>
        <w:ind w:left="720" w:hanging="720"/>
        <w:jc w:val="both"/>
      </w:pPr>
      <w:bookmarkStart w:id="18" w:name="_Hlk199423172"/>
      <w:bookmarkStart w:id="19" w:name="_Hlk199355416"/>
      <w:r w:rsidRPr="00531B5E">
        <w:t>Lee</w:t>
      </w:r>
      <w:bookmarkEnd w:id="18"/>
      <w:r w:rsidRPr="00531B5E">
        <w:t xml:space="preserve">, C. T., </w:t>
      </w:r>
      <w:r>
        <w:t>and</w:t>
      </w:r>
      <w:r w:rsidRPr="00531B5E">
        <w:t xml:space="preserve"> Shen, Y. C. (2024). </w:t>
      </w:r>
      <w:bookmarkEnd w:id="19"/>
      <w:r w:rsidRPr="00531B5E">
        <w:t xml:space="preserve">Exploring determinants of non-fungible token creators’ engagement </w:t>
      </w:r>
      <w:proofErr w:type="spellStart"/>
      <w:r w:rsidRPr="00531B5E">
        <w:t>behaviors</w:t>
      </w:r>
      <w:proofErr w:type="spellEnd"/>
      <w:r w:rsidRPr="00531B5E">
        <w:t xml:space="preserve"> on metaverse-based NFT platforms: A multi-analytical SEM-IPMA method. </w:t>
      </w:r>
      <w:r w:rsidRPr="00531B5E">
        <w:rPr>
          <w:i/>
          <w:iCs/>
        </w:rPr>
        <w:t>Journal of Business Research</w:t>
      </w:r>
      <w:r w:rsidRPr="00531B5E">
        <w:t>, </w:t>
      </w:r>
      <w:r w:rsidRPr="00531B5E">
        <w:rPr>
          <w:i/>
          <w:iCs/>
        </w:rPr>
        <w:t>185</w:t>
      </w:r>
      <w:r w:rsidRPr="00531B5E">
        <w:t>, 114920.</w:t>
      </w:r>
    </w:p>
    <w:p w14:paraId="502228EF"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20" w:name="_Hlk199354774"/>
      <w:r w:rsidRPr="00531B5E">
        <w:rPr>
          <w:color w:val="000000" w:themeColor="text1"/>
        </w:rPr>
        <w:t xml:space="preserve">Li, Y., </w:t>
      </w:r>
      <w:r>
        <w:rPr>
          <w:color w:val="000000" w:themeColor="text1"/>
        </w:rPr>
        <w:t>and</w:t>
      </w:r>
      <w:r w:rsidRPr="00531B5E">
        <w:rPr>
          <w:color w:val="000000" w:themeColor="text1"/>
        </w:rPr>
        <w:t xml:space="preserve"> Shang, H. (2023)</w:t>
      </w:r>
      <w:bookmarkEnd w:id="20"/>
      <w:r w:rsidRPr="00531B5E">
        <w:rPr>
          <w:color w:val="000000" w:themeColor="text1"/>
        </w:rPr>
        <w:t>. How does e-government use affect citizens’ trust in government? Empirical evidence from China. </w:t>
      </w:r>
      <w:r w:rsidRPr="00531B5E">
        <w:rPr>
          <w:i/>
          <w:iCs/>
          <w:color w:val="000000" w:themeColor="text1"/>
        </w:rPr>
        <w:t xml:space="preserve">Information </w:t>
      </w:r>
      <w:r>
        <w:rPr>
          <w:i/>
          <w:iCs/>
          <w:color w:val="000000" w:themeColor="text1"/>
        </w:rPr>
        <w:t>and</w:t>
      </w:r>
      <w:r w:rsidRPr="00531B5E">
        <w:rPr>
          <w:i/>
          <w:iCs/>
          <w:color w:val="000000" w:themeColor="text1"/>
        </w:rPr>
        <w:t xml:space="preserve"> Management</w:t>
      </w:r>
      <w:r w:rsidRPr="00531B5E">
        <w:rPr>
          <w:color w:val="000000" w:themeColor="text1"/>
        </w:rPr>
        <w:t>, </w:t>
      </w:r>
      <w:r w:rsidRPr="00531B5E">
        <w:rPr>
          <w:i/>
          <w:iCs/>
          <w:color w:val="000000" w:themeColor="text1"/>
        </w:rPr>
        <w:t>60</w:t>
      </w:r>
      <w:r w:rsidRPr="00531B5E">
        <w:rPr>
          <w:color w:val="000000" w:themeColor="text1"/>
        </w:rPr>
        <w:t>(7), 103844.</w:t>
      </w:r>
    </w:p>
    <w:p w14:paraId="49893C8E" w14:textId="77777777" w:rsidR="001F4649" w:rsidRPr="00DA27CD"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 xml:space="preserve">Liang, Y., Zhang, X., Wang, H., </w:t>
      </w:r>
      <w:r>
        <w:rPr>
          <w:rFonts w:eastAsia="inter"/>
          <w:bCs/>
          <w:color w:val="000000"/>
          <w:sz w:val="22"/>
        </w:rPr>
        <w:t>and</w:t>
      </w:r>
      <w:r w:rsidRPr="00DA27CD">
        <w:rPr>
          <w:rFonts w:eastAsia="inter"/>
          <w:bCs/>
          <w:color w:val="000000"/>
          <w:sz w:val="22"/>
        </w:rPr>
        <w:t xml:space="preserve"> Liu, M. (2024). Users' Willingness To Adopt Metaverse Drawing on Flow Theory: An Empirical Study Using PLS-SEM and FsQCA. </w:t>
      </w:r>
      <w:proofErr w:type="spellStart"/>
      <w:r w:rsidRPr="00DA27CD">
        <w:rPr>
          <w:rFonts w:eastAsia="inter"/>
          <w:bCs/>
          <w:i/>
          <w:iCs/>
          <w:color w:val="000000"/>
          <w:sz w:val="22"/>
        </w:rPr>
        <w:t>Heliyon</w:t>
      </w:r>
      <w:proofErr w:type="spellEnd"/>
      <w:r w:rsidRPr="00DA27CD">
        <w:rPr>
          <w:rFonts w:eastAsia="inter"/>
          <w:bCs/>
          <w:color w:val="000000"/>
          <w:sz w:val="22"/>
        </w:rPr>
        <w:t>, </w:t>
      </w:r>
      <w:r w:rsidRPr="00DA27CD">
        <w:rPr>
          <w:rFonts w:eastAsia="inter"/>
          <w:bCs/>
          <w:i/>
          <w:iCs/>
          <w:color w:val="000000"/>
          <w:sz w:val="22"/>
        </w:rPr>
        <w:t>10</w:t>
      </w:r>
      <w:r w:rsidRPr="00DA27CD">
        <w:rPr>
          <w:rFonts w:eastAsia="inter"/>
          <w:bCs/>
          <w:color w:val="000000"/>
          <w:sz w:val="22"/>
        </w:rPr>
        <w:t>(13).</w:t>
      </w:r>
    </w:p>
    <w:p w14:paraId="30E4E45C" w14:textId="77777777" w:rsidR="001F4649"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Lo, SY., Lai, CY. Investigating How Immersive Virtual Reality And Active Navigation Mediate The Experience of Virtual Concerts. </w:t>
      </w:r>
      <w:r w:rsidRPr="00DA27CD">
        <w:rPr>
          <w:rFonts w:eastAsia="inter"/>
          <w:bCs/>
          <w:i/>
          <w:iCs/>
          <w:color w:val="000000"/>
          <w:sz w:val="22"/>
        </w:rPr>
        <w:t>Sci Rep</w:t>
      </w:r>
      <w:r w:rsidRPr="00DA27CD">
        <w:rPr>
          <w:rFonts w:eastAsia="inter"/>
          <w:bCs/>
          <w:color w:val="000000"/>
          <w:sz w:val="22"/>
        </w:rPr>
        <w:t> 13, 8507 (2023).</w:t>
      </w:r>
    </w:p>
    <w:p w14:paraId="58196FE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Lu, Y., </w:t>
      </w:r>
      <w:r>
        <w:rPr>
          <w:color w:val="000000" w:themeColor="text1"/>
        </w:rPr>
        <w:t>and</w:t>
      </w:r>
      <w:r w:rsidRPr="00531B5E">
        <w:rPr>
          <w:color w:val="000000" w:themeColor="text1"/>
        </w:rPr>
        <w:t xml:space="preserve"> Lau, S. K. (2025). Examining the ecological validity of VR experiments in soundscape and landscape research. </w:t>
      </w:r>
      <w:r w:rsidRPr="00531B5E">
        <w:rPr>
          <w:i/>
          <w:iCs/>
          <w:color w:val="000000" w:themeColor="text1"/>
        </w:rPr>
        <w:t xml:space="preserve">Computers in Human </w:t>
      </w:r>
      <w:proofErr w:type="spellStart"/>
      <w:r w:rsidRPr="00531B5E">
        <w:rPr>
          <w:i/>
          <w:iCs/>
          <w:color w:val="000000" w:themeColor="text1"/>
        </w:rPr>
        <w:t>Behavior</w:t>
      </w:r>
      <w:proofErr w:type="spellEnd"/>
      <w:r w:rsidRPr="00531B5E">
        <w:rPr>
          <w:color w:val="000000" w:themeColor="text1"/>
        </w:rPr>
        <w:t>, </w:t>
      </w:r>
      <w:r w:rsidRPr="00531B5E">
        <w:rPr>
          <w:i/>
          <w:iCs/>
          <w:color w:val="000000" w:themeColor="text1"/>
        </w:rPr>
        <w:t>162</w:t>
      </w:r>
      <w:r w:rsidRPr="00531B5E">
        <w:rPr>
          <w:color w:val="000000" w:themeColor="text1"/>
        </w:rPr>
        <w:t>, 108462.</w:t>
      </w:r>
    </w:p>
    <w:p w14:paraId="62E763AF" w14:textId="77777777" w:rsidR="001F4649" w:rsidRPr="00531B5E" w:rsidRDefault="001F4649" w:rsidP="00D05FD0">
      <w:pPr>
        <w:shd w:val="clear" w:color="auto" w:fill="FFFFFF" w:themeFill="background1"/>
        <w:spacing w:line="360" w:lineRule="auto"/>
        <w:ind w:left="720" w:hanging="720"/>
        <w:jc w:val="both"/>
      </w:pPr>
      <w:bookmarkStart w:id="21" w:name="_Hlk199354311"/>
      <w:r w:rsidRPr="00531B5E">
        <w:lastRenderedPageBreak/>
        <w:t xml:space="preserve">Lycett, M., </w:t>
      </w:r>
      <w:r>
        <w:t>and</w:t>
      </w:r>
      <w:r w:rsidRPr="00531B5E">
        <w:t xml:space="preserve"> Radwan, O. (2019)</w:t>
      </w:r>
      <w:bookmarkEnd w:id="21"/>
      <w:r w:rsidRPr="00531B5E">
        <w:t>. Developing a quality of experience (QoE) model for web applications. </w:t>
      </w:r>
      <w:r w:rsidRPr="00531B5E">
        <w:rPr>
          <w:i/>
          <w:iCs/>
        </w:rPr>
        <w:t>Information Systems Journal</w:t>
      </w:r>
      <w:r w:rsidRPr="00531B5E">
        <w:t>, </w:t>
      </w:r>
      <w:r w:rsidRPr="00531B5E">
        <w:rPr>
          <w:i/>
          <w:iCs/>
        </w:rPr>
        <w:t>29</w:t>
      </w:r>
      <w:r w:rsidRPr="00531B5E">
        <w:t>(1), 175-199.</w:t>
      </w:r>
    </w:p>
    <w:p w14:paraId="61E81E31" w14:textId="77777777" w:rsidR="001F4649" w:rsidRDefault="001F4649" w:rsidP="00D05FD0">
      <w:pPr>
        <w:shd w:val="clear" w:color="auto" w:fill="FFFFFF" w:themeFill="background1"/>
        <w:spacing w:line="360" w:lineRule="auto"/>
        <w:ind w:left="720" w:hanging="720"/>
        <w:jc w:val="both"/>
      </w:pPr>
      <w:bookmarkStart w:id="22" w:name="_Hlk199232544"/>
      <w:r w:rsidRPr="00531B5E">
        <w:t>Marvi</w:t>
      </w:r>
      <w:bookmarkEnd w:id="22"/>
      <w:r w:rsidRPr="00531B5E">
        <w:t xml:space="preserve">, R., Zha, D., </w:t>
      </w:r>
      <w:r>
        <w:t>and</w:t>
      </w:r>
      <w:r w:rsidRPr="00531B5E">
        <w:t xml:space="preserve"> </w:t>
      </w:r>
      <w:proofErr w:type="spellStart"/>
      <w:r w:rsidRPr="00531B5E">
        <w:t>Foroudi</w:t>
      </w:r>
      <w:proofErr w:type="spellEnd"/>
      <w:r w:rsidRPr="00531B5E">
        <w:t>, P. (2024). Elevating B2B branding in a global context: integrating existing literature and proposing a forward-thinking conceptual framework. </w:t>
      </w:r>
      <w:r w:rsidRPr="00531B5E">
        <w:rPr>
          <w:i/>
          <w:iCs/>
        </w:rPr>
        <w:t>Industrial Marketing Management</w:t>
      </w:r>
      <w:r w:rsidRPr="00531B5E">
        <w:t>, </w:t>
      </w:r>
      <w:r w:rsidRPr="00531B5E">
        <w:rPr>
          <w:i/>
          <w:iCs/>
        </w:rPr>
        <w:t>120</w:t>
      </w:r>
      <w:r w:rsidRPr="00531B5E">
        <w:t xml:space="preserve">, 247-272. </w:t>
      </w:r>
    </w:p>
    <w:p w14:paraId="20DB340A" w14:textId="77777777" w:rsidR="001F4649" w:rsidRPr="00531B5E" w:rsidRDefault="001F4649" w:rsidP="00D05FD0">
      <w:pPr>
        <w:shd w:val="clear" w:color="auto" w:fill="FFFFFF" w:themeFill="background1"/>
        <w:spacing w:line="360" w:lineRule="auto"/>
        <w:ind w:left="720" w:hanging="720"/>
        <w:jc w:val="both"/>
      </w:pPr>
      <w:proofErr w:type="spellStart"/>
      <w:r w:rsidRPr="00250080">
        <w:t>Mathwick</w:t>
      </w:r>
      <w:proofErr w:type="spellEnd"/>
      <w:r w:rsidRPr="00250080">
        <w:t xml:space="preserve">, C., </w:t>
      </w:r>
      <w:proofErr w:type="spellStart"/>
      <w:r w:rsidRPr="00250080">
        <w:t>Wiertz</w:t>
      </w:r>
      <w:proofErr w:type="spellEnd"/>
      <w:r w:rsidRPr="00250080">
        <w:t xml:space="preserve">, C., </w:t>
      </w:r>
      <w:r>
        <w:t>and</w:t>
      </w:r>
      <w:r w:rsidRPr="00250080">
        <w:t xml:space="preserve"> De Ruyter, K. (2008). Social capital production in a virtual P3 community. </w:t>
      </w:r>
      <w:r w:rsidRPr="00250080">
        <w:rPr>
          <w:i/>
          <w:iCs/>
        </w:rPr>
        <w:t>Journal of consumer research</w:t>
      </w:r>
      <w:r w:rsidRPr="00250080">
        <w:t>, </w:t>
      </w:r>
      <w:r w:rsidRPr="00250080">
        <w:rPr>
          <w:i/>
          <w:iCs/>
        </w:rPr>
        <w:t>34</w:t>
      </w:r>
      <w:r w:rsidRPr="00250080">
        <w:t>(6), 832-849.</w:t>
      </w:r>
    </w:p>
    <w:p w14:paraId="14682F3D" w14:textId="77777777" w:rsidR="001F4649" w:rsidRPr="00531B5E" w:rsidRDefault="001F4649" w:rsidP="00D05FD0">
      <w:pPr>
        <w:shd w:val="clear" w:color="auto" w:fill="FFFFFF" w:themeFill="background1"/>
        <w:spacing w:line="360" w:lineRule="auto"/>
        <w:ind w:left="720" w:hanging="720"/>
        <w:jc w:val="both"/>
      </w:pPr>
      <w:bookmarkStart w:id="23" w:name="_Hlk199425340"/>
      <w:r w:rsidRPr="00531B5E">
        <w:t>Mohammed</w:t>
      </w:r>
      <w:bookmarkEnd w:id="23"/>
      <w:r w:rsidRPr="00531B5E">
        <w:t xml:space="preserve">, S. Y., Aljanabi, M., </w:t>
      </w:r>
      <w:r>
        <w:t>and</w:t>
      </w:r>
      <w:r w:rsidRPr="00531B5E">
        <w:t xml:space="preserve"> </w:t>
      </w:r>
      <w:proofErr w:type="spellStart"/>
      <w:r w:rsidRPr="00531B5E">
        <w:t>Gadekallu</w:t>
      </w:r>
      <w:proofErr w:type="spellEnd"/>
      <w:r w:rsidRPr="00531B5E">
        <w:t>, T. R. (2024). Navigating the nexus: a systematic review of the symbiotic relationship between the metaverse and gaming. </w:t>
      </w:r>
      <w:r w:rsidRPr="00531B5E">
        <w:rPr>
          <w:i/>
          <w:iCs/>
        </w:rPr>
        <w:t>International Journal of Cognitive Computing in Engineering</w:t>
      </w:r>
      <w:r w:rsidRPr="00531B5E">
        <w:t xml:space="preserve">.  </w:t>
      </w:r>
      <w:hyperlink r:id="rId17" w:history="1">
        <w:r w:rsidRPr="00531B5E">
          <w:rPr>
            <w:rStyle w:val="Hyperlink"/>
          </w:rPr>
          <w:t>https://doi.org/10.1016/j.ijcce.2024.02.001</w:t>
        </w:r>
      </w:hyperlink>
    </w:p>
    <w:p w14:paraId="7BE8F533" w14:textId="77777777" w:rsidR="001F4649" w:rsidRDefault="001F4649" w:rsidP="00D05FD0">
      <w:pPr>
        <w:shd w:val="clear" w:color="auto" w:fill="FFFFFF" w:themeFill="background1"/>
        <w:spacing w:line="360" w:lineRule="auto"/>
        <w:ind w:left="720" w:hanging="720"/>
        <w:jc w:val="both"/>
        <w:rPr>
          <w:color w:val="000000" w:themeColor="text1"/>
        </w:rPr>
      </w:pPr>
      <w:bookmarkStart w:id="24" w:name="_Hlk199424451"/>
      <w:proofErr w:type="spellStart"/>
      <w:r w:rsidRPr="00531B5E">
        <w:rPr>
          <w:color w:val="000000" w:themeColor="text1"/>
          <w:lang w:val="fr-FR"/>
        </w:rPr>
        <w:t>Nikou</w:t>
      </w:r>
      <w:bookmarkEnd w:id="24"/>
      <w:proofErr w:type="spellEnd"/>
      <w:r w:rsidRPr="00531B5E">
        <w:rPr>
          <w:color w:val="000000" w:themeColor="text1"/>
          <w:lang w:val="fr-FR"/>
        </w:rPr>
        <w:t xml:space="preserve">, S., </w:t>
      </w:r>
      <w:proofErr w:type="spellStart"/>
      <w:r w:rsidRPr="00531B5E">
        <w:rPr>
          <w:color w:val="000000" w:themeColor="text1"/>
          <w:lang w:val="fr-FR"/>
        </w:rPr>
        <w:t>Mezei</w:t>
      </w:r>
      <w:proofErr w:type="spellEnd"/>
      <w:r w:rsidRPr="00531B5E">
        <w:rPr>
          <w:color w:val="000000" w:themeColor="text1"/>
          <w:lang w:val="fr-FR"/>
        </w:rPr>
        <w:t xml:space="preserve">, J., </w:t>
      </w:r>
      <w:proofErr w:type="spellStart"/>
      <w:r w:rsidRPr="00531B5E">
        <w:rPr>
          <w:color w:val="000000" w:themeColor="text1"/>
          <w:lang w:val="fr-FR"/>
        </w:rPr>
        <w:t>Liguori</w:t>
      </w:r>
      <w:proofErr w:type="spellEnd"/>
      <w:r w:rsidRPr="00531B5E">
        <w:rPr>
          <w:color w:val="000000" w:themeColor="text1"/>
          <w:lang w:val="fr-FR"/>
        </w:rPr>
        <w:t xml:space="preserve">, E. W., </w:t>
      </w:r>
      <w:r>
        <w:rPr>
          <w:color w:val="000000" w:themeColor="text1"/>
          <w:lang w:val="fr-FR"/>
        </w:rPr>
        <w:t>and</w:t>
      </w:r>
      <w:r w:rsidRPr="00531B5E">
        <w:rPr>
          <w:color w:val="000000" w:themeColor="text1"/>
          <w:lang w:val="fr-FR"/>
        </w:rPr>
        <w:t xml:space="preserve"> El </w:t>
      </w:r>
      <w:proofErr w:type="spellStart"/>
      <w:r w:rsidRPr="00531B5E">
        <w:rPr>
          <w:color w:val="000000" w:themeColor="text1"/>
          <w:lang w:val="fr-FR"/>
        </w:rPr>
        <w:t>Tarabishy</w:t>
      </w:r>
      <w:proofErr w:type="spellEnd"/>
      <w:r w:rsidRPr="00531B5E">
        <w:rPr>
          <w:color w:val="000000" w:themeColor="text1"/>
          <w:lang w:val="fr-FR"/>
        </w:rPr>
        <w:t xml:space="preserve">, A. (2024). </w:t>
      </w:r>
      <w:r w:rsidRPr="00531B5E">
        <w:rPr>
          <w:color w:val="000000" w:themeColor="text1"/>
        </w:rPr>
        <w:t xml:space="preserve">FsQCA in entrepreneurship research: Opportunities and best practices. </w:t>
      </w:r>
      <w:r w:rsidRPr="00531B5E">
        <w:rPr>
          <w:i/>
          <w:iCs/>
          <w:color w:val="000000" w:themeColor="text1"/>
        </w:rPr>
        <w:t>Journal of Small Business Management</w:t>
      </w:r>
      <w:r w:rsidRPr="00531B5E">
        <w:rPr>
          <w:color w:val="000000" w:themeColor="text1"/>
        </w:rPr>
        <w:t>, 62(3), 1531-1548.</w:t>
      </w:r>
    </w:p>
    <w:p w14:paraId="33138E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726246">
        <w:rPr>
          <w:color w:val="000000" w:themeColor="text1"/>
        </w:rPr>
        <w:t>Nunnally J. C., Bernstein I. H. (1994). </w:t>
      </w:r>
      <w:r w:rsidRPr="00726246">
        <w:rPr>
          <w:i/>
          <w:iCs/>
          <w:color w:val="000000" w:themeColor="text1"/>
        </w:rPr>
        <w:t>Psychometric theory</w:t>
      </w:r>
      <w:r w:rsidRPr="00726246">
        <w:rPr>
          <w:color w:val="000000" w:themeColor="text1"/>
        </w:rPr>
        <w:t> (3rd ed.). New York, NY: McGraw-Hill.</w:t>
      </w:r>
    </w:p>
    <w:p w14:paraId="10547084" w14:textId="77777777" w:rsidR="001F4649" w:rsidRDefault="001F4649" w:rsidP="00B536AF">
      <w:pPr>
        <w:shd w:val="clear" w:color="auto" w:fill="FFFFFF" w:themeFill="background1"/>
        <w:spacing w:line="360" w:lineRule="auto"/>
        <w:ind w:left="720" w:hanging="720"/>
        <w:jc w:val="both"/>
        <w:rPr>
          <w:color w:val="000000" w:themeColor="text1"/>
        </w:rPr>
      </w:pPr>
      <w:r w:rsidRPr="009D0A9F">
        <w:rPr>
          <w:color w:val="000000" w:themeColor="text1"/>
        </w:rPr>
        <w:t xml:space="preserve">O'Brien, H. L., </w:t>
      </w:r>
      <w:r>
        <w:rPr>
          <w:color w:val="000000" w:themeColor="text1"/>
        </w:rPr>
        <w:t>and</w:t>
      </w:r>
      <w:r w:rsidRPr="009D0A9F">
        <w:rPr>
          <w:color w:val="000000" w:themeColor="text1"/>
        </w:rPr>
        <w:t xml:space="preserve"> Toms, E. G. (2010). The development and evaluation of a survey to measure user engagement. </w:t>
      </w:r>
      <w:r w:rsidRPr="009D0A9F">
        <w:rPr>
          <w:i/>
          <w:iCs/>
          <w:color w:val="000000" w:themeColor="text1"/>
        </w:rPr>
        <w:t xml:space="preserve">Journal of the American Society for Information Science and </w:t>
      </w:r>
      <w:r>
        <w:rPr>
          <w:i/>
          <w:iCs/>
          <w:color w:val="000000" w:themeColor="text1"/>
        </w:rPr>
        <w:t>T</w:t>
      </w:r>
      <w:r w:rsidRPr="009D0A9F">
        <w:rPr>
          <w:i/>
          <w:iCs/>
          <w:color w:val="000000" w:themeColor="text1"/>
        </w:rPr>
        <w:t>echnology</w:t>
      </w:r>
      <w:r w:rsidRPr="009D0A9F">
        <w:rPr>
          <w:color w:val="000000" w:themeColor="text1"/>
        </w:rPr>
        <w:t>, </w:t>
      </w:r>
      <w:r w:rsidRPr="009D0A9F">
        <w:rPr>
          <w:i/>
          <w:iCs/>
          <w:color w:val="000000" w:themeColor="text1"/>
        </w:rPr>
        <w:t>61</w:t>
      </w:r>
      <w:r w:rsidRPr="009D0A9F">
        <w:rPr>
          <w:color w:val="000000" w:themeColor="text1"/>
        </w:rPr>
        <w:t>(1), 50-69.</w:t>
      </w:r>
    </w:p>
    <w:p w14:paraId="126D353F" w14:textId="77777777" w:rsidR="001F4649" w:rsidRPr="00B536AF" w:rsidRDefault="001F4649" w:rsidP="00B536AF">
      <w:pPr>
        <w:shd w:val="clear" w:color="auto" w:fill="FFFFFF" w:themeFill="background1"/>
        <w:spacing w:line="360" w:lineRule="auto"/>
        <w:ind w:left="720" w:hanging="720"/>
        <w:jc w:val="both"/>
        <w:rPr>
          <w:color w:val="000000" w:themeColor="text1"/>
        </w:rPr>
      </w:pPr>
      <w:r w:rsidRPr="00E11955">
        <w:t xml:space="preserve">Oliveira, W., </w:t>
      </w:r>
      <w:r>
        <w:t>and</w:t>
      </w:r>
      <w:r w:rsidRPr="00E11955">
        <w:t xml:space="preserve"> Hamari, J. (2025). Flow Experience in </w:t>
      </w:r>
      <w:proofErr w:type="spellStart"/>
      <w:r w:rsidRPr="00E11955">
        <w:t>Gameful</w:t>
      </w:r>
      <w:proofErr w:type="spellEnd"/>
      <w:r w:rsidRPr="00E11955">
        <w:t xml:space="preserve"> Approaches: A Systematic Literature Review, </w:t>
      </w:r>
      <w:proofErr w:type="spellStart"/>
      <w:r w:rsidRPr="00E11955">
        <w:t>Scientometric</w:t>
      </w:r>
      <w:proofErr w:type="spellEnd"/>
      <w:r w:rsidRPr="00E11955">
        <w:t xml:space="preserve"> Analysis, and Research Agenda. </w:t>
      </w:r>
      <w:r w:rsidRPr="00E11955">
        <w:rPr>
          <w:i/>
          <w:iCs/>
        </w:rPr>
        <w:t>International Journal of Human–Computer Interaction</w:t>
      </w:r>
      <w:r w:rsidRPr="00E11955">
        <w:t>, 1-27.</w:t>
      </w:r>
    </w:p>
    <w:p w14:paraId="02A07BB2" w14:textId="77777777" w:rsidR="001F4649" w:rsidRPr="00531B5E" w:rsidRDefault="001F4649" w:rsidP="00D05FD0">
      <w:pPr>
        <w:shd w:val="clear" w:color="auto" w:fill="FFFFFF" w:themeFill="background1"/>
        <w:spacing w:line="360" w:lineRule="auto"/>
        <w:ind w:left="720" w:hanging="720"/>
        <w:jc w:val="both"/>
      </w:pPr>
      <w:r w:rsidRPr="00531B5E">
        <w:t>Osborne, A. (2024). Design of Social Affordances for Meetings in Social Virtual Reality. </w:t>
      </w:r>
      <w:r w:rsidRPr="00531B5E">
        <w:rPr>
          <w:i/>
          <w:iCs/>
        </w:rPr>
        <w:t>UC Santa Cruz</w:t>
      </w:r>
      <w:r w:rsidRPr="00531B5E">
        <w:t xml:space="preserve">. Accessed on December 2024, available at: </w:t>
      </w:r>
      <w:hyperlink r:id="rId18" w:history="1">
        <w:r w:rsidRPr="00531B5E">
          <w:rPr>
            <w:rStyle w:val="Hyperlink"/>
          </w:rPr>
          <w:t>https://escholarship.org/uc/item/8h51c6s0</w:t>
        </w:r>
      </w:hyperlink>
    </w:p>
    <w:p w14:paraId="61B60BEB" w14:textId="77777777" w:rsidR="001F4649" w:rsidRPr="00531B5E" w:rsidRDefault="001F4649" w:rsidP="00D05FD0">
      <w:pPr>
        <w:shd w:val="clear" w:color="auto" w:fill="FFFFFF" w:themeFill="background1"/>
        <w:spacing w:line="360" w:lineRule="auto"/>
        <w:ind w:left="720" w:hanging="720"/>
        <w:jc w:val="both"/>
      </w:pPr>
      <w:bookmarkStart w:id="25" w:name="_Hlk199322777"/>
      <w:r w:rsidRPr="00531B5E">
        <w:t>Park</w:t>
      </w:r>
      <w:bookmarkEnd w:id="25"/>
      <w:r w:rsidRPr="00531B5E">
        <w:t xml:space="preserve">, Y., Fiss, P. C., </w:t>
      </w:r>
      <w:r>
        <w:t>and</w:t>
      </w:r>
      <w:r w:rsidRPr="00531B5E">
        <w:t xml:space="preserve"> El </w:t>
      </w:r>
      <w:proofErr w:type="spellStart"/>
      <w:r w:rsidRPr="00531B5E">
        <w:t>Sawy</w:t>
      </w:r>
      <w:proofErr w:type="spellEnd"/>
      <w:r w:rsidRPr="00531B5E">
        <w:t>, O. A. (2020). Theorizing the Multiplicity of Digital Phenomena: The Ecology of Configurations, Causal Recipes, and Guidelines for Applying QCA. </w:t>
      </w:r>
      <w:r w:rsidRPr="00531B5E">
        <w:rPr>
          <w:i/>
          <w:iCs/>
        </w:rPr>
        <w:t>Mis Quarterly</w:t>
      </w:r>
      <w:r w:rsidRPr="00531B5E">
        <w:t>, </w:t>
      </w:r>
      <w:r w:rsidRPr="00531B5E">
        <w:rPr>
          <w:i/>
          <w:iCs/>
        </w:rPr>
        <w:t>44</w:t>
      </w:r>
      <w:r w:rsidRPr="00531B5E">
        <w:t>(4).</w:t>
      </w:r>
    </w:p>
    <w:p w14:paraId="1FF40F5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Payal, R., Sharma, N., </w:t>
      </w:r>
      <w:r>
        <w:rPr>
          <w:color w:val="000000" w:themeColor="text1"/>
        </w:rPr>
        <w:t>and</w:t>
      </w:r>
      <w:r w:rsidRPr="00531B5E">
        <w:rPr>
          <w:color w:val="000000" w:themeColor="text1"/>
        </w:rPr>
        <w:t xml:space="preserve"> Dwivedi, Y. K. (2024). Unlocking the impact of brand engagement in the metaverse on Real-World purchase intentions: </w:t>
      </w:r>
      <w:proofErr w:type="spellStart"/>
      <w:r w:rsidRPr="00531B5E">
        <w:rPr>
          <w:color w:val="000000" w:themeColor="text1"/>
        </w:rPr>
        <w:t>Analyzing</w:t>
      </w:r>
      <w:proofErr w:type="spellEnd"/>
      <w:r w:rsidRPr="00531B5E">
        <w:rPr>
          <w:color w:val="000000" w:themeColor="text1"/>
        </w:rPr>
        <w:t xml:space="preserve"> Pre-Adoption </w:t>
      </w:r>
      <w:proofErr w:type="spellStart"/>
      <w:r w:rsidRPr="00531B5E">
        <w:rPr>
          <w:color w:val="000000" w:themeColor="text1"/>
        </w:rPr>
        <w:t>behavior</w:t>
      </w:r>
      <w:proofErr w:type="spellEnd"/>
      <w:r w:rsidRPr="00531B5E">
        <w:rPr>
          <w:color w:val="000000" w:themeColor="text1"/>
        </w:rPr>
        <w:t xml:space="preserve"> in a futuristic technology platform. </w:t>
      </w:r>
      <w:r w:rsidRPr="00531B5E">
        <w:rPr>
          <w:i/>
          <w:iCs/>
          <w:color w:val="000000" w:themeColor="text1"/>
        </w:rPr>
        <w:t>Electronic Commerce Research and Applications</w:t>
      </w:r>
      <w:r w:rsidRPr="00531B5E">
        <w:rPr>
          <w:color w:val="000000" w:themeColor="text1"/>
        </w:rPr>
        <w:t>, </w:t>
      </w:r>
      <w:r w:rsidRPr="00531B5E">
        <w:rPr>
          <w:i/>
          <w:iCs/>
          <w:color w:val="000000" w:themeColor="text1"/>
        </w:rPr>
        <w:t>65</w:t>
      </w:r>
      <w:r w:rsidRPr="00531B5E">
        <w:rPr>
          <w:color w:val="000000" w:themeColor="text1"/>
        </w:rPr>
        <w:t>, 101381.</w:t>
      </w:r>
    </w:p>
    <w:p w14:paraId="70FC51D7" w14:textId="77777777" w:rsidR="001F4649" w:rsidRPr="001F4649" w:rsidRDefault="001F4649" w:rsidP="008F0D46">
      <w:pPr>
        <w:shd w:val="clear" w:color="auto" w:fill="FFFFFF" w:themeFill="background1"/>
        <w:spacing w:line="360" w:lineRule="auto"/>
        <w:ind w:left="720" w:hanging="720"/>
        <w:jc w:val="both"/>
      </w:pPr>
      <w:r w:rsidRPr="001F4649">
        <w:lastRenderedPageBreak/>
        <w:t xml:space="preserve">Podsakoff, P. M., MacKenzie, S. B., Lee, J. Y., &amp; Podsakoff, N. P. (2003). Common method biases in </w:t>
      </w:r>
      <w:proofErr w:type="spellStart"/>
      <w:r w:rsidRPr="001F4649">
        <w:t>behavioral</w:t>
      </w:r>
      <w:proofErr w:type="spellEnd"/>
      <w:r w:rsidRPr="001F4649">
        <w:t xml:space="preserve"> research: a critical review of the literature and recommended remedies. Journal of applied psychology, 88(5), 879.</w:t>
      </w:r>
    </w:p>
    <w:p w14:paraId="1ADCA6E2" w14:textId="77777777" w:rsidR="001F4649" w:rsidRPr="00531B5E" w:rsidRDefault="001F4649" w:rsidP="00D05FD0">
      <w:pPr>
        <w:shd w:val="clear" w:color="auto" w:fill="FFFFFF" w:themeFill="background1"/>
        <w:spacing w:line="360" w:lineRule="auto"/>
        <w:ind w:left="720" w:hanging="720"/>
        <w:jc w:val="both"/>
      </w:pPr>
      <w:r w:rsidRPr="00531B5E">
        <w:t xml:space="preserve">Poeschl, S., </w:t>
      </w:r>
      <w:r>
        <w:t>and</w:t>
      </w:r>
      <w:r w:rsidRPr="00531B5E">
        <w:t xml:space="preserve"> Doering, N. (2015). Measuring co-presence and social presence in virtual environments–psychometric construction of a </w:t>
      </w:r>
      <w:proofErr w:type="spellStart"/>
      <w:r w:rsidRPr="00531B5E">
        <w:t>german</w:t>
      </w:r>
      <w:proofErr w:type="spellEnd"/>
      <w:r w:rsidRPr="00531B5E">
        <w:t xml:space="preserve"> scale for a fear of public speaking scenario. </w:t>
      </w:r>
      <w:r w:rsidRPr="00531B5E">
        <w:rPr>
          <w:i/>
          <w:iCs/>
        </w:rPr>
        <w:t xml:space="preserve">Annual Review of </w:t>
      </w:r>
      <w:proofErr w:type="spellStart"/>
      <w:r w:rsidRPr="00531B5E">
        <w:rPr>
          <w:i/>
          <w:iCs/>
        </w:rPr>
        <w:t>Cybertherapy</w:t>
      </w:r>
      <w:proofErr w:type="spellEnd"/>
      <w:r w:rsidRPr="00531B5E">
        <w:rPr>
          <w:i/>
          <w:iCs/>
        </w:rPr>
        <w:t xml:space="preserve"> and Telemedicine 2015</w:t>
      </w:r>
      <w:r w:rsidRPr="00531B5E">
        <w:t>, 58-63.</w:t>
      </w:r>
    </w:p>
    <w:p w14:paraId="1DFAF6A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Ragin, C. C. (2008). </w:t>
      </w:r>
      <w:r w:rsidRPr="00531B5E">
        <w:rPr>
          <w:i/>
          <w:iCs/>
          <w:color w:val="000000" w:themeColor="text1"/>
        </w:rPr>
        <w:t>Redesigning social inquiry: Fuzzy sets and beyond</w:t>
      </w:r>
      <w:r w:rsidRPr="00531B5E">
        <w:rPr>
          <w:color w:val="000000" w:themeColor="text1"/>
        </w:rPr>
        <w:t>. University of Chicago Press, Chicago, IL, United States.</w:t>
      </w:r>
    </w:p>
    <w:p w14:paraId="3FD55A9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Rahman, S. M., et al. (2025). Metaverse platform attributes and customer experience measurement. </w:t>
      </w:r>
      <w:r w:rsidRPr="00531B5E">
        <w:rPr>
          <w:i/>
          <w:iCs/>
          <w:color w:val="000000" w:themeColor="text1"/>
        </w:rPr>
        <w:t>Journal of Retailing and Consumer Services</w:t>
      </w:r>
      <w:r w:rsidRPr="00531B5E">
        <w:rPr>
          <w:color w:val="000000" w:themeColor="text1"/>
        </w:rPr>
        <w:t>, 83, 104159.</w:t>
      </w:r>
    </w:p>
    <w:p w14:paraId="7701C26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Rather, R. A., </w:t>
      </w:r>
      <w:proofErr w:type="spellStart"/>
      <w:r w:rsidRPr="00531B5E">
        <w:rPr>
          <w:color w:val="000000" w:themeColor="text1"/>
        </w:rPr>
        <w:t>Hollebeek</w:t>
      </w:r>
      <w:proofErr w:type="spellEnd"/>
      <w:r w:rsidRPr="00531B5E">
        <w:rPr>
          <w:color w:val="000000" w:themeColor="text1"/>
        </w:rPr>
        <w:t xml:space="preserve">, L. D., Vo‐Thanh, T., Ramkissoon, H., </w:t>
      </w:r>
      <w:proofErr w:type="spellStart"/>
      <w:r w:rsidRPr="00531B5E">
        <w:rPr>
          <w:color w:val="000000" w:themeColor="text1"/>
        </w:rPr>
        <w:t>Leppiman</w:t>
      </w:r>
      <w:proofErr w:type="spellEnd"/>
      <w:r w:rsidRPr="00531B5E">
        <w:rPr>
          <w:color w:val="000000" w:themeColor="text1"/>
        </w:rPr>
        <w:t>, A., and Smith, D. (2022). Shaping Customer Brand Loyalty During the Pandemic: The Role of Brand Credibility, Value Congruence, Experience, Identification, And Engagement. </w:t>
      </w:r>
      <w:r w:rsidRPr="00531B5E">
        <w:rPr>
          <w:i/>
          <w:iCs/>
          <w:color w:val="000000" w:themeColor="text1"/>
        </w:rPr>
        <w:t>Journal of Consumer Behaviour,</w:t>
      </w:r>
      <w:r w:rsidRPr="00531B5E">
        <w:rPr>
          <w:color w:val="000000" w:themeColor="text1"/>
        </w:rPr>
        <w:t> 21(5), 1175-1189.</w:t>
      </w:r>
    </w:p>
    <w:p w14:paraId="198BB7F2" w14:textId="77777777" w:rsidR="001F4649" w:rsidRPr="00531B5E" w:rsidRDefault="001F4649" w:rsidP="00D05FD0">
      <w:pPr>
        <w:shd w:val="clear" w:color="auto" w:fill="FFFFFF" w:themeFill="background1"/>
        <w:spacing w:line="360" w:lineRule="auto"/>
        <w:ind w:left="720" w:hanging="720"/>
        <w:jc w:val="both"/>
      </w:pPr>
      <w:bookmarkStart w:id="26" w:name="_Hlk199425288"/>
      <w:r w:rsidRPr="00531B5E">
        <w:t>Ribeiro</w:t>
      </w:r>
      <w:bookmarkEnd w:id="26"/>
      <w:r w:rsidRPr="00531B5E">
        <w:t xml:space="preserve">, A., Vieira, V., Alves, L., </w:t>
      </w:r>
      <w:r>
        <w:t>and</w:t>
      </w:r>
      <w:r w:rsidRPr="00531B5E">
        <w:t xml:space="preserve"> Maciel, C. (2024). Vishnu: An approach to support the personalization of self-expressive avatars using context-awareness. </w:t>
      </w:r>
      <w:r w:rsidRPr="00531B5E">
        <w:rPr>
          <w:i/>
          <w:iCs/>
        </w:rPr>
        <w:t>International Journal of Human-Computer Studies</w:t>
      </w:r>
      <w:r w:rsidRPr="00531B5E">
        <w:t>, </w:t>
      </w:r>
      <w:r w:rsidRPr="00531B5E">
        <w:rPr>
          <w:i/>
          <w:iCs/>
        </w:rPr>
        <w:t>185</w:t>
      </w:r>
      <w:r w:rsidRPr="00531B5E">
        <w:t>, 103243.</w:t>
      </w:r>
    </w:p>
    <w:p w14:paraId="201C802E" w14:textId="77777777" w:rsidR="001F4649" w:rsidRPr="00DA27CD" w:rsidRDefault="001F4649" w:rsidP="00DA27CD">
      <w:pPr>
        <w:spacing w:before="157" w:after="157" w:line="360" w:lineRule="auto"/>
        <w:ind w:left="720" w:hanging="720"/>
        <w:rPr>
          <w:rFonts w:eastAsia="inter"/>
          <w:bCs/>
          <w:color w:val="000000"/>
          <w:sz w:val="22"/>
        </w:rPr>
      </w:pPr>
      <w:proofErr w:type="spellStart"/>
      <w:r w:rsidRPr="00DA27CD">
        <w:rPr>
          <w:rFonts w:eastAsia="inter"/>
          <w:bCs/>
          <w:color w:val="000000"/>
          <w:sz w:val="22"/>
        </w:rPr>
        <w:t>Rutrecht</w:t>
      </w:r>
      <w:proofErr w:type="spellEnd"/>
      <w:r w:rsidRPr="00DA27CD">
        <w:rPr>
          <w:rFonts w:eastAsia="inter"/>
          <w:bCs/>
          <w:color w:val="000000"/>
          <w:sz w:val="22"/>
        </w:rPr>
        <w:t xml:space="preserve">, H., Wittmann, M., </w:t>
      </w:r>
      <w:proofErr w:type="spellStart"/>
      <w:r w:rsidRPr="00DA27CD">
        <w:rPr>
          <w:rFonts w:eastAsia="inter"/>
          <w:bCs/>
          <w:color w:val="000000"/>
          <w:sz w:val="22"/>
        </w:rPr>
        <w:t>Khoshnoud</w:t>
      </w:r>
      <w:proofErr w:type="spellEnd"/>
      <w:r w:rsidRPr="00DA27CD">
        <w:rPr>
          <w:rFonts w:eastAsia="inter"/>
          <w:bCs/>
          <w:color w:val="000000"/>
          <w:sz w:val="22"/>
        </w:rPr>
        <w:t xml:space="preserve">, S., </w:t>
      </w:r>
      <w:r>
        <w:rPr>
          <w:rFonts w:eastAsia="inter"/>
          <w:bCs/>
          <w:color w:val="000000"/>
          <w:sz w:val="22"/>
        </w:rPr>
        <w:t>and</w:t>
      </w:r>
      <w:r w:rsidRPr="00DA27CD">
        <w:rPr>
          <w:rFonts w:eastAsia="inter"/>
          <w:bCs/>
          <w:color w:val="000000"/>
          <w:sz w:val="22"/>
        </w:rPr>
        <w:t xml:space="preserve"> </w:t>
      </w:r>
      <w:proofErr w:type="spellStart"/>
      <w:r w:rsidRPr="00DA27CD">
        <w:rPr>
          <w:rFonts w:eastAsia="inter"/>
          <w:bCs/>
          <w:color w:val="000000"/>
          <w:sz w:val="22"/>
        </w:rPr>
        <w:t>Igarzábal</w:t>
      </w:r>
      <w:proofErr w:type="spellEnd"/>
      <w:r w:rsidRPr="00DA27CD">
        <w:rPr>
          <w:rFonts w:eastAsia="inter"/>
          <w:bCs/>
          <w:color w:val="000000"/>
          <w:sz w:val="22"/>
        </w:rPr>
        <w:t>, F. A. (2021). Time Speeds Up During Flow States: A Study in Virtual Reality with the Video Game Thumper. </w:t>
      </w:r>
      <w:r w:rsidRPr="00DA27CD">
        <w:rPr>
          <w:rFonts w:eastAsia="inter"/>
          <w:bCs/>
          <w:i/>
          <w:iCs/>
          <w:color w:val="000000"/>
          <w:sz w:val="22"/>
        </w:rPr>
        <w:t xml:space="preserve">Timing </w:t>
      </w:r>
      <w:r>
        <w:rPr>
          <w:rFonts w:eastAsia="inter"/>
          <w:bCs/>
          <w:i/>
          <w:iCs/>
          <w:color w:val="000000"/>
          <w:sz w:val="22"/>
        </w:rPr>
        <w:t>and</w:t>
      </w:r>
      <w:r w:rsidRPr="00DA27CD">
        <w:rPr>
          <w:rFonts w:eastAsia="inter"/>
          <w:bCs/>
          <w:i/>
          <w:iCs/>
          <w:color w:val="000000"/>
          <w:sz w:val="22"/>
        </w:rPr>
        <w:t xml:space="preserve"> Time Perception</w:t>
      </w:r>
      <w:r w:rsidRPr="00DA27CD">
        <w:rPr>
          <w:rFonts w:eastAsia="inter"/>
          <w:bCs/>
          <w:color w:val="000000"/>
          <w:sz w:val="22"/>
        </w:rPr>
        <w:t>, </w:t>
      </w:r>
      <w:r w:rsidRPr="00DA27CD">
        <w:rPr>
          <w:rFonts w:eastAsia="inter"/>
          <w:bCs/>
          <w:i/>
          <w:iCs/>
          <w:color w:val="000000"/>
          <w:sz w:val="22"/>
        </w:rPr>
        <w:t>9</w:t>
      </w:r>
      <w:r w:rsidRPr="00DA27CD">
        <w:rPr>
          <w:rFonts w:eastAsia="inter"/>
          <w:bCs/>
          <w:color w:val="000000"/>
          <w:sz w:val="22"/>
        </w:rPr>
        <w:t>(4), 353-376.</w:t>
      </w:r>
    </w:p>
    <w:p w14:paraId="006E2035"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(2000). Self-determination theory and the facilitation of intrinsic motivation, social development, and well-being. American Psychologist, 55 (1), 68–78.</w:t>
      </w:r>
    </w:p>
    <w:p w14:paraId="1BD64D46"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(2017). Self-determination theory: Basic psychological needs in motivation, development, and wellness. Guilford Publishing.</w:t>
      </w:r>
    </w:p>
    <w:p w14:paraId="075F3CDE"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(2024). Self-determination theory. In </w:t>
      </w:r>
      <w:proofErr w:type="spellStart"/>
      <w:r w:rsidRPr="00BF3C3F">
        <w:rPr>
          <w:rFonts w:eastAsia="inter"/>
          <w:bCs/>
          <w:color w:val="000000"/>
          <w:sz w:val="22"/>
        </w:rPr>
        <w:t>Encyclopedia</w:t>
      </w:r>
      <w:proofErr w:type="spellEnd"/>
      <w:r w:rsidRPr="00BF3C3F">
        <w:rPr>
          <w:rFonts w:eastAsia="inter"/>
          <w:bCs/>
          <w:color w:val="000000"/>
          <w:sz w:val="22"/>
        </w:rPr>
        <w:t xml:space="preserve"> of quality of life and well-being research (pp. 6229–6235). Cham: Springer International Publishing.</w:t>
      </w:r>
    </w:p>
    <w:p w14:paraId="6BAEC5BC" w14:textId="77777777" w:rsidR="001F4649" w:rsidRPr="00531B5E" w:rsidRDefault="001F4649" w:rsidP="00D05FD0">
      <w:pPr>
        <w:shd w:val="clear" w:color="auto" w:fill="FFFFFF" w:themeFill="background1"/>
        <w:spacing w:line="360" w:lineRule="auto"/>
        <w:ind w:left="720" w:hanging="720"/>
        <w:jc w:val="both"/>
      </w:pPr>
      <w:bookmarkStart w:id="27" w:name="_Hlk199323363"/>
      <w:r w:rsidRPr="00531B5E">
        <w:t>Scheider</w:t>
      </w:r>
      <w:bookmarkEnd w:id="27"/>
      <w:r w:rsidRPr="00531B5E">
        <w:t xml:space="preserve">, S., Lauf, F., Möller, F., </w:t>
      </w:r>
      <w:r>
        <w:t>and</w:t>
      </w:r>
      <w:r w:rsidRPr="00531B5E">
        <w:t xml:space="preserve"> Otto, B. (2023). A reference system architecture with data sovereignty for human-centric data ecosystems. </w:t>
      </w:r>
      <w:r w:rsidRPr="00531B5E">
        <w:rPr>
          <w:i/>
          <w:iCs/>
        </w:rPr>
        <w:t xml:space="preserve">Business </w:t>
      </w:r>
      <w:r>
        <w:rPr>
          <w:i/>
          <w:iCs/>
        </w:rPr>
        <w:t>and</w:t>
      </w:r>
      <w:r w:rsidRPr="00531B5E">
        <w:rPr>
          <w:i/>
          <w:iCs/>
        </w:rPr>
        <w:t xml:space="preserve"> Information Systems Engineering</w:t>
      </w:r>
      <w:r w:rsidRPr="00531B5E">
        <w:t>, </w:t>
      </w:r>
      <w:r w:rsidRPr="00531B5E">
        <w:rPr>
          <w:i/>
          <w:iCs/>
        </w:rPr>
        <w:t>65</w:t>
      </w:r>
      <w:r w:rsidRPr="00531B5E">
        <w:t>(5), 577-595.</w:t>
      </w:r>
    </w:p>
    <w:p w14:paraId="2AE49E85"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Schneider, C. Q., </w:t>
      </w:r>
      <w:r>
        <w:rPr>
          <w:color w:val="000000" w:themeColor="text1"/>
        </w:rPr>
        <w:t>and</w:t>
      </w:r>
      <w:r w:rsidRPr="00531B5E">
        <w:rPr>
          <w:color w:val="000000" w:themeColor="text1"/>
        </w:rPr>
        <w:t xml:space="preserve"> Wagemann, C. (2012). </w:t>
      </w:r>
      <w:r w:rsidRPr="00531B5E">
        <w:rPr>
          <w:i/>
          <w:iCs/>
          <w:color w:val="000000" w:themeColor="text1"/>
        </w:rPr>
        <w:t>Set-theoretic methods for the social sciences: A guide to qualitative comparative analysis</w:t>
      </w:r>
      <w:r w:rsidRPr="00531B5E">
        <w:rPr>
          <w:color w:val="000000" w:themeColor="text1"/>
        </w:rPr>
        <w:t>. Cambridge University Press,</w:t>
      </w:r>
      <w:r w:rsidRPr="00531B5E">
        <w:rPr>
          <w:rFonts w:ascii="Segoe UI" w:hAnsi="Segoe UI" w:cs="Segoe UI"/>
        </w:rPr>
        <w:t xml:space="preserve"> </w:t>
      </w:r>
      <w:r w:rsidRPr="00531B5E">
        <w:rPr>
          <w:color w:val="000000" w:themeColor="text1"/>
        </w:rPr>
        <w:t>Cambridge, United Kingdom.</w:t>
      </w:r>
    </w:p>
    <w:p w14:paraId="1FA20EB0" w14:textId="77777777" w:rsidR="001F4649" w:rsidRPr="00531B5E" w:rsidRDefault="001F4649" w:rsidP="00D05FD0">
      <w:pPr>
        <w:shd w:val="clear" w:color="auto" w:fill="FFFFFF" w:themeFill="background1"/>
        <w:spacing w:line="360" w:lineRule="auto"/>
        <w:ind w:left="720" w:hanging="720"/>
        <w:jc w:val="both"/>
      </w:pPr>
      <w:r w:rsidRPr="00531B5E">
        <w:lastRenderedPageBreak/>
        <w:t xml:space="preserve">Shamim, N., Gupta, S., </w:t>
      </w:r>
      <w:r>
        <w:t>and</w:t>
      </w:r>
      <w:r w:rsidRPr="00531B5E">
        <w:t xml:space="preserve"> Shin, M. M. (2025). Evaluating user engagement via metaverse environment through immersive experience for travel and tourism websites. </w:t>
      </w:r>
      <w:r w:rsidRPr="00531B5E">
        <w:rPr>
          <w:i/>
          <w:iCs/>
        </w:rPr>
        <w:t>International Journal of Contemporary Hospitality Management</w:t>
      </w:r>
      <w:r w:rsidRPr="00531B5E">
        <w:t>, </w:t>
      </w:r>
      <w:r w:rsidRPr="00531B5E">
        <w:rPr>
          <w:i/>
          <w:iCs/>
        </w:rPr>
        <w:t>37</w:t>
      </w:r>
      <w:r w:rsidRPr="00531B5E">
        <w:t>(4), 1132-1174.</w:t>
      </w:r>
    </w:p>
    <w:p w14:paraId="271A3C8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Shin, D. (2019). How does immersion work in augmented reality games? A user-centric view of immersion and engagement. </w:t>
      </w:r>
      <w:r w:rsidRPr="00531B5E">
        <w:rPr>
          <w:i/>
          <w:iCs/>
          <w:color w:val="000000" w:themeColor="text1"/>
        </w:rPr>
        <w:t xml:space="preserve">Information, Communication </w:t>
      </w:r>
      <w:r>
        <w:rPr>
          <w:i/>
          <w:iCs/>
          <w:color w:val="000000" w:themeColor="text1"/>
        </w:rPr>
        <w:t>and</w:t>
      </w:r>
      <w:r w:rsidRPr="00531B5E">
        <w:rPr>
          <w:i/>
          <w:iCs/>
          <w:color w:val="000000" w:themeColor="text1"/>
        </w:rPr>
        <w:t xml:space="preserve"> Society</w:t>
      </w:r>
      <w:r w:rsidRPr="00531B5E">
        <w:rPr>
          <w:color w:val="000000" w:themeColor="text1"/>
        </w:rPr>
        <w:t>, </w:t>
      </w:r>
      <w:r w:rsidRPr="00531B5E">
        <w:rPr>
          <w:i/>
          <w:iCs/>
          <w:color w:val="000000" w:themeColor="text1"/>
        </w:rPr>
        <w:t>22</w:t>
      </w:r>
      <w:r w:rsidRPr="00531B5E">
        <w:rPr>
          <w:color w:val="000000" w:themeColor="text1"/>
        </w:rPr>
        <w:t>(9), 1212-1229.</w:t>
      </w:r>
    </w:p>
    <w:p w14:paraId="34909834" w14:textId="77777777" w:rsidR="001F4649" w:rsidRPr="00531B5E" w:rsidRDefault="001F4649" w:rsidP="00D05FD0">
      <w:pPr>
        <w:shd w:val="clear" w:color="auto" w:fill="FFFFFF" w:themeFill="background1"/>
        <w:spacing w:line="360" w:lineRule="auto"/>
        <w:ind w:left="720" w:hanging="720"/>
        <w:jc w:val="both"/>
      </w:pPr>
      <w:bookmarkStart w:id="28" w:name="_Hlk199355676"/>
      <w:r w:rsidRPr="00531B5E">
        <w:t>Simonetti</w:t>
      </w:r>
      <w:bookmarkEnd w:id="28"/>
      <w:r w:rsidRPr="00531B5E">
        <w:t xml:space="preserve">, A., </w:t>
      </w:r>
      <w:proofErr w:type="spellStart"/>
      <w:r w:rsidRPr="00531B5E">
        <w:t>Bigne</w:t>
      </w:r>
      <w:proofErr w:type="spellEnd"/>
      <w:r w:rsidRPr="00531B5E">
        <w:t xml:space="preserve">, E., </w:t>
      </w:r>
      <w:r>
        <w:t>and</w:t>
      </w:r>
      <w:r w:rsidRPr="00531B5E">
        <w:t xml:space="preserve"> Navas, L. F. R. (2025). Consumer brand choice in the metaverse: Exploring personal and social factors. </w:t>
      </w:r>
      <w:r w:rsidRPr="00531B5E">
        <w:rPr>
          <w:i/>
          <w:iCs/>
        </w:rPr>
        <w:t>Technological Forecasting and Social Change</w:t>
      </w:r>
      <w:r w:rsidRPr="00531B5E">
        <w:t>, </w:t>
      </w:r>
      <w:r w:rsidRPr="00531B5E">
        <w:rPr>
          <w:i/>
          <w:iCs/>
        </w:rPr>
        <w:t>213</w:t>
      </w:r>
      <w:r w:rsidRPr="00531B5E">
        <w:t>, 124033.</w:t>
      </w:r>
    </w:p>
    <w:p w14:paraId="2A2BCD39" w14:textId="77777777" w:rsidR="001F4649" w:rsidRPr="00531B5E" w:rsidRDefault="001F4649" w:rsidP="00D05FD0">
      <w:pPr>
        <w:shd w:val="clear" w:color="auto" w:fill="FFFFFF" w:themeFill="background1"/>
        <w:spacing w:line="360" w:lineRule="auto"/>
        <w:ind w:left="720" w:hanging="720"/>
        <w:jc w:val="both"/>
      </w:pPr>
      <w:bookmarkStart w:id="29" w:name="_Hlk199329402"/>
      <w:r w:rsidRPr="00531B5E">
        <w:t xml:space="preserve">Soltani </w:t>
      </w:r>
      <w:bookmarkEnd w:id="29"/>
      <w:r w:rsidRPr="00531B5E">
        <w:t xml:space="preserve">Nejad, N., Rastegar, R., </w:t>
      </w:r>
      <w:r>
        <w:t>and</w:t>
      </w:r>
      <w:r w:rsidRPr="00531B5E">
        <w:t xml:space="preserve"> Jahanshahi, M. (2024). Tourist engagement with mobile apps of E-leisure: a combined model of self-determination theory and technology acceptance model. </w:t>
      </w:r>
      <w:r w:rsidRPr="00531B5E">
        <w:rPr>
          <w:i/>
          <w:iCs/>
        </w:rPr>
        <w:t>Tourism Recreation Research</w:t>
      </w:r>
      <w:r w:rsidRPr="00531B5E">
        <w:t>, </w:t>
      </w:r>
      <w:r w:rsidRPr="00531B5E">
        <w:rPr>
          <w:i/>
          <w:iCs/>
        </w:rPr>
        <w:t>49</w:t>
      </w:r>
      <w:r w:rsidRPr="00531B5E">
        <w:t>(4), 714-725.</w:t>
      </w:r>
    </w:p>
    <w:p w14:paraId="6D6CBE60" w14:textId="77777777" w:rsidR="001F4649" w:rsidRPr="001F4649" w:rsidRDefault="001F4649" w:rsidP="001F4649">
      <w:pPr>
        <w:shd w:val="clear" w:color="auto" w:fill="FFFFFF" w:themeFill="background1"/>
        <w:spacing w:line="360" w:lineRule="auto"/>
        <w:ind w:left="720" w:hanging="720"/>
        <w:jc w:val="both"/>
      </w:pPr>
      <w:r w:rsidRPr="001F4649">
        <w:t xml:space="preserve">Statista. (2025). </w:t>
      </w:r>
      <w:r w:rsidRPr="001F4649">
        <w:rPr>
          <w:i/>
          <w:iCs/>
        </w:rPr>
        <w:t>Metaverse — India: Market forecast</w:t>
      </w:r>
      <w:r w:rsidRPr="001F4649">
        <w:t xml:space="preserve">. Statista Market Insights. Retrieved March 21, 2026, from </w:t>
      </w:r>
      <w:hyperlink r:id="rId19" w:history="1">
        <w:r w:rsidRPr="001F4649">
          <w:t>https://www.statista.com/outlook/amo/metaverse/india</w:t>
        </w:r>
      </w:hyperlink>
    </w:p>
    <w:p w14:paraId="7FD04B54" w14:textId="77777777" w:rsidR="001F4649" w:rsidRPr="00531B5E" w:rsidRDefault="001F4649" w:rsidP="00D05FD0">
      <w:pPr>
        <w:shd w:val="clear" w:color="auto" w:fill="FFFFFF" w:themeFill="background1"/>
        <w:spacing w:line="360" w:lineRule="auto"/>
        <w:ind w:left="720" w:hanging="720"/>
        <w:jc w:val="both"/>
      </w:pPr>
      <w:bookmarkStart w:id="30" w:name="_Hlk199420459"/>
      <w:r w:rsidRPr="00531B5E">
        <w:t>Su</w:t>
      </w:r>
      <w:bookmarkEnd w:id="30"/>
      <w:r w:rsidRPr="00531B5E">
        <w:t xml:space="preserve">, L., Monga, A. S. B., </w:t>
      </w:r>
      <w:r>
        <w:t>and</w:t>
      </w:r>
      <w:r w:rsidRPr="00531B5E">
        <w:t xml:space="preserve"> Jiang, Y. (2021). How life-role transitions shape consumer responses to brand extensions. </w:t>
      </w:r>
      <w:r w:rsidRPr="00531B5E">
        <w:rPr>
          <w:i/>
          <w:iCs/>
        </w:rPr>
        <w:t>Journal of Marketing Research</w:t>
      </w:r>
      <w:r w:rsidRPr="00531B5E">
        <w:t>, </w:t>
      </w:r>
      <w:r w:rsidRPr="00531B5E">
        <w:rPr>
          <w:i/>
          <w:iCs/>
        </w:rPr>
        <w:t>58</w:t>
      </w:r>
      <w:r w:rsidRPr="00531B5E">
        <w:t>(3), 579-594.</w:t>
      </w:r>
    </w:p>
    <w:p w14:paraId="74E6C947" w14:textId="77777777" w:rsidR="001F4649" w:rsidRPr="00531B5E" w:rsidRDefault="001F4649" w:rsidP="00D05FD0">
      <w:pPr>
        <w:shd w:val="clear" w:color="auto" w:fill="FFFFFF" w:themeFill="background1"/>
        <w:spacing w:line="360" w:lineRule="auto"/>
        <w:ind w:left="720" w:hanging="720"/>
        <w:jc w:val="both"/>
      </w:pPr>
      <w:bookmarkStart w:id="31" w:name="_Hlk199425418"/>
      <w:r w:rsidRPr="00531B5E">
        <w:t xml:space="preserve">Takano, M., </w:t>
      </w:r>
      <w:r>
        <w:t>and</w:t>
      </w:r>
      <w:r w:rsidRPr="00531B5E">
        <w:t xml:space="preserve"> Taka, F. (2022)</w:t>
      </w:r>
      <w:bookmarkEnd w:id="31"/>
      <w:r w:rsidRPr="00531B5E">
        <w:t xml:space="preserve">. Fancy avatar identification and </w:t>
      </w:r>
      <w:proofErr w:type="spellStart"/>
      <w:r w:rsidRPr="00531B5E">
        <w:t>behaviors</w:t>
      </w:r>
      <w:proofErr w:type="spellEnd"/>
      <w:r w:rsidRPr="00531B5E">
        <w:t xml:space="preserve"> in the virtual world: Preceding avatar customization and succeeding communication. </w:t>
      </w:r>
      <w:r w:rsidRPr="00531B5E">
        <w:rPr>
          <w:i/>
          <w:iCs/>
        </w:rPr>
        <w:t xml:space="preserve">Computers in Human </w:t>
      </w:r>
      <w:proofErr w:type="spellStart"/>
      <w:r w:rsidRPr="00531B5E">
        <w:rPr>
          <w:i/>
          <w:iCs/>
        </w:rPr>
        <w:t>Behavior</w:t>
      </w:r>
      <w:proofErr w:type="spellEnd"/>
      <w:r w:rsidRPr="00531B5E">
        <w:rPr>
          <w:i/>
          <w:iCs/>
        </w:rPr>
        <w:t xml:space="preserve"> Reports</w:t>
      </w:r>
      <w:r w:rsidRPr="00531B5E">
        <w:t>, </w:t>
      </w:r>
      <w:r w:rsidRPr="00531B5E">
        <w:rPr>
          <w:i/>
          <w:iCs/>
        </w:rPr>
        <w:t>6</w:t>
      </w:r>
      <w:r w:rsidRPr="00531B5E">
        <w:t>, 100176.</w:t>
      </w:r>
    </w:p>
    <w:p w14:paraId="54C49B0F" w14:textId="77777777" w:rsidR="001F4649" w:rsidRDefault="001F4649" w:rsidP="00D05FD0">
      <w:pPr>
        <w:shd w:val="clear" w:color="auto" w:fill="FFFFFF" w:themeFill="background1"/>
        <w:spacing w:line="360" w:lineRule="auto"/>
        <w:ind w:left="720" w:hanging="720"/>
        <w:jc w:val="both"/>
      </w:pPr>
      <w:bookmarkStart w:id="32" w:name="_Hlk199421848"/>
      <w:proofErr w:type="spellStart"/>
      <w:r w:rsidRPr="00531B5E">
        <w:t>Thaichon</w:t>
      </w:r>
      <w:bookmarkEnd w:id="32"/>
      <w:proofErr w:type="spellEnd"/>
      <w:r w:rsidRPr="00531B5E">
        <w:t xml:space="preserve">, P., </w:t>
      </w:r>
      <w:proofErr w:type="spellStart"/>
      <w:r w:rsidRPr="00531B5E">
        <w:t>Phau</w:t>
      </w:r>
      <w:proofErr w:type="spellEnd"/>
      <w:r w:rsidRPr="00531B5E">
        <w:t xml:space="preserve">, I., </w:t>
      </w:r>
      <w:r>
        <w:t>and</w:t>
      </w:r>
      <w:r w:rsidRPr="00531B5E">
        <w:t xml:space="preserve"> </w:t>
      </w:r>
      <w:proofErr w:type="spellStart"/>
      <w:r w:rsidRPr="00531B5E">
        <w:t>Weaven</w:t>
      </w:r>
      <w:proofErr w:type="spellEnd"/>
      <w:r w:rsidRPr="00531B5E">
        <w:t>, S. (2022). Moving from multi-channel to Omni-channel retailing: Special issue introduction. </w:t>
      </w:r>
      <w:r w:rsidRPr="00531B5E">
        <w:rPr>
          <w:i/>
          <w:iCs/>
        </w:rPr>
        <w:t>Journal of Retailing and Consumer Services</w:t>
      </w:r>
      <w:r w:rsidRPr="00531B5E">
        <w:t>, </w:t>
      </w:r>
      <w:r w:rsidRPr="00531B5E">
        <w:rPr>
          <w:i/>
          <w:iCs/>
        </w:rPr>
        <w:t>65</w:t>
      </w:r>
      <w:r w:rsidRPr="00531B5E">
        <w:t>, 102311.</w:t>
      </w:r>
    </w:p>
    <w:p w14:paraId="157D6871" w14:textId="77777777" w:rsidR="001F4649" w:rsidRPr="00531B5E" w:rsidRDefault="001F4649" w:rsidP="00A12512">
      <w:pPr>
        <w:shd w:val="clear" w:color="auto" w:fill="FFFFFF" w:themeFill="background1"/>
        <w:spacing w:line="360" w:lineRule="auto"/>
        <w:ind w:left="720" w:hanging="720"/>
        <w:jc w:val="both"/>
      </w:pPr>
      <w:r w:rsidRPr="00A12512">
        <w:t xml:space="preserve">Thorndike, R. M. (1995). Book Review : Psychometric Theory (3rd ed.) by Jum Nunnally and Ira Bernstein New York: McGraw-Hill, 1994, xxiv + 752 pp. </w:t>
      </w:r>
      <w:r w:rsidRPr="00A12512">
        <w:rPr>
          <w:i/>
          <w:iCs/>
        </w:rPr>
        <w:t>Applied Psychological Measurement</w:t>
      </w:r>
      <w:r w:rsidRPr="00A12512">
        <w:t xml:space="preserve">, </w:t>
      </w:r>
      <w:r w:rsidRPr="00A12512">
        <w:rPr>
          <w:i/>
          <w:iCs/>
        </w:rPr>
        <w:t>19</w:t>
      </w:r>
      <w:r w:rsidRPr="00A12512">
        <w:t>(3), 303-305</w:t>
      </w:r>
      <w:r>
        <w:t>.</w:t>
      </w:r>
    </w:p>
    <w:p w14:paraId="071C704D" w14:textId="77777777" w:rsidR="001F4649" w:rsidRPr="001F4649" w:rsidRDefault="001F4649" w:rsidP="001F4649">
      <w:pPr>
        <w:shd w:val="clear" w:color="auto" w:fill="FFFFFF" w:themeFill="background1"/>
        <w:spacing w:line="360" w:lineRule="auto"/>
        <w:ind w:left="720" w:hanging="720"/>
        <w:jc w:val="both"/>
      </w:pPr>
      <w:r w:rsidRPr="001F4649">
        <w:t xml:space="preserve">Verma, S. (2024). </w:t>
      </w:r>
      <w:r w:rsidRPr="001F4649">
        <w:rPr>
          <w:i/>
          <w:iCs/>
        </w:rPr>
        <w:t>India metaverse market outlook to 2030</w:t>
      </w:r>
      <w:r w:rsidRPr="001F4649">
        <w:t xml:space="preserve"> (Report No. KROD1819). Ken Research Private Limited. Retrieved March 21, 2026, from </w:t>
      </w:r>
      <w:hyperlink r:id="rId20" w:history="1">
        <w:r w:rsidRPr="001F4649">
          <w:t>https://www.kenresearch.com/industry-reports/india-metaverse-market</w:t>
        </w:r>
      </w:hyperlink>
    </w:p>
    <w:p w14:paraId="690CE4C1" w14:textId="77777777" w:rsidR="001F4649" w:rsidRPr="00531B5E" w:rsidRDefault="001F4649" w:rsidP="00D05FD0">
      <w:pPr>
        <w:shd w:val="clear" w:color="auto" w:fill="FFFFFF" w:themeFill="background1"/>
        <w:spacing w:line="360" w:lineRule="auto"/>
        <w:ind w:left="720" w:hanging="720"/>
        <w:jc w:val="both"/>
      </w:pPr>
      <w:bookmarkStart w:id="33" w:name="_Hlk199323672"/>
      <w:r w:rsidRPr="00531B5E">
        <w:t>Vo</w:t>
      </w:r>
      <w:bookmarkEnd w:id="33"/>
      <w:r w:rsidRPr="00531B5E">
        <w:t xml:space="preserve">, T. H., Wei‐Han Tan, G., Pham, N. T., Truong, T. H. D., </w:t>
      </w:r>
      <w:r>
        <w:t>and</w:t>
      </w:r>
      <w:r w:rsidRPr="00531B5E">
        <w:t xml:space="preserve"> Ooi, K. B. (2025). Promoting customer engagement and brand loyalty on social media: The role of virtual influencers. </w:t>
      </w:r>
      <w:r w:rsidRPr="00531B5E">
        <w:rPr>
          <w:i/>
          <w:iCs/>
        </w:rPr>
        <w:t>International Journal of Consumer Studies</w:t>
      </w:r>
      <w:r w:rsidRPr="00531B5E">
        <w:t>, </w:t>
      </w:r>
      <w:r w:rsidRPr="00531B5E">
        <w:rPr>
          <w:i/>
          <w:iCs/>
        </w:rPr>
        <w:t>49</w:t>
      </w:r>
      <w:r w:rsidRPr="00531B5E">
        <w:t>(2), e70028.</w:t>
      </w:r>
    </w:p>
    <w:p w14:paraId="2EB0B574"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4" w:name="_Hlk199355812"/>
      <w:r w:rsidRPr="00531B5E">
        <w:rPr>
          <w:color w:val="000000" w:themeColor="text1"/>
        </w:rPr>
        <w:t>Wang</w:t>
      </w:r>
      <w:bookmarkEnd w:id="34"/>
      <w:r w:rsidRPr="00531B5E">
        <w:rPr>
          <w:color w:val="000000" w:themeColor="text1"/>
        </w:rPr>
        <w:t xml:space="preserve">, X., Sung, B., </w:t>
      </w:r>
      <w:r>
        <w:rPr>
          <w:color w:val="000000" w:themeColor="text1"/>
        </w:rPr>
        <w:t>and</w:t>
      </w:r>
      <w:r w:rsidRPr="00531B5E">
        <w:rPr>
          <w:color w:val="000000" w:themeColor="text1"/>
        </w:rPr>
        <w:t xml:space="preserve"> </w:t>
      </w:r>
      <w:proofErr w:type="spellStart"/>
      <w:r w:rsidRPr="00531B5E">
        <w:rPr>
          <w:color w:val="000000" w:themeColor="text1"/>
        </w:rPr>
        <w:t>Phau</w:t>
      </w:r>
      <w:proofErr w:type="spellEnd"/>
      <w:r w:rsidRPr="00531B5E">
        <w:rPr>
          <w:color w:val="000000" w:themeColor="text1"/>
        </w:rPr>
        <w:t>, I. (2024). How rarity and exclusivity influence types of perceived value for luxury. </w:t>
      </w:r>
      <w:r w:rsidRPr="00531B5E">
        <w:rPr>
          <w:i/>
          <w:iCs/>
          <w:color w:val="000000" w:themeColor="text1"/>
        </w:rPr>
        <w:t>Journal of Brand Management</w:t>
      </w:r>
      <w:r w:rsidRPr="00531B5E">
        <w:rPr>
          <w:color w:val="000000" w:themeColor="text1"/>
        </w:rPr>
        <w:t>, </w:t>
      </w:r>
      <w:r w:rsidRPr="00531B5E">
        <w:rPr>
          <w:i/>
          <w:iCs/>
          <w:color w:val="000000" w:themeColor="text1"/>
        </w:rPr>
        <w:t>31</w:t>
      </w:r>
      <w:r w:rsidRPr="00531B5E">
        <w:rPr>
          <w:color w:val="000000" w:themeColor="text1"/>
        </w:rPr>
        <w:t>(6), 576-592.</w:t>
      </w:r>
    </w:p>
    <w:p w14:paraId="4C2DE7D9"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lastRenderedPageBreak/>
        <w:t>Wiertz</w:t>
      </w:r>
      <w:proofErr w:type="spellEnd"/>
      <w:r w:rsidRPr="00531B5E">
        <w:rPr>
          <w:color w:val="000000" w:themeColor="text1"/>
        </w:rPr>
        <w:t>, C., and De Ruyter, K. (2007). Beyond The Call of Duty: Why Customers Contribute to Firm-Hosted Commercial Online Communities. </w:t>
      </w:r>
      <w:r w:rsidRPr="00531B5E">
        <w:rPr>
          <w:i/>
          <w:iCs/>
          <w:color w:val="000000" w:themeColor="text1"/>
        </w:rPr>
        <w:t>Organization Studies</w:t>
      </w:r>
      <w:r w:rsidRPr="00531B5E">
        <w:rPr>
          <w:color w:val="000000" w:themeColor="text1"/>
        </w:rPr>
        <w:t>, 28(3), 347-376.</w:t>
      </w:r>
    </w:p>
    <w:p w14:paraId="18245F54" w14:textId="77777777" w:rsidR="001F4649" w:rsidRPr="00DA27CD" w:rsidRDefault="001F4649" w:rsidP="00DA27CD">
      <w:pPr>
        <w:spacing w:before="157" w:after="157" w:line="360" w:lineRule="auto"/>
        <w:ind w:left="720" w:hanging="720"/>
        <w:rPr>
          <w:rFonts w:eastAsia="inter"/>
          <w:bCs/>
          <w:color w:val="000000"/>
          <w:sz w:val="22"/>
        </w:rPr>
      </w:pPr>
      <w:bookmarkStart w:id="35" w:name="_Hlk207269373"/>
      <w:r w:rsidRPr="00DA27CD">
        <w:rPr>
          <w:rFonts w:eastAsia="inter"/>
          <w:bCs/>
          <w:color w:val="000000"/>
          <w:sz w:val="22"/>
        </w:rPr>
        <w:t>Wu</w:t>
      </w:r>
      <w:bookmarkEnd w:id="35"/>
      <w:r w:rsidRPr="00DA27CD">
        <w:rPr>
          <w:rFonts w:eastAsia="inter"/>
          <w:bCs/>
          <w:color w:val="000000"/>
          <w:sz w:val="22"/>
        </w:rPr>
        <w:t xml:space="preserve">, Y.-Y., Batool, H., </w:t>
      </w:r>
      <w:r>
        <w:rPr>
          <w:rFonts w:eastAsia="inter"/>
          <w:bCs/>
          <w:color w:val="000000"/>
          <w:sz w:val="22"/>
        </w:rPr>
        <w:t>and</w:t>
      </w:r>
      <w:r w:rsidRPr="00DA27CD">
        <w:rPr>
          <w:rFonts w:eastAsia="inter"/>
          <w:bCs/>
          <w:color w:val="000000"/>
          <w:sz w:val="22"/>
        </w:rPr>
        <w:t xml:space="preserve"> Yang, Y.-J. (2024). Relationship between the Characteristics of e-Commerce Live Streaming and Purchase Intentions: Moderating Effect of Hedonistic Shopping Value. </w:t>
      </w:r>
      <w:r w:rsidRPr="00DA27CD">
        <w:rPr>
          <w:rFonts w:eastAsia="inter"/>
          <w:bCs/>
          <w:i/>
          <w:iCs/>
          <w:color w:val="000000"/>
          <w:sz w:val="22"/>
        </w:rPr>
        <w:t>Emerging Science Journal</w:t>
      </w:r>
      <w:r w:rsidRPr="00DA27CD">
        <w:rPr>
          <w:rFonts w:eastAsia="inter"/>
          <w:bCs/>
          <w:color w:val="000000"/>
          <w:sz w:val="22"/>
        </w:rPr>
        <w:t>, </w:t>
      </w:r>
      <w:r w:rsidRPr="00DA27CD">
        <w:rPr>
          <w:rFonts w:eastAsia="inter"/>
          <w:bCs/>
          <w:i/>
          <w:iCs/>
          <w:color w:val="000000"/>
          <w:sz w:val="22"/>
        </w:rPr>
        <w:t>8</w:t>
      </w:r>
      <w:r w:rsidRPr="00DA27CD">
        <w:rPr>
          <w:rFonts w:eastAsia="inter"/>
          <w:bCs/>
          <w:color w:val="000000"/>
          <w:sz w:val="22"/>
        </w:rPr>
        <w:t>(3), 1097–1117.</w:t>
      </w:r>
    </w:p>
    <w:p w14:paraId="4669D7C8" w14:textId="77777777" w:rsidR="001F4649" w:rsidRPr="00531B5E" w:rsidRDefault="001F4649" w:rsidP="00D05FD0">
      <w:pPr>
        <w:shd w:val="clear" w:color="auto" w:fill="FFFFFF" w:themeFill="background1"/>
        <w:spacing w:line="360" w:lineRule="auto"/>
        <w:ind w:left="720" w:hanging="720"/>
        <w:jc w:val="both"/>
      </w:pPr>
      <w:bookmarkStart w:id="36" w:name="_Hlk199355648"/>
      <w:r w:rsidRPr="00531B5E">
        <w:t>Xie</w:t>
      </w:r>
      <w:bookmarkEnd w:id="36"/>
      <w:r w:rsidRPr="00531B5E">
        <w:t xml:space="preserve">, Q., Muralidharan, S., </w:t>
      </w:r>
      <w:r>
        <w:t>and</w:t>
      </w:r>
      <w:r w:rsidRPr="00531B5E">
        <w:t xml:space="preserve"> Edwards, S. M. (2024). Who will buy the idea of non-fungible token (NFT) marketing? Understanding consumers’ psychological tendencies and value perceptions of branded NFTs. </w:t>
      </w:r>
      <w:r w:rsidRPr="00531B5E">
        <w:rPr>
          <w:i/>
          <w:iCs/>
        </w:rPr>
        <w:t>International Journal of Advertising</w:t>
      </w:r>
      <w:r w:rsidRPr="00531B5E">
        <w:t>, </w:t>
      </w:r>
      <w:r w:rsidRPr="00531B5E">
        <w:rPr>
          <w:i/>
          <w:iCs/>
        </w:rPr>
        <w:t>43</w:t>
      </w:r>
      <w:r w:rsidRPr="00531B5E">
        <w:t>(6), 987-1015.</w:t>
      </w:r>
    </w:p>
    <w:p w14:paraId="6587EB52" w14:textId="77777777" w:rsidR="001F4649" w:rsidRPr="00531B5E" w:rsidRDefault="001F4649" w:rsidP="00D05FD0">
      <w:pPr>
        <w:shd w:val="clear" w:color="auto" w:fill="FFFFFF" w:themeFill="background1"/>
        <w:spacing w:line="360" w:lineRule="auto"/>
        <w:ind w:left="720" w:hanging="720"/>
        <w:jc w:val="both"/>
      </w:pPr>
      <w:r w:rsidRPr="00531B5E">
        <w:t xml:space="preserve">Xie, Q., Muralidharan, S., Edwards, S. M., </w:t>
      </w:r>
      <w:r>
        <w:t>and</w:t>
      </w:r>
      <w:r w:rsidRPr="00531B5E">
        <w:t xml:space="preserve"> La </w:t>
      </w:r>
      <w:proofErr w:type="spellStart"/>
      <w:r w:rsidRPr="00531B5E">
        <w:t>Ferle</w:t>
      </w:r>
      <w:proofErr w:type="spellEnd"/>
      <w:r w:rsidRPr="00531B5E">
        <w:t>, C. (2023). Unlocking the power of non-fungible token (NFT) marketing: How NFT perceptions foster brand loyalty and purchase intention among millennials and Gen-Z. </w:t>
      </w:r>
      <w:r w:rsidRPr="00531B5E">
        <w:rPr>
          <w:i/>
          <w:iCs/>
        </w:rPr>
        <w:t>Journal of Interactive Advertising</w:t>
      </w:r>
      <w:r w:rsidRPr="00531B5E">
        <w:t>, </w:t>
      </w:r>
      <w:r w:rsidRPr="00531B5E">
        <w:rPr>
          <w:i/>
          <w:iCs/>
        </w:rPr>
        <w:t>23</w:t>
      </w:r>
      <w:r w:rsidRPr="00531B5E">
        <w:t>(4), 356-373.</w:t>
      </w:r>
    </w:p>
    <w:p w14:paraId="2A5B9690"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7" w:name="_Hlk199402959"/>
      <w:r w:rsidRPr="00531B5E">
        <w:rPr>
          <w:color w:val="000000" w:themeColor="text1"/>
        </w:rPr>
        <w:t>Xu</w:t>
      </w:r>
      <w:bookmarkEnd w:id="37"/>
      <w:r w:rsidRPr="00531B5E">
        <w:rPr>
          <w:color w:val="000000" w:themeColor="text1"/>
        </w:rPr>
        <w:t xml:space="preserve">, S., Bauman, M. J., Ponting, S. S. A., </w:t>
      </w:r>
      <w:proofErr w:type="spellStart"/>
      <w:r w:rsidRPr="00531B5E">
        <w:rPr>
          <w:color w:val="000000" w:themeColor="text1"/>
        </w:rPr>
        <w:t>Slevitch</w:t>
      </w:r>
      <w:proofErr w:type="spellEnd"/>
      <w:r w:rsidRPr="00531B5E">
        <w:rPr>
          <w:color w:val="000000" w:themeColor="text1"/>
        </w:rPr>
        <w:t xml:space="preserve">, L., Webster, C., </w:t>
      </w:r>
      <w:r>
        <w:rPr>
          <w:color w:val="000000" w:themeColor="text1"/>
        </w:rPr>
        <w:t>and</w:t>
      </w:r>
      <w:r w:rsidRPr="00531B5E">
        <w:rPr>
          <w:color w:val="000000" w:themeColor="text1"/>
        </w:rPr>
        <w:t xml:space="preserve"> Kirillova, K. (2024). </w:t>
      </w:r>
      <w:proofErr w:type="spellStart"/>
      <w:r w:rsidRPr="00531B5E">
        <w:rPr>
          <w:color w:val="000000" w:themeColor="text1"/>
        </w:rPr>
        <w:t>Neolocalism</w:t>
      </w:r>
      <w:proofErr w:type="spellEnd"/>
      <w:r w:rsidRPr="00531B5E">
        <w:rPr>
          <w:color w:val="000000" w:themeColor="text1"/>
        </w:rPr>
        <w:t xml:space="preserve"> of craft brewery experience: Scale development and validation study. </w:t>
      </w:r>
      <w:r w:rsidRPr="00531B5E">
        <w:rPr>
          <w:i/>
          <w:iCs/>
          <w:color w:val="000000" w:themeColor="text1"/>
        </w:rPr>
        <w:t>International Journal of Hospitality Management</w:t>
      </w:r>
      <w:r w:rsidRPr="00531B5E">
        <w:rPr>
          <w:color w:val="000000" w:themeColor="text1"/>
        </w:rPr>
        <w:t>, </w:t>
      </w:r>
      <w:r w:rsidRPr="00531B5E">
        <w:rPr>
          <w:i/>
          <w:iCs/>
          <w:color w:val="000000" w:themeColor="text1"/>
        </w:rPr>
        <w:t>120</w:t>
      </w:r>
      <w:r w:rsidRPr="00531B5E">
        <w:rPr>
          <w:color w:val="000000" w:themeColor="text1"/>
        </w:rPr>
        <w:t>, 103787.</w:t>
      </w:r>
    </w:p>
    <w:p w14:paraId="16ABC9C3"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Zallio</w:t>
      </w:r>
      <w:proofErr w:type="spellEnd"/>
      <w:r w:rsidRPr="00531B5E">
        <w:rPr>
          <w:color w:val="000000" w:themeColor="text1"/>
        </w:rPr>
        <w:t xml:space="preserve">, M., </w:t>
      </w:r>
      <w:r>
        <w:rPr>
          <w:color w:val="000000" w:themeColor="text1"/>
        </w:rPr>
        <w:t>and</w:t>
      </w:r>
      <w:r w:rsidRPr="00531B5E">
        <w:rPr>
          <w:color w:val="000000" w:themeColor="text1"/>
        </w:rPr>
        <w:t xml:space="preserve"> Clarkson, P. J. (2022). Designing the metaverse: A study on inclusion, diversity, equity, accessibility and safety for digital immersive environments. </w:t>
      </w:r>
      <w:r w:rsidRPr="00531B5E">
        <w:rPr>
          <w:i/>
          <w:iCs/>
          <w:color w:val="000000" w:themeColor="text1"/>
        </w:rPr>
        <w:t>Telematics and Informatics</w:t>
      </w:r>
      <w:r w:rsidRPr="00531B5E">
        <w:rPr>
          <w:color w:val="000000" w:themeColor="text1"/>
        </w:rPr>
        <w:t>, 75, 101909.</w:t>
      </w:r>
    </w:p>
    <w:p w14:paraId="57680133"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8" w:name="_Hlk199354713"/>
      <w:r w:rsidRPr="00531B5E">
        <w:rPr>
          <w:color w:val="000000" w:themeColor="text1"/>
        </w:rPr>
        <w:t>Zhang</w:t>
      </w:r>
      <w:bookmarkEnd w:id="38"/>
      <w:r w:rsidRPr="00531B5E">
        <w:rPr>
          <w:color w:val="000000" w:themeColor="text1"/>
        </w:rPr>
        <w:t xml:space="preserve">, B., </w:t>
      </w:r>
      <w:bookmarkStart w:id="39" w:name="_Hlk207148843"/>
      <w:r w:rsidRPr="00531B5E">
        <w:rPr>
          <w:color w:val="000000" w:themeColor="text1"/>
        </w:rPr>
        <w:t>Peng</w:t>
      </w:r>
      <w:bookmarkEnd w:id="39"/>
      <w:r w:rsidRPr="00531B5E">
        <w:rPr>
          <w:color w:val="000000" w:themeColor="text1"/>
        </w:rPr>
        <w:t xml:space="preserve">, G., Liu, C., Zhang, Z. J., </w:t>
      </w:r>
      <w:r>
        <w:rPr>
          <w:color w:val="000000" w:themeColor="text1"/>
        </w:rPr>
        <w:t>and</w:t>
      </w:r>
      <w:r w:rsidRPr="00531B5E">
        <w:rPr>
          <w:color w:val="000000" w:themeColor="text1"/>
        </w:rPr>
        <w:t xml:space="preserve"> </w:t>
      </w:r>
      <w:proofErr w:type="spellStart"/>
      <w:r w:rsidRPr="00531B5E">
        <w:rPr>
          <w:color w:val="000000" w:themeColor="text1"/>
        </w:rPr>
        <w:t>Jasimuddin</w:t>
      </w:r>
      <w:proofErr w:type="spellEnd"/>
      <w:r w:rsidRPr="00531B5E">
        <w:rPr>
          <w:color w:val="000000" w:themeColor="text1"/>
        </w:rPr>
        <w:t>, S. M. (2022). Adaptation behaviour in using one-stop smart governance apps: an exploratory study between digital immigrants and digital natives. </w:t>
      </w:r>
      <w:r w:rsidRPr="00531B5E">
        <w:rPr>
          <w:i/>
          <w:iCs/>
          <w:color w:val="000000" w:themeColor="text1"/>
        </w:rPr>
        <w:t>Electronic Markets</w:t>
      </w:r>
      <w:r w:rsidRPr="00531B5E">
        <w:rPr>
          <w:color w:val="000000" w:themeColor="text1"/>
        </w:rPr>
        <w:t>, </w:t>
      </w:r>
      <w:r w:rsidRPr="00531B5E">
        <w:rPr>
          <w:i/>
          <w:iCs/>
          <w:color w:val="000000" w:themeColor="text1"/>
        </w:rPr>
        <w:t>32</w:t>
      </w:r>
      <w:r w:rsidRPr="00531B5E">
        <w:rPr>
          <w:color w:val="000000" w:themeColor="text1"/>
        </w:rPr>
        <w:t>(4), 1971-1991.</w:t>
      </w:r>
    </w:p>
    <w:p w14:paraId="4C02E6AE" w14:textId="77777777" w:rsidR="001F4649" w:rsidRDefault="001F4649" w:rsidP="008F0D46">
      <w:pPr>
        <w:shd w:val="clear" w:color="auto" w:fill="FFFFFF" w:themeFill="background1"/>
        <w:spacing w:line="360" w:lineRule="auto"/>
        <w:ind w:left="720" w:hanging="720"/>
        <w:jc w:val="both"/>
        <w:rPr>
          <w:color w:val="000000" w:themeColor="text1"/>
        </w:rPr>
      </w:pPr>
      <w:bookmarkStart w:id="40" w:name="_Hlk199359872"/>
      <w:r w:rsidRPr="00531B5E">
        <w:rPr>
          <w:color w:val="000000" w:themeColor="text1"/>
        </w:rPr>
        <w:t>Zhang</w:t>
      </w:r>
      <w:bookmarkEnd w:id="40"/>
      <w:r w:rsidRPr="00531B5E">
        <w:rPr>
          <w:color w:val="000000" w:themeColor="text1"/>
        </w:rPr>
        <w:t xml:space="preserve">, L., Anjum, M. A., </w:t>
      </w:r>
      <w:r>
        <w:rPr>
          <w:color w:val="000000" w:themeColor="text1"/>
        </w:rPr>
        <w:t>and</w:t>
      </w:r>
      <w:r w:rsidRPr="00531B5E">
        <w:rPr>
          <w:color w:val="000000" w:themeColor="text1"/>
        </w:rPr>
        <w:t xml:space="preserve"> Wang, Y. (2024). The impact of trust-building mechanisms on purchase intention towards metaverse shopping: the moderating role of age. </w:t>
      </w:r>
      <w:r w:rsidRPr="00531B5E">
        <w:rPr>
          <w:i/>
          <w:iCs/>
          <w:color w:val="000000" w:themeColor="text1"/>
        </w:rPr>
        <w:t>International Journal of Human–Computer Interaction</w:t>
      </w:r>
      <w:r w:rsidRPr="00531B5E">
        <w:rPr>
          <w:color w:val="000000" w:themeColor="text1"/>
        </w:rPr>
        <w:t>, </w:t>
      </w:r>
      <w:r w:rsidRPr="00531B5E">
        <w:rPr>
          <w:i/>
          <w:iCs/>
          <w:color w:val="000000" w:themeColor="text1"/>
        </w:rPr>
        <w:t>40</w:t>
      </w:r>
      <w:r w:rsidRPr="00531B5E">
        <w:rPr>
          <w:color w:val="000000" w:themeColor="text1"/>
        </w:rPr>
        <w:t>(12), 3185-3203.</w:t>
      </w:r>
    </w:p>
    <w:p w14:paraId="2658834B" w14:textId="77777777" w:rsidR="001F4649" w:rsidRDefault="001F4649" w:rsidP="008F0D46">
      <w:pPr>
        <w:shd w:val="clear" w:color="auto" w:fill="FFFFFF" w:themeFill="background1"/>
        <w:spacing w:line="360" w:lineRule="auto"/>
        <w:ind w:left="720" w:hanging="720"/>
        <w:jc w:val="both"/>
      </w:pPr>
      <w:r w:rsidRPr="00E11955">
        <w:t xml:space="preserve">Zhong, Z., </w:t>
      </w:r>
      <w:r>
        <w:t>and</w:t>
      </w:r>
      <w:r w:rsidRPr="00E11955">
        <w:t xml:space="preserve"> Hamouda, M. (2024). The impact of immersive and flow experiences on consumer participation in hyper‐connected shopping platforms: A metaverse perspective. </w:t>
      </w:r>
      <w:r w:rsidRPr="00E11955">
        <w:rPr>
          <w:i/>
          <w:iCs/>
        </w:rPr>
        <w:t>Journal of Consumer Behaviour</w:t>
      </w:r>
      <w:r w:rsidRPr="00E11955">
        <w:t>, </w:t>
      </w:r>
      <w:r w:rsidRPr="00E11955">
        <w:rPr>
          <w:i/>
          <w:iCs/>
        </w:rPr>
        <w:t>23</w:t>
      </w:r>
      <w:r w:rsidRPr="00E11955">
        <w:t>(6), 2826-2845.</w:t>
      </w:r>
    </w:p>
    <w:p w14:paraId="6FDA645A" w14:textId="77777777" w:rsidR="001F4649" w:rsidRPr="00D05FD0" w:rsidRDefault="001F4649" w:rsidP="00D05FD0">
      <w:pPr>
        <w:shd w:val="clear" w:color="auto" w:fill="FFFFFF" w:themeFill="background1"/>
        <w:spacing w:line="360" w:lineRule="auto"/>
        <w:ind w:left="720" w:hanging="720"/>
        <w:jc w:val="both"/>
        <w:rPr>
          <w:color w:val="000000" w:themeColor="text1"/>
        </w:rPr>
      </w:pPr>
    </w:p>
    <w:p w14:paraId="667A558C" w14:textId="77777777" w:rsidR="00BF3C3F" w:rsidRPr="00DA27CD" w:rsidRDefault="00BF3C3F" w:rsidP="00DA27CD">
      <w:pPr>
        <w:spacing w:before="157" w:after="157" w:line="360" w:lineRule="auto"/>
        <w:ind w:left="720" w:hanging="720"/>
        <w:rPr>
          <w:rFonts w:eastAsia="inter"/>
          <w:bCs/>
          <w:color w:val="000000"/>
          <w:sz w:val="22"/>
        </w:rPr>
      </w:pPr>
    </w:p>
    <w:p w14:paraId="596154E7"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ter">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4B2D"/>
    <w:rsid w:val="00006D4B"/>
    <w:rsid w:val="0001031B"/>
    <w:rsid w:val="00010551"/>
    <w:rsid w:val="00010AF7"/>
    <w:rsid w:val="000120CE"/>
    <w:rsid w:val="00023327"/>
    <w:rsid w:val="00023864"/>
    <w:rsid w:val="0002473E"/>
    <w:rsid w:val="00024B84"/>
    <w:rsid w:val="00024D9E"/>
    <w:rsid w:val="00035B4B"/>
    <w:rsid w:val="00036C1C"/>
    <w:rsid w:val="000431D0"/>
    <w:rsid w:val="000435DC"/>
    <w:rsid w:val="000461A7"/>
    <w:rsid w:val="000465B1"/>
    <w:rsid w:val="00050D91"/>
    <w:rsid w:val="00051DA0"/>
    <w:rsid w:val="0005307B"/>
    <w:rsid w:val="000545F5"/>
    <w:rsid w:val="00060722"/>
    <w:rsid w:val="0006654C"/>
    <w:rsid w:val="00082F6C"/>
    <w:rsid w:val="00085482"/>
    <w:rsid w:val="000863D4"/>
    <w:rsid w:val="00086510"/>
    <w:rsid w:val="00090895"/>
    <w:rsid w:val="00092E0B"/>
    <w:rsid w:val="000A27DB"/>
    <w:rsid w:val="000A4C93"/>
    <w:rsid w:val="000A4D33"/>
    <w:rsid w:val="000A6468"/>
    <w:rsid w:val="000B14D6"/>
    <w:rsid w:val="000C0FD6"/>
    <w:rsid w:val="000C1ECE"/>
    <w:rsid w:val="000C4B2D"/>
    <w:rsid w:val="000C6E07"/>
    <w:rsid w:val="000C745B"/>
    <w:rsid w:val="000D0D6E"/>
    <w:rsid w:val="000D4679"/>
    <w:rsid w:val="000E2140"/>
    <w:rsid w:val="000E56C4"/>
    <w:rsid w:val="000E57E9"/>
    <w:rsid w:val="000F018C"/>
    <w:rsid w:val="000F0565"/>
    <w:rsid w:val="000F2610"/>
    <w:rsid w:val="000F4990"/>
    <w:rsid w:val="000F5F03"/>
    <w:rsid w:val="000F630F"/>
    <w:rsid w:val="000F723B"/>
    <w:rsid w:val="000F7DEA"/>
    <w:rsid w:val="001007FB"/>
    <w:rsid w:val="00102154"/>
    <w:rsid w:val="001039BF"/>
    <w:rsid w:val="00104B31"/>
    <w:rsid w:val="001067BA"/>
    <w:rsid w:val="00110F9A"/>
    <w:rsid w:val="001110E8"/>
    <w:rsid w:val="00112445"/>
    <w:rsid w:val="00113F0C"/>
    <w:rsid w:val="001145BB"/>
    <w:rsid w:val="00115947"/>
    <w:rsid w:val="0012155F"/>
    <w:rsid w:val="00122A32"/>
    <w:rsid w:val="001232B3"/>
    <w:rsid w:val="001232DC"/>
    <w:rsid w:val="00123771"/>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63779"/>
    <w:rsid w:val="0016606A"/>
    <w:rsid w:val="00177591"/>
    <w:rsid w:val="001837E9"/>
    <w:rsid w:val="00191A6C"/>
    <w:rsid w:val="00192B9D"/>
    <w:rsid w:val="001955C6"/>
    <w:rsid w:val="001A0C33"/>
    <w:rsid w:val="001A130C"/>
    <w:rsid w:val="001A6C63"/>
    <w:rsid w:val="001B3556"/>
    <w:rsid w:val="001B3919"/>
    <w:rsid w:val="001B6C93"/>
    <w:rsid w:val="001B75C3"/>
    <w:rsid w:val="001C136B"/>
    <w:rsid w:val="001C2171"/>
    <w:rsid w:val="001C56EC"/>
    <w:rsid w:val="001C5E9A"/>
    <w:rsid w:val="001D0AAE"/>
    <w:rsid w:val="001D1A2A"/>
    <w:rsid w:val="001D234C"/>
    <w:rsid w:val="001D4E50"/>
    <w:rsid w:val="001D6D4F"/>
    <w:rsid w:val="001D74A4"/>
    <w:rsid w:val="001E6570"/>
    <w:rsid w:val="001F4649"/>
    <w:rsid w:val="001F6C89"/>
    <w:rsid w:val="001F7AD1"/>
    <w:rsid w:val="00200AEA"/>
    <w:rsid w:val="00200B4E"/>
    <w:rsid w:val="00201257"/>
    <w:rsid w:val="00201731"/>
    <w:rsid w:val="00201C3D"/>
    <w:rsid w:val="00202EAC"/>
    <w:rsid w:val="002066CD"/>
    <w:rsid w:val="00212C48"/>
    <w:rsid w:val="00216219"/>
    <w:rsid w:val="00225D17"/>
    <w:rsid w:val="00227878"/>
    <w:rsid w:val="00233988"/>
    <w:rsid w:val="002340F0"/>
    <w:rsid w:val="00234967"/>
    <w:rsid w:val="00237677"/>
    <w:rsid w:val="00243C05"/>
    <w:rsid w:val="00247609"/>
    <w:rsid w:val="00247F83"/>
    <w:rsid w:val="00250080"/>
    <w:rsid w:val="00252457"/>
    <w:rsid w:val="00254654"/>
    <w:rsid w:val="0026047D"/>
    <w:rsid w:val="0026397E"/>
    <w:rsid w:val="00266389"/>
    <w:rsid w:val="0027089B"/>
    <w:rsid w:val="00271889"/>
    <w:rsid w:val="00277652"/>
    <w:rsid w:val="0028367F"/>
    <w:rsid w:val="0029094F"/>
    <w:rsid w:val="002913BB"/>
    <w:rsid w:val="00296A2F"/>
    <w:rsid w:val="002A3FF6"/>
    <w:rsid w:val="002A700E"/>
    <w:rsid w:val="002A741F"/>
    <w:rsid w:val="002B0D4E"/>
    <w:rsid w:val="002B1683"/>
    <w:rsid w:val="002B2A00"/>
    <w:rsid w:val="002B372A"/>
    <w:rsid w:val="002B4CA4"/>
    <w:rsid w:val="002B54AF"/>
    <w:rsid w:val="002B6BBF"/>
    <w:rsid w:val="002C5993"/>
    <w:rsid w:val="002D778A"/>
    <w:rsid w:val="002E122D"/>
    <w:rsid w:val="002E198B"/>
    <w:rsid w:val="002E455B"/>
    <w:rsid w:val="002E4AFE"/>
    <w:rsid w:val="002E62F4"/>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6979"/>
    <w:rsid w:val="00387BCB"/>
    <w:rsid w:val="00390795"/>
    <w:rsid w:val="0039146D"/>
    <w:rsid w:val="00391A16"/>
    <w:rsid w:val="003943C6"/>
    <w:rsid w:val="003A0230"/>
    <w:rsid w:val="003A15BD"/>
    <w:rsid w:val="003A2331"/>
    <w:rsid w:val="003A6597"/>
    <w:rsid w:val="003A665A"/>
    <w:rsid w:val="003A6E46"/>
    <w:rsid w:val="003A7F43"/>
    <w:rsid w:val="003B12F0"/>
    <w:rsid w:val="003B3297"/>
    <w:rsid w:val="003B39CA"/>
    <w:rsid w:val="003C4998"/>
    <w:rsid w:val="003C57F3"/>
    <w:rsid w:val="003D0215"/>
    <w:rsid w:val="003D1A56"/>
    <w:rsid w:val="003D2D36"/>
    <w:rsid w:val="003D6179"/>
    <w:rsid w:val="003D7AFA"/>
    <w:rsid w:val="003E1EE1"/>
    <w:rsid w:val="003F0CF0"/>
    <w:rsid w:val="003F0E63"/>
    <w:rsid w:val="003F3FF3"/>
    <w:rsid w:val="003F4C19"/>
    <w:rsid w:val="003F4DB0"/>
    <w:rsid w:val="003F60E4"/>
    <w:rsid w:val="003F7B7E"/>
    <w:rsid w:val="004008EE"/>
    <w:rsid w:val="00402117"/>
    <w:rsid w:val="0040354F"/>
    <w:rsid w:val="00411315"/>
    <w:rsid w:val="00416113"/>
    <w:rsid w:val="00416E76"/>
    <w:rsid w:val="0041750E"/>
    <w:rsid w:val="0042054F"/>
    <w:rsid w:val="00421599"/>
    <w:rsid w:val="00426866"/>
    <w:rsid w:val="004309B6"/>
    <w:rsid w:val="0043234C"/>
    <w:rsid w:val="004371DC"/>
    <w:rsid w:val="004467F4"/>
    <w:rsid w:val="0045186A"/>
    <w:rsid w:val="004547FD"/>
    <w:rsid w:val="00455887"/>
    <w:rsid w:val="00456656"/>
    <w:rsid w:val="0045735F"/>
    <w:rsid w:val="0045737F"/>
    <w:rsid w:val="00463B26"/>
    <w:rsid w:val="00464522"/>
    <w:rsid w:val="00464A78"/>
    <w:rsid w:val="004653A9"/>
    <w:rsid w:val="00466030"/>
    <w:rsid w:val="00466DAD"/>
    <w:rsid w:val="00467995"/>
    <w:rsid w:val="00467CAC"/>
    <w:rsid w:val="00470AB7"/>
    <w:rsid w:val="00472637"/>
    <w:rsid w:val="0047414F"/>
    <w:rsid w:val="00475CEA"/>
    <w:rsid w:val="00476E7F"/>
    <w:rsid w:val="00477162"/>
    <w:rsid w:val="004824B0"/>
    <w:rsid w:val="0048364D"/>
    <w:rsid w:val="004853F8"/>
    <w:rsid w:val="00485554"/>
    <w:rsid w:val="004922A4"/>
    <w:rsid w:val="004935F4"/>
    <w:rsid w:val="00493C89"/>
    <w:rsid w:val="00497606"/>
    <w:rsid w:val="004A20C5"/>
    <w:rsid w:val="004A33B0"/>
    <w:rsid w:val="004A3E5C"/>
    <w:rsid w:val="004A5B4A"/>
    <w:rsid w:val="004A754F"/>
    <w:rsid w:val="004B0966"/>
    <w:rsid w:val="004B0CFD"/>
    <w:rsid w:val="004C0321"/>
    <w:rsid w:val="004C31DA"/>
    <w:rsid w:val="004C6E6D"/>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601051"/>
    <w:rsid w:val="00603CAF"/>
    <w:rsid w:val="00605EB7"/>
    <w:rsid w:val="00611E2D"/>
    <w:rsid w:val="0061364F"/>
    <w:rsid w:val="00614A90"/>
    <w:rsid w:val="00617D03"/>
    <w:rsid w:val="006245EC"/>
    <w:rsid w:val="00624A1D"/>
    <w:rsid w:val="00632496"/>
    <w:rsid w:val="00632EFB"/>
    <w:rsid w:val="006336C0"/>
    <w:rsid w:val="00635725"/>
    <w:rsid w:val="00635A80"/>
    <w:rsid w:val="00636D57"/>
    <w:rsid w:val="00647204"/>
    <w:rsid w:val="00650509"/>
    <w:rsid w:val="0065075B"/>
    <w:rsid w:val="006514C8"/>
    <w:rsid w:val="006515D0"/>
    <w:rsid w:val="006522AF"/>
    <w:rsid w:val="00652CE2"/>
    <w:rsid w:val="00654338"/>
    <w:rsid w:val="00655765"/>
    <w:rsid w:val="00656A70"/>
    <w:rsid w:val="00662EA3"/>
    <w:rsid w:val="00666412"/>
    <w:rsid w:val="00667DD7"/>
    <w:rsid w:val="0067285B"/>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5E51"/>
    <w:rsid w:val="006B1F98"/>
    <w:rsid w:val="006B22CC"/>
    <w:rsid w:val="006B312B"/>
    <w:rsid w:val="006B5016"/>
    <w:rsid w:val="006C3B90"/>
    <w:rsid w:val="006D0839"/>
    <w:rsid w:val="006D135B"/>
    <w:rsid w:val="006D1738"/>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262"/>
    <w:rsid w:val="00715728"/>
    <w:rsid w:val="00721646"/>
    <w:rsid w:val="0072184A"/>
    <w:rsid w:val="00722EFF"/>
    <w:rsid w:val="00725184"/>
    <w:rsid w:val="00726246"/>
    <w:rsid w:val="00726315"/>
    <w:rsid w:val="00731A6E"/>
    <w:rsid w:val="00732057"/>
    <w:rsid w:val="00732C9D"/>
    <w:rsid w:val="00734627"/>
    <w:rsid w:val="00736643"/>
    <w:rsid w:val="00740769"/>
    <w:rsid w:val="0074623C"/>
    <w:rsid w:val="007502A5"/>
    <w:rsid w:val="007544D4"/>
    <w:rsid w:val="007545B3"/>
    <w:rsid w:val="007648C5"/>
    <w:rsid w:val="00765BC3"/>
    <w:rsid w:val="007700A7"/>
    <w:rsid w:val="007708A3"/>
    <w:rsid w:val="007716D8"/>
    <w:rsid w:val="00772875"/>
    <w:rsid w:val="00772ABF"/>
    <w:rsid w:val="00775047"/>
    <w:rsid w:val="00775EC3"/>
    <w:rsid w:val="007760F2"/>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608A"/>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19C"/>
    <w:rsid w:val="008332E0"/>
    <w:rsid w:val="00833F47"/>
    <w:rsid w:val="008356AB"/>
    <w:rsid w:val="008371E3"/>
    <w:rsid w:val="008377CC"/>
    <w:rsid w:val="00837E88"/>
    <w:rsid w:val="00843BF6"/>
    <w:rsid w:val="0084712F"/>
    <w:rsid w:val="00857723"/>
    <w:rsid w:val="00857D99"/>
    <w:rsid w:val="00860F08"/>
    <w:rsid w:val="00866015"/>
    <w:rsid w:val="008668D8"/>
    <w:rsid w:val="008672F4"/>
    <w:rsid w:val="00874D78"/>
    <w:rsid w:val="00875671"/>
    <w:rsid w:val="00875A30"/>
    <w:rsid w:val="0087626C"/>
    <w:rsid w:val="00876472"/>
    <w:rsid w:val="0087792B"/>
    <w:rsid w:val="008779B8"/>
    <w:rsid w:val="00882D6A"/>
    <w:rsid w:val="00884E60"/>
    <w:rsid w:val="008871CF"/>
    <w:rsid w:val="00892381"/>
    <w:rsid w:val="00893D3B"/>
    <w:rsid w:val="00894734"/>
    <w:rsid w:val="008959EF"/>
    <w:rsid w:val="00895E56"/>
    <w:rsid w:val="008B3587"/>
    <w:rsid w:val="008B39DB"/>
    <w:rsid w:val="008B6A5E"/>
    <w:rsid w:val="008C0859"/>
    <w:rsid w:val="008C1059"/>
    <w:rsid w:val="008C47B7"/>
    <w:rsid w:val="008C6460"/>
    <w:rsid w:val="008C6989"/>
    <w:rsid w:val="008D300D"/>
    <w:rsid w:val="008D5DA0"/>
    <w:rsid w:val="008E063D"/>
    <w:rsid w:val="008E1410"/>
    <w:rsid w:val="008E2C8F"/>
    <w:rsid w:val="008E4F8B"/>
    <w:rsid w:val="008F0D46"/>
    <w:rsid w:val="008F0EAB"/>
    <w:rsid w:val="008F3264"/>
    <w:rsid w:val="008F344A"/>
    <w:rsid w:val="008F38B4"/>
    <w:rsid w:val="008F3E9D"/>
    <w:rsid w:val="008F62F6"/>
    <w:rsid w:val="008F75B9"/>
    <w:rsid w:val="008F778F"/>
    <w:rsid w:val="00905F15"/>
    <w:rsid w:val="00910293"/>
    <w:rsid w:val="00910702"/>
    <w:rsid w:val="00910899"/>
    <w:rsid w:val="009128C4"/>
    <w:rsid w:val="0091391C"/>
    <w:rsid w:val="00916018"/>
    <w:rsid w:val="00917886"/>
    <w:rsid w:val="009216AE"/>
    <w:rsid w:val="00923F4C"/>
    <w:rsid w:val="00931A14"/>
    <w:rsid w:val="00931B6B"/>
    <w:rsid w:val="0093381E"/>
    <w:rsid w:val="00935C93"/>
    <w:rsid w:val="00940E8D"/>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F5F"/>
    <w:rsid w:val="009A6572"/>
    <w:rsid w:val="009A7F7B"/>
    <w:rsid w:val="009B241F"/>
    <w:rsid w:val="009B2ED2"/>
    <w:rsid w:val="009B3701"/>
    <w:rsid w:val="009B4172"/>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1218"/>
    <w:rsid w:val="00A31247"/>
    <w:rsid w:val="00A34687"/>
    <w:rsid w:val="00A3485D"/>
    <w:rsid w:val="00A404D1"/>
    <w:rsid w:val="00A40C19"/>
    <w:rsid w:val="00A449F3"/>
    <w:rsid w:val="00A51B72"/>
    <w:rsid w:val="00A53E35"/>
    <w:rsid w:val="00A5418F"/>
    <w:rsid w:val="00A5562C"/>
    <w:rsid w:val="00A70AF2"/>
    <w:rsid w:val="00A731C8"/>
    <w:rsid w:val="00A80DE0"/>
    <w:rsid w:val="00A81776"/>
    <w:rsid w:val="00A85BF8"/>
    <w:rsid w:val="00A87216"/>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835"/>
    <w:rsid w:val="00AE134B"/>
    <w:rsid w:val="00AE42C4"/>
    <w:rsid w:val="00AE5F5F"/>
    <w:rsid w:val="00AF1D04"/>
    <w:rsid w:val="00AF1DC4"/>
    <w:rsid w:val="00AF6169"/>
    <w:rsid w:val="00B06E14"/>
    <w:rsid w:val="00B12034"/>
    <w:rsid w:val="00B14B53"/>
    <w:rsid w:val="00B17348"/>
    <w:rsid w:val="00B20015"/>
    <w:rsid w:val="00B21534"/>
    <w:rsid w:val="00B25D4F"/>
    <w:rsid w:val="00B3103D"/>
    <w:rsid w:val="00B31225"/>
    <w:rsid w:val="00B31751"/>
    <w:rsid w:val="00B333C0"/>
    <w:rsid w:val="00B379F7"/>
    <w:rsid w:val="00B4046B"/>
    <w:rsid w:val="00B42F97"/>
    <w:rsid w:val="00B4417D"/>
    <w:rsid w:val="00B44630"/>
    <w:rsid w:val="00B44F6B"/>
    <w:rsid w:val="00B4702E"/>
    <w:rsid w:val="00B51B2A"/>
    <w:rsid w:val="00B52441"/>
    <w:rsid w:val="00B536AF"/>
    <w:rsid w:val="00B551DB"/>
    <w:rsid w:val="00B6292A"/>
    <w:rsid w:val="00B635ED"/>
    <w:rsid w:val="00B64CB0"/>
    <w:rsid w:val="00B7365C"/>
    <w:rsid w:val="00B77A31"/>
    <w:rsid w:val="00B80EDF"/>
    <w:rsid w:val="00B8288A"/>
    <w:rsid w:val="00B82ECF"/>
    <w:rsid w:val="00B83059"/>
    <w:rsid w:val="00B8410A"/>
    <w:rsid w:val="00B84234"/>
    <w:rsid w:val="00B911BC"/>
    <w:rsid w:val="00B91C87"/>
    <w:rsid w:val="00B97B73"/>
    <w:rsid w:val="00BA230A"/>
    <w:rsid w:val="00BA39F0"/>
    <w:rsid w:val="00BA76F2"/>
    <w:rsid w:val="00BB0485"/>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64E6"/>
    <w:rsid w:val="00BF12D4"/>
    <w:rsid w:val="00BF3058"/>
    <w:rsid w:val="00BF3C3F"/>
    <w:rsid w:val="00BF62FA"/>
    <w:rsid w:val="00BF6519"/>
    <w:rsid w:val="00C017F6"/>
    <w:rsid w:val="00C02305"/>
    <w:rsid w:val="00C0408A"/>
    <w:rsid w:val="00C0434D"/>
    <w:rsid w:val="00C0700B"/>
    <w:rsid w:val="00C123E5"/>
    <w:rsid w:val="00C126B9"/>
    <w:rsid w:val="00C12797"/>
    <w:rsid w:val="00C134AC"/>
    <w:rsid w:val="00C13A8C"/>
    <w:rsid w:val="00C223B9"/>
    <w:rsid w:val="00C225CC"/>
    <w:rsid w:val="00C23213"/>
    <w:rsid w:val="00C2554E"/>
    <w:rsid w:val="00C26A36"/>
    <w:rsid w:val="00C30BB3"/>
    <w:rsid w:val="00C3269A"/>
    <w:rsid w:val="00C3313D"/>
    <w:rsid w:val="00C349CB"/>
    <w:rsid w:val="00C36264"/>
    <w:rsid w:val="00C362C1"/>
    <w:rsid w:val="00C363FF"/>
    <w:rsid w:val="00C378D1"/>
    <w:rsid w:val="00C416F8"/>
    <w:rsid w:val="00C43B91"/>
    <w:rsid w:val="00C43FA6"/>
    <w:rsid w:val="00C4457D"/>
    <w:rsid w:val="00C450E4"/>
    <w:rsid w:val="00C47511"/>
    <w:rsid w:val="00C50C6C"/>
    <w:rsid w:val="00C53760"/>
    <w:rsid w:val="00C57F4A"/>
    <w:rsid w:val="00C6582E"/>
    <w:rsid w:val="00C65CFF"/>
    <w:rsid w:val="00C71845"/>
    <w:rsid w:val="00C7217C"/>
    <w:rsid w:val="00C7236E"/>
    <w:rsid w:val="00C736B0"/>
    <w:rsid w:val="00C7418F"/>
    <w:rsid w:val="00C760E5"/>
    <w:rsid w:val="00C77FCA"/>
    <w:rsid w:val="00C8121A"/>
    <w:rsid w:val="00C82DD8"/>
    <w:rsid w:val="00C85BB9"/>
    <w:rsid w:val="00C873B8"/>
    <w:rsid w:val="00C87F61"/>
    <w:rsid w:val="00C90E98"/>
    <w:rsid w:val="00C94C51"/>
    <w:rsid w:val="00CA1595"/>
    <w:rsid w:val="00CA42EA"/>
    <w:rsid w:val="00CA494B"/>
    <w:rsid w:val="00CA62F9"/>
    <w:rsid w:val="00CA7C22"/>
    <w:rsid w:val="00CB0052"/>
    <w:rsid w:val="00CB1B16"/>
    <w:rsid w:val="00CB1DA1"/>
    <w:rsid w:val="00CB3133"/>
    <w:rsid w:val="00CB55F0"/>
    <w:rsid w:val="00CC07AF"/>
    <w:rsid w:val="00CC21FE"/>
    <w:rsid w:val="00CC7EB0"/>
    <w:rsid w:val="00CD5539"/>
    <w:rsid w:val="00CD5B68"/>
    <w:rsid w:val="00CD7D2D"/>
    <w:rsid w:val="00CE05CE"/>
    <w:rsid w:val="00CE12FB"/>
    <w:rsid w:val="00CE1753"/>
    <w:rsid w:val="00CE6A26"/>
    <w:rsid w:val="00CF28F0"/>
    <w:rsid w:val="00CF3169"/>
    <w:rsid w:val="00CF3193"/>
    <w:rsid w:val="00CF393D"/>
    <w:rsid w:val="00CF72DD"/>
    <w:rsid w:val="00D01BC4"/>
    <w:rsid w:val="00D05BD5"/>
    <w:rsid w:val="00D05FD0"/>
    <w:rsid w:val="00D074E9"/>
    <w:rsid w:val="00D12D2B"/>
    <w:rsid w:val="00D14104"/>
    <w:rsid w:val="00D1790E"/>
    <w:rsid w:val="00D20FEF"/>
    <w:rsid w:val="00D217FB"/>
    <w:rsid w:val="00D22403"/>
    <w:rsid w:val="00D23F9F"/>
    <w:rsid w:val="00D25815"/>
    <w:rsid w:val="00D27E6E"/>
    <w:rsid w:val="00D3759C"/>
    <w:rsid w:val="00D37707"/>
    <w:rsid w:val="00D40690"/>
    <w:rsid w:val="00D40C17"/>
    <w:rsid w:val="00D41BBD"/>
    <w:rsid w:val="00D4680E"/>
    <w:rsid w:val="00D5012F"/>
    <w:rsid w:val="00D51465"/>
    <w:rsid w:val="00D57002"/>
    <w:rsid w:val="00D576BB"/>
    <w:rsid w:val="00D60AF0"/>
    <w:rsid w:val="00D6270F"/>
    <w:rsid w:val="00D62F8F"/>
    <w:rsid w:val="00D64B14"/>
    <w:rsid w:val="00D67541"/>
    <w:rsid w:val="00D70986"/>
    <w:rsid w:val="00D70CF5"/>
    <w:rsid w:val="00D72A1B"/>
    <w:rsid w:val="00D72F0C"/>
    <w:rsid w:val="00D75CF0"/>
    <w:rsid w:val="00D82397"/>
    <w:rsid w:val="00D830FA"/>
    <w:rsid w:val="00D86477"/>
    <w:rsid w:val="00D86F66"/>
    <w:rsid w:val="00D87314"/>
    <w:rsid w:val="00D91435"/>
    <w:rsid w:val="00D93102"/>
    <w:rsid w:val="00D9557D"/>
    <w:rsid w:val="00D96227"/>
    <w:rsid w:val="00D96535"/>
    <w:rsid w:val="00D965AD"/>
    <w:rsid w:val="00D96724"/>
    <w:rsid w:val="00D97398"/>
    <w:rsid w:val="00DA27CD"/>
    <w:rsid w:val="00DA2B47"/>
    <w:rsid w:val="00DA5255"/>
    <w:rsid w:val="00DA6476"/>
    <w:rsid w:val="00DB2EBF"/>
    <w:rsid w:val="00DB7208"/>
    <w:rsid w:val="00DC0736"/>
    <w:rsid w:val="00DD394A"/>
    <w:rsid w:val="00DD47D3"/>
    <w:rsid w:val="00DD4E2C"/>
    <w:rsid w:val="00DD5D63"/>
    <w:rsid w:val="00DD752A"/>
    <w:rsid w:val="00DE3F0D"/>
    <w:rsid w:val="00DE61FC"/>
    <w:rsid w:val="00DF7521"/>
    <w:rsid w:val="00E0324D"/>
    <w:rsid w:val="00E041E6"/>
    <w:rsid w:val="00E044B0"/>
    <w:rsid w:val="00E10D88"/>
    <w:rsid w:val="00E14D29"/>
    <w:rsid w:val="00E15461"/>
    <w:rsid w:val="00E16418"/>
    <w:rsid w:val="00E263AF"/>
    <w:rsid w:val="00E30AFA"/>
    <w:rsid w:val="00E35F8E"/>
    <w:rsid w:val="00E37689"/>
    <w:rsid w:val="00E400A1"/>
    <w:rsid w:val="00E407DA"/>
    <w:rsid w:val="00E40815"/>
    <w:rsid w:val="00E47015"/>
    <w:rsid w:val="00E55A23"/>
    <w:rsid w:val="00E57060"/>
    <w:rsid w:val="00E5729E"/>
    <w:rsid w:val="00E62169"/>
    <w:rsid w:val="00E62FAF"/>
    <w:rsid w:val="00E63DD3"/>
    <w:rsid w:val="00E7125F"/>
    <w:rsid w:val="00E73E50"/>
    <w:rsid w:val="00E75297"/>
    <w:rsid w:val="00E85451"/>
    <w:rsid w:val="00E86FED"/>
    <w:rsid w:val="00E9109A"/>
    <w:rsid w:val="00E976FE"/>
    <w:rsid w:val="00E97927"/>
    <w:rsid w:val="00EA5884"/>
    <w:rsid w:val="00EA5991"/>
    <w:rsid w:val="00EB100D"/>
    <w:rsid w:val="00EB1D8B"/>
    <w:rsid w:val="00EB217B"/>
    <w:rsid w:val="00EB6D56"/>
    <w:rsid w:val="00EB7038"/>
    <w:rsid w:val="00EC17F3"/>
    <w:rsid w:val="00ED17BF"/>
    <w:rsid w:val="00ED2C3C"/>
    <w:rsid w:val="00ED44A2"/>
    <w:rsid w:val="00EE2994"/>
    <w:rsid w:val="00EE5E3D"/>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30DAB"/>
    <w:rsid w:val="00F31404"/>
    <w:rsid w:val="00F327EE"/>
    <w:rsid w:val="00F36BD2"/>
    <w:rsid w:val="00F3782F"/>
    <w:rsid w:val="00F37B88"/>
    <w:rsid w:val="00F41FD5"/>
    <w:rsid w:val="00F43482"/>
    <w:rsid w:val="00F44E47"/>
    <w:rsid w:val="00F45480"/>
    <w:rsid w:val="00F47684"/>
    <w:rsid w:val="00F47C14"/>
    <w:rsid w:val="00F53805"/>
    <w:rsid w:val="00F62BDD"/>
    <w:rsid w:val="00F651A9"/>
    <w:rsid w:val="00F67A20"/>
    <w:rsid w:val="00F757D8"/>
    <w:rsid w:val="00F82AF2"/>
    <w:rsid w:val="00F86020"/>
    <w:rsid w:val="00F911FF"/>
    <w:rsid w:val="00F9130B"/>
    <w:rsid w:val="00F91D6B"/>
    <w:rsid w:val="00F91E02"/>
    <w:rsid w:val="00F9637D"/>
    <w:rsid w:val="00F96746"/>
    <w:rsid w:val="00FA5AC8"/>
    <w:rsid w:val="00FA6A39"/>
    <w:rsid w:val="00FB260E"/>
    <w:rsid w:val="00FB50EC"/>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9DB79"/>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2F5496"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1F3763"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1F3763"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FF"/>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605E5C"/>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2F5496"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1F3763"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2F5496"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2F5496"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6/j.ijresmar.2025.01.001" TargetMode="External"/><Relationship Id="rId18" Type="http://schemas.openxmlformats.org/officeDocument/2006/relationships/hyperlink" Target="https://escholarship.org/uc/item/8h51c6s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hyperlink" Target="https://psycnet.apa.org/doi/10.1002/cb.2419" TargetMode="External"/><Relationship Id="rId17" Type="http://schemas.openxmlformats.org/officeDocument/2006/relationships/hyperlink" Target="https://doi.org/10.1016/j.ijcce.2024.02.001" TargetMode="External"/><Relationship Id="rId2" Type="http://schemas.openxmlformats.org/officeDocument/2006/relationships/numbering" Target="numbering.xml"/><Relationship Id="rId16" Type="http://schemas.openxmlformats.org/officeDocument/2006/relationships/hyperlink" Target="https://doi.org/10.1111/cgf.15065" TargetMode="External"/><Relationship Id="rId20" Type="http://schemas.openxmlformats.org/officeDocument/2006/relationships/hyperlink" Target="https://www.kenresearch.com/industry-reports/india-metaverse-marke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108/intr-01-2024-0030" TargetMode="External"/><Relationship Id="rId5" Type="http://schemas.openxmlformats.org/officeDocument/2006/relationships/webSettings" Target="webSettings.xml"/><Relationship Id="rId15" Type="http://schemas.openxmlformats.org/officeDocument/2006/relationships/hyperlink" Target="https://www.investopedia.com/terms/m/macromarketing.asp" TargetMode="External"/><Relationship Id="rId10" Type="http://schemas.openxmlformats.org/officeDocument/2006/relationships/image" Target="media/image5.png"/><Relationship Id="rId19" Type="http://schemas.openxmlformats.org/officeDocument/2006/relationships/hyperlink" Target="https://www.statista.com/outlook/amo/metaverse/india"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ijresmar.2024.03.00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46</Pages>
  <Words>16214</Words>
  <Characters>92423</Characters>
  <Application>Microsoft Office Word</Application>
  <DocSecurity>0</DocSecurity>
  <Lines>770</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15</cp:revision>
  <dcterms:created xsi:type="dcterms:W3CDTF">2026-03-21T05:44:00Z</dcterms:created>
  <dcterms:modified xsi:type="dcterms:W3CDTF">2026-03-21T06:03:00Z</dcterms:modified>
</cp:coreProperties>
</file>