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val="0"/>
        </w:rPr>
        <w:t>20 June 2026</w:t>
      </w:r>
    </w:p>
    <w:p>
      <w:pPr>
        <w:spacing w:after="200"/>
      </w:pPr>
      <w:r>
        <w:rPr>
          <w:b w:val="0"/>
        </w:rPr>
      </w:r>
    </w:p>
    <w:p>
      <w:pPr>
        <w:spacing w:after="200"/>
      </w:pPr>
      <w:r>
        <w:rPr>
          <w:b w:val="0"/>
        </w:rPr>
        <w:t>The Guest Editors</w:t>
      </w:r>
    </w:p>
    <w:p>
      <w:pPr>
        <w:spacing w:after="200"/>
      </w:pPr>
      <w:r>
        <w:rPr>
          <w:b w:val="0"/>
        </w:rPr>
        <w:t>Special Issue: "Digital Visibility: Design, Management, &amp; Impacts"</w:t>
      </w:r>
    </w:p>
    <w:p>
      <w:pPr>
        <w:spacing w:after="200"/>
      </w:pPr>
      <w:r>
        <w:rPr>
          <w:b w:val="0"/>
        </w:rPr>
        <w:t>European Journal of Information Systems</w:t>
      </w:r>
    </w:p>
    <w:p>
      <w:pPr>
        <w:spacing w:after="200"/>
      </w:pPr>
      <w:r>
        <w:rPr>
          <w:b w:val="0"/>
        </w:rPr>
        <w:t>Taylor &amp; Francis (on behalf of the Operational Research Society)</w:t>
      </w:r>
    </w:p>
    <w:p>
      <w:pPr>
        <w:spacing w:after="200"/>
      </w:pPr>
      <w:r>
        <w:rPr>
          <w:b w:val="0"/>
        </w:rPr>
      </w:r>
    </w:p>
    <w:p>
      <w:pPr>
        <w:spacing w:after="200"/>
      </w:pPr>
      <w:r>
        <w:rPr>
          <w:b/>
        </w:rPr>
        <w:t>Subject: Manuscript submission to the Special Issue "Digital Visibility: Design, Management, &amp; Impacts"</w:t>
      </w:r>
    </w:p>
    <w:p>
      <w:pPr>
        <w:spacing w:after="200"/>
      </w:pPr>
      <w:r>
        <w:rPr>
          <w:b w:val="0"/>
        </w:rPr>
      </w:r>
    </w:p>
    <w:p>
      <w:pPr>
        <w:spacing w:after="200"/>
      </w:pPr>
      <w:r>
        <w:rPr>
          <w:b w:val="0"/>
        </w:rPr>
        <w:t>Dear Guest Editors,</w:t>
      </w:r>
    </w:p>
    <w:p>
      <w:pPr>
        <w:spacing w:after="200"/>
      </w:pPr>
      <w:r>
        <w:rPr>
          <w:b w:val="0"/>
        </w:rPr>
      </w:r>
    </w:p>
    <w:p>
      <w:pPr>
        <w:spacing w:after="200"/>
      </w:pPr>
      <w:r>
        <w:rPr>
          <w:b w:val="0"/>
        </w:rPr>
        <w:t>We are pleased to submit our manuscript titled "When Does the Metaverse Pay Off for Brands? A Mixed-Method Test in an Emerging Market" for consideration in the European Journal of Information Systems special issue on "Digital Visibility: Design, Management, &amp; Impacts". Our study speaks directly to the central concern of this special issue: how organisations design for, manage, and ultimately benefit from visibility in contemporary digital environments.</w:t>
      </w:r>
    </w:p>
    <w:p>
      <w:pPr>
        <w:spacing w:after="200"/>
      </w:pPr>
      <w:r>
        <w:rPr>
          <w:b w:val="0"/>
        </w:rPr>
        <w:t>The metaverse represents an emerging frontier of digital visibility in which brands no longer simply maintain an online presence but inhabit persistent, shared, avatar-mediated three-dimensional spaces. In such settings, becoming and remaining visible to consumers is no longer a function of a single channel or attribute; it emerges from how immersive experiences are designed, how engagement and community are managed, and how these efforts translate into measurable brand outcomes. Our work addresses each of these three pillars of the special issue directly.</w:t>
      </w:r>
    </w:p>
    <w:p>
      <w:pPr>
        <w:spacing w:after="200"/>
      </w:pPr>
      <w:r>
        <w:rPr>
          <w:b w:val="0"/>
        </w:rPr>
        <w:t>Drawing on Flow Theory and Self-Determination Theory, we develop and empirically examine a configurational model linking user engagement and user experience to brand satisfaction and brand success in metaverse ecosystems. We adopt a mixed-method design that combines partial least squares structural equation modelling (PLS-SEM) for measurement validation with fuzzy-set qualitative comparative analysis (fsQCA) to capture causal complexity and equifinality. Using survey data from 312 active metaverse users in India, a strategically important yet under-represented emerging market, we show that neither engagement nor experience alone is sufficient for brand success. Instead, specific conjunctural configurations, particularly the co-presence of brand satisfaction with either user experience or user engagement, are associated with favourable brand outcomes, with the fully triadic configuration yielding the highest solution consistency.</w:t>
      </w:r>
    </w:p>
    <w:p>
      <w:pPr>
        <w:spacing w:after="80"/>
      </w:pPr>
      <w:r>
        <w:rPr>
          <w:b w:val="0"/>
        </w:rPr>
        <w:t>We believe the manuscript aligns closely with the three themes of the special issue:</w:t>
      </w:r>
    </w:p>
    <w:p>
      <w:pPr>
        <w:spacing w:after="80"/>
      </w:pPr>
      <w:r>
        <w:rPr>
          <w:b w:val="0"/>
        </w:rPr>
        <w:t>- Design: it offers actionable, configurational guidance for designing identity-affirming, community-embedded immersive brand experiences in the metaverse.</w:t>
      </w:r>
    </w:p>
    <w:p>
      <w:pPr>
        <w:spacing w:after="80"/>
      </w:pPr>
      <w:r>
        <w:rPr>
          <w:b w:val="0"/>
        </w:rPr>
        <w:t>- Management: it clarifies how brand managers can orchestrate engagement, experience, and satisfaction as combinable levers rather than isolated tactics.</w:t>
      </w:r>
    </w:p>
    <w:p>
      <w:pPr>
        <w:spacing w:after="200"/>
      </w:pPr>
      <w:r>
        <w:rPr>
          <w:b w:val="0"/>
        </w:rPr>
        <w:t>- Impacts: it provides empirical evidence on how digital visibility in immersive environments translates into brand satisfaction and brand success, including in an emerging-market context.</w:t>
      </w:r>
    </w:p>
    <w:p>
      <w:pPr>
        <w:spacing w:after="200"/>
      </w:pPr>
      <w:r>
        <w:rPr>
          <w:b w:val="0"/>
        </w:rPr>
        <w:t>Theoretically, the study extends Flow Theory and Self-Determination Theory into co-creative, technology-mediated brand ecosystems and demonstrates the value of a configurational lens for understanding visibility in immersive information systems. We are confident these contributions will be of interest to the readership of the European Journal of Information Systems and to the scholarly conversation this special issue seeks to advance.</w:t>
      </w:r>
    </w:p>
    <w:p>
      <w:pPr>
        <w:spacing w:after="200"/>
      </w:pPr>
      <w:r>
        <w:rPr>
          <w:b w:val="0"/>
        </w:rPr>
        <w:t>We confirm that this manuscript is original, has not been published previously, and is not under consideration for publication elsewhere. All authors have read and approved the manuscript and agree to its submission. The authors declare no conflicts of interest, and all listed authors have contributed substantially to the work reported.</w:t>
      </w:r>
    </w:p>
    <w:p>
      <w:pPr>
        <w:spacing w:after="200"/>
      </w:pPr>
      <w:r>
        <w:rPr>
          <w:b w:val="0"/>
        </w:rPr>
        <w:t>Thank you for considering our submission to this special issue. We look forward to your feedback and would be happy to provide any further information required.</w:t>
      </w:r>
    </w:p>
    <w:p>
      <w:pPr>
        <w:spacing w:after="200"/>
      </w:pPr>
      <w:r>
        <w:rPr>
          <w:b w:val="0"/>
        </w:rPr>
      </w:r>
    </w:p>
    <w:p>
      <w:pPr>
        <w:spacing w:after="200"/>
      </w:pPr>
      <w:r>
        <w:rPr>
          <w:b w:val="0"/>
        </w:rPr>
        <w:t>Sincerely,</w:t>
      </w:r>
    </w:p>
    <w:p>
      <w:pPr>
        <w:spacing w:after="200"/>
      </w:pPr>
      <w:r>
        <w:rPr>
          <w:b w:val="0"/>
        </w:rPr>
      </w:r>
    </w:p>
    <w:p>
      <w:pPr>
        <w:spacing w:after="200"/>
      </w:pPr>
      <w:r>
        <w:rPr>
          <w:b/>
        </w:rPr>
        <w:t>Nagendra Kumar Sharma (Corresponding Author)</w:t>
      </w:r>
    </w:p>
    <w:p>
      <w:pPr>
        <w:spacing w:after="200"/>
      </w:pPr>
      <w:r>
        <w:rPr>
          <w:b w:val="0"/>
        </w:rPr>
        <w:t>Graphic Era School of Management, Dehradun, India</w:t>
      </w:r>
    </w:p>
    <w:p>
      <w:pPr>
        <w:spacing w:after="200"/>
      </w:pPr>
      <w:r>
        <w:rPr>
          <w:b w:val="0"/>
        </w:rPr>
        <w:t>Email: nagendrasharmag@gmail.com</w:t>
      </w:r>
    </w:p>
    <w:p>
      <w:pPr>
        <w:spacing w:after="200"/>
      </w:pPr>
      <w:r>
        <w:rPr>
          <w:b w:val="0"/>
        </w:rPr>
        <w:t>ORCID: 0000-0002-6698-8926</w:t>
      </w:r>
    </w:p>
    <w:p>
      <w:pPr>
        <w:spacing w:after="200"/>
      </w:pPr>
      <w:r>
        <w:rPr>
          <w:b w:val="0"/>
        </w:rPr>
      </w:r>
    </w:p>
    <w:p>
      <w:pPr>
        <w:spacing w:after="200"/>
      </w:pPr>
      <w:r>
        <w:rPr>
          <w:b w:val="0"/>
        </w:rPr>
        <w:t>On behalf of the co-authors:</w:t>
      </w:r>
    </w:p>
    <w:p>
      <w:pPr>
        <w:spacing w:after="200"/>
      </w:pPr>
      <w:r>
        <w:rPr>
          <w:b w:val="0"/>
        </w:rPr>
        <w:t>Mohit Gundwal, Graphic Era School of Management, Dehradun, India</w:t>
      </w:r>
    </w:p>
    <w:p>
      <w:pPr>
        <w:spacing w:after="200"/>
      </w:pPr>
      <w:r>
        <w:rPr>
          <w:b w:val="0"/>
        </w:rPr>
        <w:t>Vikas Arya, Paris School of Business, Paris, France</w:t>
      </w:r>
    </w:p>
    <w:p>
      <w:pPr>
        <w:spacing w:after="200"/>
      </w:pPr>
      <w:r>
        <w:rPr>
          <w:b w:val="0"/>
        </w:rPr>
        <w:t>Somesh Kumar Sinha, Rajagiri Business School, India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