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pPr>
      <w:r>
        <w:rPr>
          <w:b/>
          <w:sz w:val="32"/>
          <w:szCs w:val="32"/>
        </w:rPr>
        <w:t xml:space="preserve">Satisfaction as the Conduit: How User Engagement and Experience Create Brand Value in the Metaverse</w:t>
      </w:r>
    </w:p>
    <w:p/>
    <w:p>
      <w:pPr>
        <w:spacing w:before="200" w:after="80"/>
      </w:pPr>
      <w:r>
        <w:rPr>
          <w:b/>
          <w:sz w:val="26"/>
          <w:szCs w:val="26"/>
        </w:rPr>
        <w:t xml:space="preserve">Abstract</w:t>
      </w:r>
    </w:p>
    <w:p>
      <w:r>
        <w:t xml:space="preserve">Brands keep planting flags in immersive digital worlds, yet what actually sustains their performance in the metaverse stays an under-theorised question. This study draws on Flow Theory and Self-Determination Theory (SDT) to build and empirically test a configurational model that links user engagement (UE) and user experience (UX) to brand satisfaction (BSAT) and brand success (BSUC) across metaverse ecosystems. We use a mixed-method design: partial least squares structural equation modelling (PLS-SEM) validates the measurement, and fuzzy-set qualitative comparative analysis (fsQCA) handles the causal complexity. The data come from 312 active metaverse users in India, a strategically important yet under-represented emerging market. Engagement alone isn't sufficient for brand success. Experience alone isn't either. What matters are specific configurations particularly brand satisfaction sitting alongside either experience or engagement and these are associated with favourable outcomes. The fully triadic configuration (BSAT x UX x UE) yields the highest solution consistency, evidencing equifinality in metaverse branding. On theory, the study extends Flow Theory and SDT into co-creative, technology-mediated brand ecosystems. For managers, its configurational logic gives strategists practical guidance for designing identity-affirming, community-embedded virtual experiences that sustain engagement and competitive differentiation.</w:t>
      </w:r>
    </w:p>
    <w:p/>
    <w:p>
      <w:r>
        <w:t xml:space="preserve">Keywords:  Metaverse; User engagement ;User experience ;Brand satisfaction ;Brand success; fsQCA</w:t>
      </w:r>
    </w:p>
    <w:p/>
    <w:p>
      <w:pPr>
        <w:spacing w:before="200" w:after="80"/>
      </w:pPr>
      <w:r>
        <w:rPr>
          <w:b/>
          <w:sz w:val="26"/>
          <w:szCs w:val="26"/>
        </w:rPr>
        <w:t xml:space="preserve">Introduction:</w:t>
      </w:r>
    </w:p>
    <w:p>
      <w:r>
        <w:t xml:space="preserve">The metaverse is an immersive digital space built on augmented and virtual reality (AR/VR), where people interact with one another and with virtual objects while digital information blends into the physical world (Arya et al., 2024a; Zallio and Clarkson, 2022). It's reshaping how brands engage consumers. Traditional marketing gives way to digital experiences that deliver measurable value (Arya et al., 2024a; Hennig-Thurau et al., 2023; Anderson et al., 2024).</w:t>
      </w:r>
    </w:p>
    <w:p>
      <w:r>
        <w:t xml:space="preserve">Conventional digital channels can't do what the metaverse does. It creates multisensory brand experiences that blur the line between physical and digital, tying individual engagement to wider social systems and demanding adaptive strategies from any brand that wants to stay competitive (Kopalle et al., 2024; Marvi et al., 2024; Bilgihan et al., 2024; Hwang and Seo, 2025). Academic guidance on folding it into business strategy is still thin (Eggenschwiler et al., 2024). Take Nike's Nikeland on Roblox: interactive mini-games and rewards pull users in, and it shows how virtual environments can redefine marketing (Kumar, 2024; Kozinets et al., 2023).</w:t>
      </w:r>
    </w:p>
    <w:p>
      <w:r>
        <w:t xml:space="preserve">Branding here differs from website or app branding in four ways, and those differences are what push us toward a configurational approach. Environments are persistent, shared three-dimensional spaces. Users act through avatars, so identity and embodiment fuse with consumption. Interaction is socially synchronous, which creates co-presence with other people and with brands in real time. And value is frequently co-created. Brand outcomes emerge from combinations of these traits, not from any single attribute, so we adopt a configurational lens and ask which recipes of engagement, experience and satisfaction jointly produce brand success.</w:t>
      </w:r>
    </w:p>
    <w:p>
      <w:r>
        <w:t xml:space="preserve">Emotional connection matters here. Emotional attachment correlates with stronger brand relationships (Bilgihan et al., 2024; Arya et al., 2022), and immersive, personalised interactions build satisfaction, trust and brand identification (Shamim et al., 2025; Vo et al., 2025).</w:t>
      </w:r>
    </w:p>
    <w:p>
      <w:r>
        <w:t xml:space="preserve">Brands can also break past physical limits and reach global audiences, and personalisation strengthens both perceptions and satisfaction (Dwivedi et al., 2023; Chandra et al., 2022). From there, the study asks a central question: how do immersive, avatar-mediated interactions shape the configurations of user engagement, user experience and brand satisfaction that lead to brand success? Two sub-questions follow. Which combinations are sufficient for high brand success? And what role does brand satisfaction play in linking engagement and experience to success?</w:t>
      </w:r>
    </w:p>
    <w:p>
      <w:r>
        <w:t xml:space="preserve">We make three contributions. First, instead of re-confirming that engagement, experience and satisfaction matter, the study specifies how immersive, avatar-based environments change their configuration, arguing that equifinality the existence of multiple sufficient pathways to success runs especially deep in the metaverse. Second, it brings Flow Theory and SDT together as complementary lenses that explain why immersive interactions sustain engagement and shape satisfaction. Third, through fsQCA, it pins down the specific combinations of engagement, experience and satisfaction associated with high brand success, and hands managers configurational guidance.</w:t>
      </w:r>
    </w:p>
    <w:p>
      <w:r>
        <w:t xml:space="preserve">The study extends Flow Theory and SDT to immersive digital ecosystems (Fan et al., 2022).</w:t>
      </w:r>
    </w:p>
    <w:p>
      <w:r>
        <w:t xml:space="preserve">Our account is configurational: user engagement (UE) and user experience (UX) are antecedents of brand satisfaction (BSAT), which is in turn associated with brand success (BSUC). We examine how these combine rather than treating them as isolated drivers.</w:t>
      </w:r>
    </w:p>
    <w:p/>
    <w:p>
      <w:pPr>
        <w:spacing w:before="200" w:after="80"/>
      </w:pPr>
      <w:r>
        <w:rPr>
          <w:b/>
          <w:sz w:val="26"/>
          <w:szCs w:val="26"/>
        </w:rPr>
        <w:t xml:space="preserve">2. Literature Review:</w:t>
      </w:r>
    </w:p>
    <w:p>
      <w:pPr>
        <w:spacing w:before="200" w:after="80"/>
      </w:pPr>
      <w:r>
        <w:rPr>
          <w:b/>
          <w:sz w:val="26"/>
          <w:szCs w:val="26"/>
        </w:rPr>
        <w:t xml:space="preserve">2.1. Immersive Environment</w:t>
      </w:r>
    </w:p>
    <w:p>
      <w:r>
        <w:t xml:space="preserve">Firms can improve metaverse experiences through three components: immersiveness, sociability and ecological faithfulness (Arya et al., 2024a). Immersiveness captures mental absorption and sensory engagement, often called "presence". It strengthens emotional engagement and connection, and through that, user satisfaction and brand trust (Shamim et al., 2025; Daassi et al., 2021; Bilgihan et al., 2024).</w:t>
      </w:r>
    </w:p>
    <w:p>
      <w:r>
        <w:t xml:space="preserve">Sociability the quality of social interaction opens the door to collaboration, community building and emotional bonding, and social presence lifts enjoyment and advocacy (Hennig-Thurau et al., 2023; Osborne et al., 2024). Ecological faithfulness, the authenticity of virtual environments, builds trust among environmentally conscious consumers (Dwivedi et al., 2023).</w:t>
      </w:r>
    </w:p>
    <w:p>
      <w:r>
        <w:t xml:space="preserve">Weaving together immersive storytelling, gamification and virtual product launches is a real growth avenue (Bilgihan et al., 2024; Blazquez, 2024; Lee and Shen, 2024). Such experiences can build loyalty (Rather et al., 2022), but a poorly executed design may trigger frustration, overstimulation or escapism, which is why psychologically safe, user-centred strategies matter (Lavoie et al., 2021; Duong et al., 2025).</w:t>
      </w:r>
    </w:p>
    <w:p/>
    <w:p>
      <w:pPr>
        <w:spacing w:before="200" w:after="80"/>
      </w:pPr>
      <w:r>
        <w:rPr>
          <w:b/>
          <w:sz w:val="26"/>
          <w:szCs w:val="26"/>
        </w:rPr>
        <w:t xml:space="preserve">2.2 Conceptualization of User Engagement in The Metaverse</w:t>
      </w:r>
    </w:p>
    <w:p>
      <w:r>
        <w:t xml:space="preserve">No single definition has settled the matter, yet most accounts describe the metaverse as a three-dimensional virtual shared world powered by AR/VR, one that lets people move smoothly between physical and virtual domains for work, interaction and socialisation (Buhalis et al., 2023; Koohang et al., 2023; Kozinets et al., 2023). Figure 1 shows how physical and virtual environments feed into each other and underpin brand success.</w:t>
      </w:r>
    </w:p>
    <w:p>
      <w:r>
        <w:t xml:space="preserve">Building on early engagement theory, O'Brien and Toms (2010) developed a validated, multifaceted engagement scale, while the Mobile User Engagement model explains engagement through motivation, perceived value and satisfaction (Soltani et al., 2024; Ilkan et al., 2023).</w:t>
      </w:r>
    </w:p>
    <w:p>
      <w:r>
        <w:t xml:space="preserve">Others pushed in different directions: holistic Quality of Experience conceptualisations (Lycett and Radwan, 2019), multi-instrumental approaches (Kyriakou et al., 2024), and extensions into e-government contexts (Li and Shang, 2023; Zhang et al., 2022). Shin (2019) tied AR-game immersion to cognitive and motivational constructs.</w:t>
      </w:r>
    </w:p>
    <w:p/>
    <w:p>
      <w:r>
        <w:t xml:space="preserve">Figure 1. Depiction of Real and Virtual World Integration in the Metaverse.</w:t>
      </w:r>
      <w:r>
        <w:tab/>
      </w:r>
      <w:r>
        <w:t xml:space="preserve">Source: Authors</w:t>
      </w:r>
    </w:p>
    <w:p/>
    <w:p>
      <w:pPr>
        <w:spacing w:before="200" w:after="80"/>
      </w:pPr>
      <w:r>
        <w:rPr>
          <w:b/>
          <w:sz w:val="26"/>
          <w:szCs w:val="26"/>
        </w:rPr>
        <w:t xml:space="preserve">2.3 Impact of User Behaviours on Brand Engagement in Virtual Environments</w:t>
      </w:r>
    </w:p>
    <w:p>
      <w:r>
        <w:t xml:space="preserve">What users actually do buying NFTs, interacting socially, attending virtual events, creating content sits at the centre of brand engagement in immersive ecosystems. These behaviours shape perceptions, build emotional bonds and drive loyalty (Shamim et al., 2025; Bilgihan et al., 2024; Lee and Shen, 2024).</w:t>
      </w:r>
    </w:p>
    <w:p>
      <w:r>
        <w:t xml:space="preserve">Branded NFTs open up digital self-expression, exclusivity and identity construction, and owning unique avatars, wearables and collectibles strengthens emotional attachment (Xie and Muralidharan, 2023; Simonetti et al., 2025). Scarcity and perceived investment value lift brand attitudes further, and social-comparison dynamics amplify the effect (Wang et al., 2024; Chang et al., 2024; Xie et al., 2024).</w:t>
      </w:r>
    </w:p>
    <w:p>
      <w:r>
        <w:t xml:space="preserve">Social interaction reinforces engagement. Brand communities build trust, knowledge-sharing and purchase intention, and avatar-based interactivity deepens belonging and loyalty (Agnihotri et al., 2024; Kumar and Shankar, 2024; Payal et al., 2024).</w:t>
      </w:r>
    </w:p>
    <w:p>
      <w:r>
        <w:t xml:space="preserve">Virtual events and gamified rewards build trust, satisfaction and loyalty, especially among Gen Z (Habachi et al., 2024), and participatory content creation deepens ownership and advocacy (Bilgihan et al., 2024; Xu et al., 2024).</w:t>
      </w:r>
    </w:p>
    <w:p/>
    <w:p>
      <w:pPr>
        <w:spacing w:before="200" w:after="80"/>
      </w:pPr>
      <w:r>
        <w:rPr>
          <w:b/>
          <w:sz w:val="26"/>
          <w:szCs w:val="26"/>
        </w:rPr>
        <w:t xml:space="preserve">2.4 Impact of user engagement and experience on brand success in virtual environments</w:t>
      </w:r>
    </w:p>
    <w:p>
      <w:r>
        <w:t xml:space="preserve">User engagement and experience are major drivers of brand success. Wiertz and De Ruyter (2007) showed that contributions to firm-hosted online communities lift brand success, with knowledge-sharing doing much of the engagement work.</w:t>
      </w:r>
    </w:p>
    <w:p>
      <w:r>
        <w:t xml:space="preserve">Brands have to actively make interaction happen if they want engagement to rise (Huang and Benyoucef, 2013). Culture matters too: holistic thinkers judge brand extensions more favourably in virtual settings (Su et al., 2021).</w:t>
      </w:r>
    </w:p>
    <w:p>
      <w:r>
        <w:t xml:space="preserve">Social media is woven into engagement, and stronger social identification and interactivity raise engagement with branded content (Hsieh and Tsao, 2019).</w:t>
      </w:r>
    </w:p>
    <w:p>
      <w:r>
        <w:t xml:space="preserve">On the theory side, Brodie et al. (2011) cast engagement as active participation in brand experiences, and purchase intentions in virtual communities often serve social and self-identity needs, which frames engagement as a route to loyalty.</w:t>
      </w:r>
    </w:p>
    <w:p/>
    <w:p>
      <w:pPr>
        <w:spacing w:before="200" w:after="80"/>
      </w:pPr>
      <w:r>
        <w:rPr>
          <w:b/>
          <w:sz w:val="26"/>
          <w:szCs w:val="26"/>
        </w:rPr>
        <w:t xml:space="preserve">Theoretical Foundation</w:t>
      </w:r>
    </w:p>
    <w:p>
      <w:pPr>
        <w:spacing w:before="200" w:after="80"/>
      </w:pPr>
      <w:r>
        <w:rPr>
          <w:b/>
          <w:sz w:val="26"/>
          <w:szCs w:val="26"/>
        </w:rPr>
        <w:t xml:space="preserve">3.1 Flow theory</w:t>
      </w:r>
    </w:p>
    <w:p>
      <w:r>
        <w:t xml:space="preserve">Flow Theory (Csikszentmihalyi, 1990) gives us a strong framework for reading metaverse engagement. Flow is a state of deep immersion and focused attention, marked by high intrinsic motivation and enjoyment, and it's especially relevant where engagement decides brand success. Recent work carries it into virtual and augmented reality: in game-based metaverses, perceived enjoyment strengthens flow, which feeds satisfaction and continued use (Hyeon and Lee, 2025).</w:t>
      </w:r>
    </w:p>
    <w:p>
      <w:r>
        <w:t xml:space="preserve">Current research keeps tying flow to virtual brand experiences. Authenticity, interactivity and entertainment strengthen flow in live streaming, and interactivity carries the most weight (Wu et al., 2024). Technological factors drive flow in emerging-market metaverse use (Liang et al., 2024). Flow speeds up subjective time in VR (Rutrecht et al., 2021), and it shapes participative and sharing behaviours (Lo and Lai, 2023). Our survey built in flow elements clear goals, immediate feedback and challenge-skill balance and asked users to self-report flow during metaverse interactions.</w:t>
      </w:r>
    </w:p>
    <w:p/>
    <w:p>
      <w:r>
        <w:t xml:space="preserve">Self-Determination Theory (SDT)</w:t>
      </w:r>
    </w:p>
    <w:p>
      <w:r>
        <w:t xml:space="preserve">Self-Determination Theory (SDT) holds that motivation and well-being peak when three innate needs are met: autonomy (volitional choice), competence (feeling effective) and relatedness (feeling connected) (Deci and Ryan, 2000). In digital environments, SDT explains how the intrinsic drive to explore, master and connect pushes engagement deeper.</w:t>
      </w:r>
    </w:p>
    <w:p>
      <w:r>
        <w:t xml:space="preserve">The two theories fit together. Flow captures moment-to-moment immersion when challenge-skill balance, clear goals and feedback line up (Csikszentmihalyi, 1990), and SDT explains why users enter that state and stay in it: autonomy supports exploration, competence drives mastery, and relatedness keeps social interaction going through avatars. Between them, they account for the immersion and need satisfaction that sit under engagement, satisfaction and loyalty.</w:t>
      </w:r>
    </w:p>
    <w:p>
      <w:pPr>
        <w:spacing w:before="200" w:after="80"/>
      </w:pPr>
      <w:r>
        <w:rPr>
          <w:b/>
          <w:sz w:val="26"/>
          <w:szCs w:val="26"/>
        </w:rPr>
        <w:t xml:space="preserve">3.3 Constructs and Hypotheses</w:t>
      </w:r>
    </w:p>
    <w:p>
      <w:r>
        <w:t xml:space="preserve">Four constructs are in play. User engagement (UE) is the cognitive, emotional and behavioural involvement a user has with a brand during metaverse interactions. User experience (UX) is the perceived quality of that interaction immersion, usability, enjoyment and presence. Brand satisfaction (BSAT) is the user's overall evaluation of the brand from metaverse encounters. Brand success (BSUC) covers brand-relevant outcomes: continuance intention, purchase intention, advocacy and word of mouth. We treat the SDT needs and Flow dimensions as underlying psychological mechanisms, not as separately measured constructs.</w:t>
      </w:r>
    </w:p>
    <w:p>
      <w:r>
        <w:t xml:space="preserve">Read together, Flow Theory and SDT imply that immersive, need-satisfying interactions raise engagement and experience, which then shape satisfaction and brand outcomes. We therefore expect higher user engagement to be positively associated with brand success (H1), and higher user experience quality to be positively associated with brand success (H2). Satisfaction sums up cumulative evaluations, so we expect brand satisfaction to mediate the engagement/experience-success relationships (H3). And in keeping with a configurational view, high brand success may arise from multiple sufficient configurations rather than any single necessary condition (P1).</w:t>
      </w:r>
    </w:p>
    <w:p/>
    <w:p>
      <w:pPr>
        <w:spacing w:before="200" w:after="80"/>
      </w:pPr>
      <w:r>
        <w:rPr>
          <w:b/>
          <w:sz w:val="26"/>
          <w:szCs w:val="26"/>
        </w:rPr>
        <w:t xml:space="preserve">4. Methodology</w:t>
      </w:r>
    </w:p>
    <w:p>
      <w:pPr>
        <w:spacing w:before="200" w:after="80"/>
      </w:pPr>
      <w:r>
        <w:rPr>
          <w:b/>
          <w:sz w:val="26"/>
          <w:szCs w:val="26"/>
        </w:rPr>
        <w:t xml:space="preserve">4.1 Fuzzy set Qualitative Comparative Analysis and its Application to the study</w:t>
      </w:r>
    </w:p>
    <w:p>
      <w:r>
        <w:t xml:space="preserve">Fuzzy-set Qualitative Comparative Analysis (fsQCA) gives us a mixed-method framework for studying complex causal configurations in branding (Jia et al., 2022). It sits between exploratory and hypothesis-testing strategies, showing how combinations of conditions present or absent jointly produce an outcome, and it surfaces equifinality (Schneider and Wagemann, 2012). It earns its keep in small-N research (Ragin, 2008).</w:t>
      </w:r>
    </w:p>
    <w:p>
      <w:r>
        <w:t xml:space="preserve">The process runs through six stages: case selection, identification of causal conditions, calibration of membership scores, truth-table construction, logical minimisation, and robustness checks through consistency and coverage. Figure 2 lays out this flow. Boolean minimisation derives the minimal sufficient combinations, exposing causal complexity that single-variable effects would miss.</w:t>
      </w:r>
    </w:p>
    <w:p/>
    <w:p>
      <w:r>
        <w:t xml:space="preserve">Figure 2. Flowchart illustrating the steps involved in the fuzzy set qualitative comparative analysis (FsQCA) methodology, from data calibration to the generation of final insights.</w:t>
      </w:r>
    </w:p>
    <w:p/>
    <w:p>
      <w:pPr>
        <w:spacing w:before="200" w:after="80"/>
      </w:pPr>
      <w:r>
        <w:rPr>
          <w:b/>
          <w:sz w:val="26"/>
          <w:szCs w:val="26"/>
        </w:rPr>
        <w:t xml:space="preserve">4.2 Identification and selection of variables</w:t>
      </w:r>
    </w:p>
    <w:p>
      <w:r>
        <w:t xml:space="preserve">Variable selection followed a structured three-stage process. A literature review came first, pulling out consistently validated variables satisfaction, interaction frequency, perceived brand impact, emotional connection and personalisation as core indicators (Cadet and Chainay, 2020; Lu and Lau, 2025).</w:t>
      </w:r>
    </w:p>
    <w:p>
      <w:r>
        <w:t xml:space="preserve">Second, interviews and focus groups gave a finer read on involvement, satisfaction drivers and brand-success perceptions, and the variables were refined accordingly. Third, surveys captured UE, UX, BSAT and BSUC (Table 2); immersiveness was measured via presence scales, sociability via social and co-presence measures, and ecological faithfulness via authenticity measures (Cadet and Chainay, 2020; Poeschl and Doering, 2015; Lu and Lau, 2025).</w:t>
      </w:r>
    </w:p>
    <w:p>
      <w:r>
        <w:t xml:space="preserve">Only constructs with strong conceptual grounding and proven reliability were retained, and a pilot study validated clarity and reliability before full-scale administration.</w:t>
      </w:r>
    </w:p>
    <w:p/>
    <w:p>
      <w:pPr>
        <w:spacing w:before="200" w:after="80"/>
      </w:pPr>
      <w:r>
        <w:rPr>
          <w:b/>
          <w:sz w:val="26"/>
          <w:szCs w:val="26"/>
        </w:rPr>
        <w:t xml:space="preserve">4.3 Measures</w:t>
      </w:r>
    </w:p>
    <w:p>
      <w:r>
        <w:t xml:space="preserve">All constructs were measured on seven-point Likert scales anchored from 1 (strongly disagree) to 7 (strongly agree). The ten-item engagement and experience scales are adapted subsets. Appendix Table 1 lists the full measurement items alongside their adapted sources.</w:t>
      </w:r>
    </w:p>
    <w:p/>
    <w:p>
      <w:pPr>
        <w:spacing w:before="200" w:after="80"/>
      </w:pPr>
      <w:r>
        <w:rPr>
          <w:b/>
          <w:sz w:val="26"/>
          <w:szCs w:val="26"/>
        </w:rPr>
        <w:t xml:space="preserve">4.4 Platforms Studied and Metaverse Activities</w:t>
      </w:r>
    </w:p>
    <w:p>
      <w:r>
        <w:t xml:space="preserve">We focused on three prominent platforms Roblox, Decentraland and The Sandbox chosen for their adoption, functionality and capacity to host brand interactions. Roblox, known for user-generated content and social gaming, hosts branded experiences such as Nike's Nikeland (Bilgihan et al., 2024). Decentraland, built on blockchain, lets users buy virtual land, trade NFTs and attend community events (Brouard, 2024).</w:t>
      </w:r>
    </w:p>
    <w:p>
      <w:r>
        <w:t xml:space="preserve">The Sandbox supports voxel-based creation and monetisation, and brands such as Adidas use it (Brandes and Dolp, 2025). Across the platforms, four activity types were considered: trading digital assets, attending virtual events, avatar-based social interaction, and designing digital assets or experiences (Lee and Shen, 2024; Hennig-Thurau et al., 2023).</w:t>
      </w:r>
    </w:p>
    <w:p/>
    <w:p>
      <w:pPr>
        <w:spacing w:before="200" w:after="80"/>
      </w:pPr>
      <w:r>
        <w:rPr>
          <w:b/>
          <w:sz w:val="26"/>
          <w:szCs w:val="26"/>
        </w:rPr>
        <w:t xml:space="preserve">4.5 Data Collection</w:t>
      </w:r>
    </w:p>
    <w:p>
      <w:r>
        <w:t xml:space="preserve">Data were collected using stratified random sampling. From a frame of adults (18+) active on at least one platform with prior brand-related metaverse experience, 600 eligible users were invited at random, stratified by primary activity (gaming, NFT trading, social interaction, content creation and virtual events). Of these, 312 provided complete, consenting responses a 52% response rate with balanced representation, measured on validated UE, UX, BSAT and BSUC scales.</w:t>
      </w:r>
    </w:p>
    <w:p>
      <w:r>
        <w:t xml:space="preserve">India is a theoretically and empirically justified context. It's one of the world's fastest-growing metaverse markets (USD 2 billion in 2023, projected to grow at a robust CAGR through 2030), with a large, digitally native youth population (median age 28), rapid 5G expansion and high mobile-first penetration (Verma, 2024; Statista, 2025; Dwivedi et al., 2023). Indian consumers take readily to avatar-based self-expression and NFT ownership, which makes the setting especially relevant, and studying this underexplored, non-Western market widens the theoretical reach and generalisability of the findings (Payal et al., 2024).</w:t>
      </w:r>
    </w:p>
    <w:p/>
    <w:p>
      <w:pPr>
        <w:spacing w:before="200" w:after="80"/>
      </w:pPr>
      <w:r>
        <w:rPr>
          <w:b/>
          <w:sz w:val="26"/>
          <w:szCs w:val="26"/>
        </w:rPr>
        <w:t xml:space="preserve">5. Data Analysis and Results</w:t>
      </w:r>
    </w:p>
    <w:p>
      <w:pPr>
        <w:spacing w:before="200" w:after="80"/>
      </w:pPr>
      <w:r>
        <w:rPr>
          <w:b/>
          <w:sz w:val="26"/>
          <w:szCs w:val="26"/>
        </w:rPr>
        <w:t xml:space="preserve">5.1. Sample Profile</w:t>
      </w:r>
    </w:p>
    <w:p>
      <w:r>
        <w:t xml:space="preserve">Descriptive analysis (IBM SPSS 25.0) profiled the 312 respondents (Table 1): 46% men (143) and 54% women (169), spread across age bands from 18 to 45, with the largest group aged 23-28 (24.04%).</w:t>
      </w:r>
    </w:p>
    <w:p>
      <w:r>
        <w:t xml:space="preserve">On engagement, 60.58% used the metaverse frequently (several times a week); 45.19% took part in NFT trading, 52.56% in social interaction or content creation, and 41.35% in virtual events figures that point to how central these activities are to brand engagement.</w:t>
      </w:r>
    </w:p>
    <w:p/>
    <w:p>
      <w:r>
        <w:t xml:space="preserve">Table 1: Demographic and Metaverse Engagement Details of Respondents (N = 312)</w:t>
      </w:r>
    </w:p>
    <w:p>
      <w:r>
        <w:t xml:space="preserve">Participants' Information / No. of Participants / %</w:t>
      </w:r>
    </w:p>
    <w:p>
      <w:r>
        <w:t xml:space="preserve">Gender</w:t>
      </w:r>
    </w:p>
    <w:p>
      <w:r>
        <w:t xml:space="preserve">Male</w:t>
      </w:r>
      <w:r>
        <w:tab/>
      </w:r>
      <w:r>
        <w:t xml:space="preserve">143</w:t>
      </w:r>
      <w:r>
        <w:tab/>
      </w:r>
      <w:r>
        <w:t xml:space="preserve">46.00</w:t>
      </w:r>
    </w:p>
    <w:p>
      <w:r>
        <w:t xml:space="preserve">Female</w:t>
      </w:r>
      <w:r>
        <w:tab/>
      </w:r>
      <w:r>
        <w:t xml:space="preserve">169</w:t>
      </w:r>
      <w:r>
        <w:tab/>
      </w:r>
      <w:r>
        <w:t xml:space="preserve">54.00</w:t>
      </w:r>
    </w:p>
    <w:p>
      <w:r>
        <w:t xml:space="preserve">Age (Years)</w:t>
      </w:r>
    </w:p>
    <w:p>
      <w:r>
        <w:t xml:space="preserve">18-22</w:t>
      </w:r>
      <w:r>
        <w:tab/>
      </w:r>
      <w:r>
        <w:t xml:space="preserve">64</w:t>
      </w:r>
      <w:r>
        <w:tab/>
      </w:r>
      <w:r>
        <w:t xml:space="preserve">20.51</w:t>
      </w:r>
    </w:p>
    <w:p>
      <w:r>
        <w:t xml:space="preserve">23-28</w:t>
      </w:r>
      <w:r>
        <w:tab/>
      </w:r>
      <w:r>
        <w:t xml:space="preserve">75</w:t>
      </w:r>
      <w:r>
        <w:tab/>
      </w:r>
      <w:r>
        <w:t xml:space="preserve">24.04</w:t>
      </w:r>
    </w:p>
    <w:p>
      <w:r>
        <w:t xml:space="preserve">29-34</w:t>
      </w:r>
      <w:r>
        <w:tab/>
      </w:r>
      <w:r>
        <w:t xml:space="preserve">60</w:t>
      </w:r>
      <w:r>
        <w:tab/>
      </w:r>
      <w:r>
        <w:t xml:space="preserve">19.23</w:t>
      </w:r>
    </w:p>
    <w:p>
      <w:r>
        <w:t xml:space="preserve">35-41</w:t>
      </w:r>
      <w:r>
        <w:tab/>
      </w:r>
      <w:r>
        <w:t xml:space="preserve">57</w:t>
      </w:r>
      <w:r>
        <w:tab/>
      </w:r>
      <w:r>
        <w:t xml:space="preserve">18.27</w:t>
      </w:r>
    </w:p>
    <w:p>
      <w:r>
        <w:t xml:space="preserve">42-45</w:t>
      </w:r>
      <w:r>
        <w:tab/>
      </w:r>
      <w:r>
        <w:t xml:space="preserve">56</w:t>
      </w:r>
      <w:r>
        <w:tab/>
      </w:r>
      <w:r>
        <w:t xml:space="preserve">17.95</w:t>
      </w:r>
    </w:p>
    <w:p>
      <w:r>
        <w:t xml:space="preserve">Marital Status</w:t>
      </w:r>
    </w:p>
    <w:p>
      <w:r>
        <w:t xml:space="preserve">Single</w:t>
      </w:r>
      <w:r>
        <w:tab/>
      </w:r>
      <w:r>
        <w:t xml:space="preserve">107</w:t>
      </w:r>
      <w:r>
        <w:tab/>
      </w:r>
      <w:r>
        <w:t xml:space="preserve">34.29</w:t>
      </w:r>
    </w:p>
    <w:p>
      <w:r>
        <w:t xml:space="preserve">Married with children</w:t>
      </w:r>
      <w:r>
        <w:tab/>
      </w:r>
      <w:r>
        <w:t xml:space="preserve">84</w:t>
      </w:r>
      <w:r>
        <w:tab/>
      </w:r>
      <w:r>
        <w:t xml:space="preserve">26.93</w:t>
      </w:r>
    </w:p>
    <w:p>
      <w:r>
        <w:t xml:space="preserve">Married without children</w:t>
      </w:r>
      <w:r>
        <w:tab/>
      </w:r>
      <w:r>
        <w:t xml:space="preserve">121</w:t>
      </w:r>
      <w:r>
        <w:tab/>
      </w:r>
      <w:r>
        <w:t xml:space="preserve">38.78</w:t>
      </w:r>
    </w:p>
    <w:p>
      <w:r>
        <w:t xml:space="preserve">Occupation</w:t>
      </w:r>
    </w:p>
    <w:p>
      <w:r>
        <w:t xml:space="preserve">Students</w:t>
      </w:r>
      <w:r>
        <w:tab/>
      </w:r>
      <w:r>
        <w:t xml:space="preserve">88</w:t>
      </w:r>
      <w:r>
        <w:tab/>
      </w:r>
      <w:r>
        <w:t xml:space="preserve">28.21</w:t>
      </w:r>
    </w:p>
    <w:p>
      <w:r>
        <w:t xml:space="preserve">Job</w:t>
      </w:r>
      <w:r>
        <w:tab/>
      </w:r>
      <w:r>
        <w:t xml:space="preserve">102</w:t>
      </w:r>
      <w:r>
        <w:tab/>
      </w:r>
      <w:r>
        <w:t xml:space="preserve">32.69</w:t>
      </w:r>
    </w:p>
    <w:p>
      <w:r>
        <w:t xml:space="preserve">Business</w:t>
      </w:r>
      <w:r>
        <w:tab/>
      </w:r>
      <w:r>
        <w:t xml:space="preserve">122</w:t>
      </w:r>
      <w:r>
        <w:tab/>
      </w:r>
      <w:r>
        <w:t xml:space="preserve">39.10</w:t>
      </w:r>
    </w:p>
    <w:p>
      <w:r>
        <w:t xml:space="preserve">Metaverse Engagement Frequency</w:t>
      </w:r>
    </w:p>
    <w:p>
      <w:r>
        <w:t xml:space="preserve">Daily</w:t>
      </w:r>
      <w:r>
        <w:tab/>
      </w:r>
      <w:r>
        <w:t xml:space="preserve">52</w:t>
      </w:r>
      <w:r>
        <w:tab/>
      </w:r>
      <w:r>
        <w:t xml:space="preserve">16.67</w:t>
      </w:r>
    </w:p>
    <w:p>
      <w:r>
        <w:t xml:space="preserve">Several times a week</w:t>
      </w:r>
      <w:r>
        <w:tab/>
      </w:r>
      <w:r>
        <w:t xml:space="preserve">98</w:t>
      </w:r>
      <w:r>
        <w:tab/>
      </w:r>
      <w:r>
        <w:t xml:space="preserve">31.41</w:t>
      </w:r>
    </w:p>
    <w:p>
      <w:r>
        <w:t xml:space="preserve">Weekly</w:t>
      </w:r>
      <w:r>
        <w:tab/>
      </w:r>
      <w:r>
        <w:t xml:space="preserve">73</w:t>
      </w:r>
      <w:r>
        <w:tab/>
      </w:r>
      <w:r>
        <w:t xml:space="preserve">23.38</w:t>
      </w:r>
    </w:p>
    <w:p>
      <w:r>
        <w:t xml:space="preserve">Monthly</w:t>
      </w:r>
      <w:r>
        <w:tab/>
      </w:r>
      <w:r>
        <w:t xml:space="preserve">54</w:t>
      </w:r>
      <w:r>
        <w:tab/>
      </w:r>
      <w:r>
        <w:t xml:space="preserve">17.31</w:t>
      </w:r>
    </w:p>
    <w:p>
      <w:r>
        <w:t xml:space="preserve">Rarely</w:t>
      </w:r>
      <w:r>
        <w:tab/>
      </w:r>
      <w:r>
        <w:t xml:space="preserve">35</w:t>
      </w:r>
      <w:r>
        <w:tab/>
      </w:r>
      <w:r>
        <w:t xml:space="preserve">11.21</w:t>
      </w:r>
    </w:p>
    <w:p>
      <w:r>
        <w:t xml:space="preserve">NFT Interaction</w:t>
      </w:r>
    </w:p>
    <w:p>
      <w:r>
        <w:t xml:space="preserve">Yes</w:t>
      </w:r>
      <w:r>
        <w:tab/>
      </w:r>
      <w:r>
        <w:t xml:space="preserve">141</w:t>
      </w:r>
      <w:r>
        <w:tab/>
      </w:r>
      <w:r>
        <w:t xml:space="preserve">45.19</w:t>
      </w:r>
    </w:p>
    <w:p>
      <w:r>
        <w:t xml:space="preserve">No</w:t>
      </w:r>
      <w:r>
        <w:tab/>
      </w:r>
      <w:r>
        <w:t xml:space="preserve">171</w:t>
      </w:r>
      <w:r>
        <w:tab/>
      </w:r>
      <w:r>
        <w:t xml:space="preserve">54.81</w:t>
      </w:r>
    </w:p>
    <w:p>
      <w:r>
        <w:t xml:space="preserve">Virtual Event Participation</w:t>
      </w:r>
    </w:p>
    <w:p>
      <w:r>
        <w:t xml:space="preserve">Yes</w:t>
      </w:r>
      <w:r>
        <w:tab/>
      </w:r>
      <w:r>
        <w:t xml:space="preserve">129</w:t>
      </w:r>
      <w:r>
        <w:tab/>
      </w:r>
      <w:r>
        <w:t xml:space="preserve">41.35</w:t>
      </w:r>
    </w:p>
    <w:p>
      <w:r>
        <w:t xml:space="preserve">No</w:t>
      </w:r>
      <w:r>
        <w:tab/>
      </w:r>
      <w:r>
        <w:t xml:space="preserve">183</w:t>
      </w:r>
      <w:r>
        <w:tab/>
      </w:r>
      <w:r>
        <w:t xml:space="preserve">58.65</w:t>
      </w:r>
    </w:p>
    <w:p>
      <w:r>
        <w:t xml:space="preserve">Social Interaction/Content Creation</w:t>
      </w:r>
    </w:p>
    <w:p>
      <w:r>
        <w:t xml:space="preserve">Yes</w:t>
      </w:r>
      <w:r>
        <w:tab/>
      </w:r>
      <w:r>
        <w:t xml:space="preserve">164</w:t>
      </w:r>
      <w:r>
        <w:tab/>
      </w:r>
      <w:r>
        <w:t xml:space="preserve">52.56</w:t>
      </w:r>
    </w:p>
    <w:p>
      <w:r>
        <w:t xml:space="preserve">No</w:t>
      </w:r>
      <w:r>
        <w:tab/>
      </w:r>
      <w:r>
        <w:t xml:space="preserve">148</w:t>
      </w:r>
      <w:r>
        <w:tab/>
      </w:r>
      <w:r>
        <w:t xml:space="preserve">47.44</w:t>
      </w:r>
    </w:p>
    <w:p>
      <w:r>
        <w:t xml:space="preserve">Monthly Family Income</w:t>
      </w:r>
    </w:p>
    <w:p>
      <w:r>
        <w:t xml:space="preserve">INR 30,000 or less</w:t>
      </w:r>
      <w:r>
        <w:tab/>
      </w:r>
      <w:r>
        <w:t xml:space="preserve">57</w:t>
      </w:r>
      <w:r>
        <w:tab/>
      </w:r>
      <w:r>
        <w:t xml:space="preserve">18.40</w:t>
      </w:r>
    </w:p>
    <w:p>
      <w:r>
        <w:t xml:space="preserve">INR 30,001-50,000</w:t>
      </w:r>
      <w:r>
        <w:tab/>
      </w:r>
      <w:r>
        <w:t xml:space="preserve">80</w:t>
      </w:r>
      <w:r>
        <w:tab/>
      </w:r>
      <w:r>
        <w:t xml:space="preserve">25.64</w:t>
      </w:r>
    </w:p>
    <w:p>
      <w:r>
        <w:t xml:space="preserve">INR 50,001-80,000</w:t>
      </w:r>
      <w:r>
        <w:tab/>
      </w:r>
      <w:r>
        <w:t xml:space="preserve">100</w:t>
      </w:r>
      <w:r>
        <w:tab/>
      </w:r>
      <w:r>
        <w:t xml:space="preserve">32.05</w:t>
      </w:r>
    </w:p>
    <w:p>
      <w:r>
        <w:t xml:space="preserve">INR 80,001 and above</w:t>
      </w:r>
      <w:r>
        <w:tab/>
      </w:r>
      <w:r>
        <w:t xml:space="preserve">75</w:t>
      </w:r>
      <w:r>
        <w:tab/>
      </w:r>
      <w:r>
        <w:t xml:space="preserve">23.91</w:t>
      </w:r>
    </w:p>
    <w:p>
      <w:r>
        <w:t xml:space="preserve">Source: Authors</w:t>
      </w:r>
    </w:p>
    <w:p/>
    <w:p>
      <w:pPr>
        <w:spacing w:before="200" w:after="80"/>
      </w:pPr>
      <w:r>
        <w:rPr>
          <w:b/>
          <w:sz w:val="26"/>
          <w:szCs w:val="26"/>
        </w:rPr>
        <w:t xml:space="preserve">5.2. Assessment of Reliability and validity</w:t>
      </w:r>
    </w:p>
    <w:p>
      <w:r>
        <w:t xml:space="preserve">PLS-SEM confirmed satisfactory reliability and consistency. The measurement model was evaluated via standardized loadings, Cronbach's alpha, composite reliability (CR) and average variance extracted (AVE). Standardized loadings ranged 0.699-0.741 (Brand Satisfaction), 0.670-0.707 (User Engagement), 0.677-0.714 (User Experience) and 0.661-0.682 (Brand Success), all exceeding the 0.60 minimum with significant z-values (p &lt; .001) (Bagozzi and Yi, 1988; Table 2).</w:t>
      </w:r>
    </w:p>
    <w:p>
      <w:r>
        <w:t xml:space="preserve">Cronbach's alpha and CR came in at 0.84 (BSAT), 0.90 (UE), 0.90 (UX) and 0.77 (BSUC), all above the 0.70 minimum (Nunnally and Bernstein, 1994; Hair et al., 2019), which indicates that the items measure their constructs consistently.</w:t>
      </w:r>
    </w:p>
    <w:p>
      <w:r>
        <w:t xml:space="preserve">For convergent validity, every loading was positive and significant (p &lt; .001), and CR ranged 0.77-0.90 (Table 2). AVE values were 0.51 (BSAT), 0.48 (UE), 0.48 (UX) and 0.45 (BSUC). Three sit marginally below 0.50, but convergent validity still holds given the significant loadings and adequate CR (Fornell and Larcker, 1981).</w:t>
      </w:r>
    </w:p>
    <w:p>
      <w:r>
        <w:t xml:space="preserve">Common method bias was assessed with Harman's single-factor test (Podsakoff et al., 2003): one unrotated factor explained 31.4% of variance, below 50%. Procedural remedies anonymity, no right/wrong answers, and separation of predictor and criterion items further limited bias, though it cannot be entirely ruled out in cross-sectional self-report data.</w:t>
      </w:r>
    </w:p>
    <w:p>
      <w:r>
        <w:t xml:space="preserve">Discriminant validity used the Heterotrait-Monotrait (HTMT) ratio (Hair et al., 2019; Henseler et al., 2015). All HTMT values fell below the 0.85 threshold (maximum 0.814 for the engagement-experience pair; Table 2a), confirming each construct is empirically distinct. Read alongside the Harman result, neither method bias nor poor discriminant validity threatens the conclusions.</w:t>
      </w:r>
    </w:p>
    <w:p/>
    <w:p>
      <w:r>
        <w:t xml:space="preserve">Table 2. Reliability Statistics</w:t>
      </w:r>
    </w:p>
    <w:p>
      <w:r>
        <w:t xml:space="preserve">Factor / Indicator / Estimate / Cronbach's Alpha / AVE / SE / Z / p</w:t>
      </w:r>
    </w:p>
    <w:p>
      <w:r>
        <w:t xml:space="preserve">Brand Satisfaction</w:t>
      </w:r>
      <w:r>
        <w:tab/>
      </w:r>
      <w:r>
        <w:t xml:space="preserve">BSAT_1</w:t>
      </w:r>
      <w:r>
        <w:tab/>
      </w:r>
      <w:r>
        <w:t xml:space="preserve">0.705</w:t>
      </w:r>
      <w:r>
        <w:tab/>
      </w:r>
      <w:r>
        <w:t xml:space="preserve">0.841</w:t>
      </w:r>
      <w:r>
        <w:tab/>
      </w:r>
      <w:r>
        <w:t xml:space="preserve">0.514</w:t>
      </w:r>
      <w:r>
        <w:tab/>
      </w:r>
      <w:r>
        <w:t xml:space="preserve">0.0323</w:t>
      </w:r>
      <w:r>
        <w:tab/>
      </w:r>
      <w:r>
        <w:t xml:space="preserve">21.8</w:t>
      </w:r>
      <w:r>
        <w:tab/>
      </w:r>
      <w:r>
        <w:t xml:space="preserve">&lt;.001</w:t>
      </w:r>
    </w:p>
    <w:p>
      <w:r>
        <w:tab/>
      </w:r>
      <w:r>
        <w:t xml:space="preserve">BSAT_2</w:t>
      </w:r>
      <w:r>
        <w:tab/>
      </w:r>
      <w:r>
        <w:t xml:space="preserve">0.741</w:t>
      </w:r>
      <w:r>
        <w:tab/>
      </w:r>
      <w:r>
        <w:tab/>
      </w:r>
      <w:r>
        <w:tab/>
      </w:r>
      <w:r>
        <w:t xml:space="preserve">0.0337</w:t>
      </w:r>
      <w:r>
        <w:tab/>
      </w:r>
      <w:r>
        <w:t xml:space="preserve">22.0</w:t>
      </w:r>
      <w:r>
        <w:tab/>
      </w:r>
      <w:r>
        <w:t xml:space="preserve">&lt;.001</w:t>
      </w:r>
    </w:p>
    <w:p>
      <w:r>
        <w:tab/>
      </w:r>
      <w:r>
        <w:t xml:space="preserve">BSAT_3</w:t>
      </w:r>
      <w:r>
        <w:tab/>
      </w:r>
      <w:r>
        <w:t xml:space="preserve">0.721</w:t>
      </w:r>
      <w:r>
        <w:tab/>
      </w:r>
      <w:r>
        <w:tab/>
      </w:r>
      <w:r>
        <w:tab/>
      </w:r>
      <w:r>
        <w:t xml:space="preserve">0.0328</w:t>
      </w:r>
      <w:r>
        <w:tab/>
      </w:r>
      <w:r>
        <w:t xml:space="preserve">21.9</w:t>
      </w:r>
      <w:r>
        <w:tab/>
      </w:r>
      <w:r>
        <w:t xml:space="preserve">&lt;.001</w:t>
      </w:r>
    </w:p>
    <w:p>
      <w:r>
        <w:tab/>
      </w:r>
      <w:r>
        <w:t xml:space="preserve">BSAT_4</w:t>
      </w:r>
      <w:r>
        <w:tab/>
      </w:r>
      <w:r>
        <w:t xml:space="preserve">0.719</w:t>
      </w:r>
      <w:r>
        <w:tab/>
      </w:r>
      <w:r>
        <w:tab/>
      </w:r>
      <w:r>
        <w:tab/>
      </w:r>
      <w:r>
        <w:t xml:space="preserve">0.0335</w:t>
      </w:r>
      <w:r>
        <w:tab/>
      </w:r>
      <w:r>
        <w:t xml:space="preserve">21.5</w:t>
      </w:r>
      <w:r>
        <w:tab/>
      </w:r>
      <w:r>
        <w:t xml:space="preserve">&lt;.001</w:t>
      </w:r>
    </w:p>
    <w:p>
      <w:r>
        <w:tab/>
      </w:r>
      <w:r>
        <w:t xml:space="preserve">BSAT_5</w:t>
      </w:r>
      <w:r>
        <w:tab/>
      </w:r>
      <w:r>
        <w:t xml:space="preserve">0.699</w:t>
      </w:r>
      <w:r>
        <w:tab/>
      </w:r>
      <w:r>
        <w:tab/>
      </w:r>
      <w:r>
        <w:tab/>
      </w:r>
      <w:r>
        <w:t xml:space="preserve">0.0328</w:t>
      </w:r>
      <w:r>
        <w:tab/>
      </w:r>
      <w:r>
        <w:t xml:space="preserve">21.3</w:t>
      </w:r>
      <w:r>
        <w:tab/>
      </w:r>
      <w:r>
        <w:t xml:space="preserve">&lt;.001</w:t>
      </w:r>
    </w:p>
    <w:p>
      <w:r>
        <w:t xml:space="preserve">User Engagement</w:t>
      </w:r>
      <w:r>
        <w:tab/>
      </w:r>
      <w:r>
        <w:t xml:space="preserve">UE_1</w:t>
      </w:r>
      <w:r>
        <w:tab/>
      </w:r>
      <w:r>
        <w:t xml:space="preserve">0.684</w:t>
      </w:r>
      <w:r>
        <w:tab/>
      </w:r>
      <w:r>
        <w:t xml:space="preserve">0.903</w:t>
      </w:r>
      <w:r>
        <w:tab/>
      </w:r>
      <w:r>
        <w:t xml:space="preserve">0.481</w:t>
      </w:r>
      <w:r>
        <w:tab/>
      </w:r>
      <w:r>
        <w:t xml:space="preserve">0.0322</w:t>
      </w:r>
      <w:r>
        <w:tab/>
      </w:r>
      <w:r>
        <w:t xml:space="preserve">21.3</w:t>
      </w:r>
      <w:r>
        <w:tab/>
      </w:r>
      <w:r>
        <w:t xml:space="preserve">&lt;.001</w:t>
      </w:r>
    </w:p>
    <w:p>
      <w:r>
        <w:tab/>
      </w:r>
      <w:r>
        <w:t xml:space="preserve">UE_2</w:t>
      </w:r>
      <w:r>
        <w:tab/>
      </w:r>
      <w:r>
        <w:t xml:space="preserve">0.696</w:t>
      </w:r>
      <w:r>
        <w:tab/>
      </w:r>
      <w:r>
        <w:tab/>
      </w:r>
      <w:r>
        <w:tab/>
      </w:r>
      <w:r>
        <w:t xml:space="preserve">0.0325</w:t>
      </w:r>
      <w:r>
        <w:tab/>
      </w:r>
      <w:r>
        <w:t xml:space="preserve">21.4</w:t>
      </w:r>
      <w:r>
        <w:tab/>
      </w:r>
      <w:r>
        <w:t xml:space="preserve">&lt;.001</w:t>
      </w:r>
    </w:p>
    <w:p>
      <w:r>
        <w:tab/>
      </w:r>
      <w:r>
        <w:t xml:space="preserve">UE_3</w:t>
      </w:r>
      <w:r>
        <w:tab/>
      </w:r>
      <w:r>
        <w:t xml:space="preserve">0.706</w:t>
      </w:r>
      <w:r>
        <w:tab/>
      </w:r>
      <w:r>
        <w:tab/>
      </w:r>
      <w:r>
        <w:tab/>
      </w:r>
      <w:r>
        <w:t xml:space="preserve">0.0325</w:t>
      </w:r>
      <w:r>
        <w:tab/>
      </w:r>
      <w:r>
        <w:t xml:space="preserve">21.7</w:t>
      </w:r>
      <w:r>
        <w:tab/>
      </w:r>
      <w:r>
        <w:t xml:space="preserve">&lt;.001</w:t>
      </w:r>
    </w:p>
    <w:p>
      <w:r>
        <w:tab/>
      </w:r>
      <w:r>
        <w:t xml:space="preserve">UE_4</w:t>
      </w:r>
      <w:r>
        <w:tab/>
      </w:r>
      <w:r>
        <w:t xml:space="preserve">0.684</w:t>
      </w:r>
      <w:r>
        <w:tab/>
      </w:r>
      <w:r>
        <w:tab/>
      </w:r>
      <w:r>
        <w:tab/>
      </w:r>
      <w:r>
        <w:t xml:space="preserve">0.0334</w:t>
      </w:r>
      <w:r>
        <w:tab/>
      </w:r>
      <w:r>
        <w:t xml:space="preserve">20.5</w:t>
      </w:r>
      <w:r>
        <w:tab/>
      </w:r>
      <w:r>
        <w:t xml:space="preserve">&lt;.001</w:t>
      </w:r>
    </w:p>
    <w:p>
      <w:r>
        <w:tab/>
      </w:r>
      <w:r>
        <w:t xml:space="preserve">UE_5</w:t>
      </w:r>
      <w:r>
        <w:tab/>
      </w:r>
      <w:r>
        <w:t xml:space="preserve">0.698</w:t>
      </w:r>
      <w:r>
        <w:tab/>
      </w:r>
      <w:r>
        <w:tab/>
      </w:r>
      <w:r>
        <w:tab/>
      </w:r>
      <w:r>
        <w:t xml:space="preserve">0.0327</w:t>
      </w:r>
      <w:r>
        <w:tab/>
      </w:r>
      <w:r>
        <w:t xml:space="preserve">21.3</w:t>
      </w:r>
      <w:r>
        <w:tab/>
      </w:r>
      <w:r>
        <w:t xml:space="preserve">&lt;.001</w:t>
      </w:r>
    </w:p>
    <w:p>
      <w:r>
        <w:tab/>
      </w:r>
      <w:r>
        <w:t xml:space="preserve">UE_6</w:t>
      </w:r>
      <w:r>
        <w:tab/>
      </w:r>
      <w:r>
        <w:t xml:space="preserve">0.705</w:t>
      </w:r>
      <w:r>
        <w:tab/>
      </w:r>
      <w:r>
        <w:tab/>
      </w:r>
      <w:r>
        <w:tab/>
      </w:r>
      <w:r>
        <w:t xml:space="preserve">0.0325</w:t>
      </w:r>
      <w:r>
        <w:tab/>
      </w:r>
      <w:r>
        <w:t xml:space="preserve">21.7</w:t>
      </w:r>
      <w:r>
        <w:tab/>
      </w:r>
      <w:r>
        <w:t xml:space="preserve">&lt;.001</w:t>
      </w:r>
    </w:p>
    <w:p>
      <w:r>
        <w:tab/>
      </w:r>
      <w:r>
        <w:t xml:space="preserve">UE_7</w:t>
      </w:r>
      <w:r>
        <w:tab/>
      </w:r>
      <w:r>
        <w:t xml:space="preserve">0.677</w:t>
      </w:r>
      <w:r>
        <w:tab/>
      </w:r>
      <w:r>
        <w:tab/>
      </w:r>
      <w:r>
        <w:tab/>
      </w:r>
      <w:r>
        <w:t xml:space="preserve">0.0323</w:t>
      </w:r>
      <w:r>
        <w:tab/>
      </w:r>
      <w:r>
        <w:t xml:space="preserve">20.9</w:t>
      </w:r>
      <w:r>
        <w:tab/>
      </w:r>
      <w:r>
        <w:t xml:space="preserve">&lt;.001</w:t>
      </w:r>
    </w:p>
    <w:p>
      <w:r>
        <w:tab/>
      </w:r>
      <w:r>
        <w:t xml:space="preserve">UE_8</w:t>
      </w:r>
      <w:r>
        <w:tab/>
      </w:r>
      <w:r>
        <w:t xml:space="preserve">0.707</w:t>
      </w:r>
      <w:r>
        <w:tab/>
      </w:r>
      <w:r>
        <w:tab/>
      </w:r>
      <w:r>
        <w:tab/>
      </w:r>
      <w:r>
        <w:t xml:space="preserve">0.0326</w:t>
      </w:r>
      <w:r>
        <w:tab/>
      </w:r>
      <w:r>
        <w:t xml:space="preserve">21.7</w:t>
      </w:r>
      <w:r>
        <w:tab/>
      </w:r>
      <w:r>
        <w:t xml:space="preserve">&lt;.001</w:t>
      </w:r>
    </w:p>
    <w:p>
      <w:r>
        <w:tab/>
      </w:r>
      <w:r>
        <w:t xml:space="preserve">UE_9</w:t>
      </w:r>
      <w:r>
        <w:tab/>
      </w:r>
      <w:r>
        <w:t xml:space="preserve">0.670</w:t>
      </w:r>
      <w:r>
        <w:tab/>
      </w:r>
      <w:r>
        <w:tab/>
      </w:r>
      <w:r>
        <w:tab/>
      </w:r>
      <w:r>
        <w:t xml:space="preserve">0.0311</w:t>
      </w:r>
      <w:r>
        <w:tab/>
      </w:r>
      <w:r>
        <w:t xml:space="preserve">21.5</w:t>
      </w:r>
      <w:r>
        <w:tab/>
      </w:r>
      <w:r>
        <w:t xml:space="preserve">&lt;.001</w:t>
      </w:r>
    </w:p>
    <w:p>
      <w:r>
        <w:tab/>
      </w:r>
      <w:r>
        <w:t xml:space="preserve">UE_10</w:t>
      </w:r>
      <w:r>
        <w:tab/>
      </w:r>
      <w:r>
        <w:t xml:space="preserve">0.706</w:t>
      </w:r>
      <w:r>
        <w:tab/>
      </w:r>
      <w:r>
        <w:tab/>
      </w:r>
      <w:r>
        <w:tab/>
      </w:r>
      <w:r>
        <w:t xml:space="preserve">0.0325</w:t>
      </w:r>
      <w:r>
        <w:tab/>
      </w:r>
      <w:r>
        <w:t xml:space="preserve">21.7</w:t>
      </w:r>
      <w:r>
        <w:tab/>
      </w:r>
      <w:r>
        <w:t xml:space="preserve">&lt;.001</w:t>
      </w:r>
    </w:p>
    <w:p>
      <w:r>
        <w:t xml:space="preserve">User Experience</w:t>
      </w:r>
      <w:r>
        <w:tab/>
      </w:r>
      <w:r>
        <w:t xml:space="preserve">UX_1</w:t>
      </w:r>
      <w:r>
        <w:tab/>
      </w:r>
      <w:r>
        <w:t xml:space="preserve">0.690</w:t>
      </w:r>
      <w:r>
        <w:tab/>
      </w:r>
      <w:r>
        <w:t xml:space="preserve">0.902</w:t>
      </w:r>
      <w:r>
        <w:tab/>
      </w:r>
      <w:r>
        <w:t xml:space="preserve">0.481</w:t>
      </w:r>
      <w:r>
        <w:tab/>
      </w:r>
      <w:r>
        <w:t xml:space="preserve">0.0327</w:t>
      </w:r>
      <w:r>
        <w:tab/>
      </w:r>
      <w:r>
        <w:t xml:space="preserve">21.1</w:t>
      </w:r>
      <w:r>
        <w:tab/>
      </w:r>
      <w:r>
        <w:t xml:space="preserve">&lt;.001</w:t>
      </w:r>
    </w:p>
    <w:p>
      <w:r>
        <w:tab/>
      </w:r>
      <w:r>
        <w:t xml:space="preserve">UX_2</w:t>
      </w:r>
      <w:r>
        <w:tab/>
      </w:r>
      <w:r>
        <w:t xml:space="preserve">0.681</w:t>
      </w:r>
      <w:r>
        <w:tab/>
      </w:r>
      <w:r>
        <w:tab/>
      </w:r>
      <w:r>
        <w:tab/>
      </w:r>
      <w:r>
        <w:t xml:space="preserve">0.0319</w:t>
      </w:r>
      <w:r>
        <w:tab/>
      </w:r>
      <w:r>
        <w:t xml:space="preserve">21.3</w:t>
      </w:r>
      <w:r>
        <w:tab/>
      </w:r>
      <w:r>
        <w:t xml:space="preserve">&lt;.001</w:t>
      </w:r>
    </w:p>
    <w:p>
      <w:r>
        <w:tab/>
      </w:r>
      <w:r>
        <w:t xml:space="preserve">UX_3</w:t>
      </w:r>
      <w:r>
        <w:tab/>
      </w:r>
      <w:r>
        <w:t xml:space="preserve">0.714</w:t>
      </w:r>
      <w:r>
        <w:tab/>
      </w:r>
      <w:r>
        <w:tab/>
      </w:r>
      <w:r>
        <w:tab/>
      </w:r>
      <w:r>
        <w:t xml:space="preserve">0.0325</w:t>
      </w:r>
      <w:r>
        <w:tab/>
      </w:r>
      <w:r>
        <w:t xml:space="preserve">22.0</w:t>
      </w:r>
      <w:r>
        <w:tab/>
      </w:r>
      <w:r>
        <w:t xml:space="preserve">&lt;.001</w:t>
      </w:r>
    </w:p>
    <w:p>
      <w:r>
        <w:tab/>
      </w:r>
      <w:r>
        <w:t xml:space="preserve">UX_4</w:t>
      </w:r>
      <w:r>
        <w:tab/>
      </w:r>
      <w:r>
        <w:t xml:space="preserve">0.694</w:t>
      </w:r>
      <w:r>
        <w:tab/>
      </w:r>
      <w:r>
        <w:tab/>
      </w:r>
      <w:r>
        <w:tab/>
      </w:r>
      <w:r>
        <w:t xml:space="preserve">0.0326</w:t>
      </w:r>
      <w:r>
        <w:tab/>
      </w:r>
      <w:r>
        <w:t xml:space="preserve">21.3</w:t>
      </w:r>
      <w:r>
        <w:tab/>
      </w:r>
      <w:r>
        <w:t xml:space="preserve">&lt;.001</w:t>
      </w:r>
    </w:p>
    <w:p>
      <w:r>
        <w:tab/>
      </w:r>
      <w:r>
        <w:t xml:space="preserve">UX_5</w:t>
      </w:r>
      <w:r>
        <w:tab/>
      </w:r>
      <w:r>
        <w:t xml:space="preserve">0.678</w:t>
      </w:r>
      <w:r>
        <w:tab/>
      </w:r>
      <w:r>
        <w:tab/>
      </w:r>
      <w:r>
        <w:tab/>
      </w:r>
      <w:r>
        <w:t xml:space="preserve">0.0317</w:t>
      </w:r>
      <w:r>
        <w:tab/>
      </w:r>
      <w:r>
        <w:t xml:space="preserve">21.4</w:t>
      </w:r>
      <w:r>
        <w:tab/>
      </w:r>
      <w:r>
        <w:t xml:space="preserve">&lt;.001</w:t>
      </w:r>
    </w:p>
    <w:p>
      <w:r>
        <w:tab/>
      </w:r>
      <w:r>
        <w:t xml:space="preserve">UX_6</w:t>
      </w:r>
      <w:r>
        <w:tab/>
      </w:r>
      <w:r>
        <w:t xml:space="preserve">0.706</w:t>
      </w:r>
      <w:r>
        <w:tab/>
      </w:r>
      <w:r>
        <w:tab/>
      </w:r>
      <w:r>
        <w:tab/>
      </w:r>
      <w:r>
        <w:t xml:space="preserve">0.0328</w:t>
      </w:r>
      <w:r>
        <w:tab/>
      </w:r>
      <w:r>
        <w:t xml:space="preserve">21.5</w:t>
      </w:r>
      <w:r>
        <w:tab/>
      </w:r>
      <w:r>
        <w:t xml:space="preserve">&lt;.001</w:t>
      </w:r>
    </w:p>
    <w:p>
      <w:r>
        <w:tab/>
      </w:r>
      <w:r>
        <w:t xml:space="preserve">UX_7</w:t>
      </w:r>
      <w:r>
        <w:tab/>
      </w:r>
      <w:r>
        <w:t xml:space="preserve">0.687</w:t>
      </w:r>
      <w:r>
        <w:tab/>
      </w:r>
      <w:r>
        <w:tab/>
      </w:r>
      <w:r>
        <w:tab/>
      </w:r>
      <w:r>
        <w:t xml:space="preserve">0.0317</w:t>
      </w:r>
      <w:r>
        <w:tab/>
      </w:r>
      <w:r>
        <w:t xml:space="preserve">21.7</w:t>
      </w:r>
      <w:r>
        <w:tab/>
      </w:r>
      <w:r>
        <w:t xml:space="preserve">&lt;.001</w:t>
      </w:r>
    </w:p>
    <w:p>
      <w:r>
        <w:tab/>
      </w:r>
      <w:r>
        <w:t xml:space="preserve">UX_8</w:t>
      </w:r>
      <w:r>
        <w:tab/>
      </w:r>
      <w:r>
        <w:t xml:space="preserve">0.677</w:t>
      </w:r>
      <w:r>
        <w:tab/>
      </w:r>
      <w:r>
        <w:tab/>
      </w:r>
      <w:r>
        <w:tab/>
      </w:r>
      <w:r>
        <w:t xml:space="preserve">0.0320</w:t>
      </w:r>
      <w:r>
        <w:tab/>
      </w:r>
      <w:r>
        <w:t xml:space="preserve">21.1</w:t>
      </w:r>
      <w:r>
        <w:tab/>
      </w:r>
      <w:r>
        <w:t xml:space="preserve">&lt;.001</w:t>
      </w:r>
    </w:p>
    <w:p>
      <w:r>
        <w:tab/>
      </w:r>
      <w:r>
        <w:t xml:space="preserve">UX_9</w:t>
      </w:r>
      <w:r>
        <w:tab/>
      </w:r>
      <w:r>
        <w:t xml:space="preserve">0.703</w:t>
      </w:r>
      <w:r>
        <w:tab/>
      </w:r>
      <w:r>
        <w:tab/>
      </w:r>
      <w:r>
        <w:tab/>
      </w:r>
      <w:r>
        <w:t xml:space="preserve">0.0319</w:t>
      </w:r>
      <w:r>
        <w:tab/>
      </w:r>
      <w:r>
        <w:t xml:space="preserve">22.0</w:t>
      </w:r>
      <w:r>
        <w:tab/>
      </w:r>
      <w:r>
        <w:t xml:space="preserve">&lt;.001</w:t>
      </w:r>
    </w:p>
    <w:p>
      <w:r>
        <w:tab/>
      </w:r>
      <w:r>
        <w:t xml:space="preserve">UX_10</w:t>
      </w:r>
      <w:r>
        <w:tab/>
      </w:r>
      <w:r>
        <w:t xml:space="preserve">0.702</w:t>
      </w:r>
      <w:r>
        <w:tab/>
      </w:r>
      <w:r>
        <w:tab/>
      </w:r>
      <w:r>
        <w:tab/>
      </w:r>
      <w:r>
        <w:t xml:space="preserve">0.0321</w:t>
      </w:r>
      <w:r>
        <w:tab/>
      </w:r>
      <w:r>
        <w:t xml:space="preserve">21.9</w:t>
      </w:r>
      <w:r>
        <w:tab/>
      </w:r>
      <w:r>
        <w:t xml:space="preserve">&lt;.001</w:t>
      </w:r>
    </w:p>
    <w:p>
      <w:r>
        <w:t xml:space="preserve">Brand Success</w:t>
      </w:r>
      <w:r>
        <w:tab/>
      </w:r>
      <w:r>
        <w:t xml:space="preserve">BSUC_1</w:t>
      </w:r>
      <w:r>
        <w:tab/>
      </w:r>
      <w:r>
        <w:t xml:space="preserve">0.661</w:t>
      </w:r>
      <w:r>
        <w:tab/>
      </w:r>
      <w:r>
        <w:t xml:space="preserve">0.765</w:t>
      </w:r>
      <w:r>
        <w:tab/>
      </w:r>
      <w:r>
        <w:t xml:space="preserve">0.448</w:t>
      </w:r>
      <w:r>
        <w:tab/>
      </w:r>
      <w:r>
        <w:t xml:space="preserve">0.0308</w:t>
      </w:r>
      <w:r>
        <w:tab/>
      </w:r>
      <w:r>
        <w:t xml:space="preserve">21.5</w:t>
      </w:r>
      <w:r>
        <w:tab/>
      </w:r>
      <w:r>
        <w:t xml:space="preserve">&lt;.001</w:t>
      </w:r>
    </w:p>
    <w:p>
      <w:r>
        <w:tab/>
      </w:r>
      <w:r>
        <w:t xml:space="preserve">BSUC_2</w:t>
      </w:r>
      <w:r>
        <w:tab/>
      </w:r>
      <w:r>
        <w:t xml:space="preserve">0.662</w:t>
      </w:r>
      <w:r>
        <w:tab/>
      </w:r>
      <w:r>
        <w:tab/>
      </w:r>
      <w:r>
        <w:t xml:space="preserve">0.448</w:t>
      </w:r>
      <w:r>
        <w:tab/>
      </w:r>
      <w:r>
        <w:t xml:space="preserve">0.0314</w:t>
      </w:r>
      <w:r>
        <w:tab/>
      </w:r>
      <w:r>
        <w:t xml:space="preserve">21.1</w:t>
      </w:r>
      <w:r>
        <w:tab/>
      </w:r>
      <w:r>
        <w:t xml:space="preserve">&lt;.001</w:t>
      </w:r>
    </w:p>
    <w:p>
      <w:r>
        <w:tab/>
      </w:r>
      <w:r>
        <w:t xml:space="preserve">BSUC_3</w:t>
      </w:r>
      <w:r>
        <w:tab/>
      </w:r>
      <w:r>
        <w:t xml:space="preserve">0.673</w:t>
      </w:r>
      <w:r>
        <w:tab/>
      </w:r>
      <w:r>
        <w:tab/>
      </w:r>
      <w:r>
        <w:t xml:space="preserve">0.448</w:t>
      </w:r>
      <w:r>
        <w:tab/>
      </w:r>
      <w:r>
        <w:t xml:space="preserve">0.0313</w:t>
      </w:r>
      <w:r>
        <w:tab/>
      </w:r>
      <w:r>
        <w:t xml:space="preserve">21.5</w:t>
      </w:r>
      <w:r>
        <w:tab/>
      </w:r>
      <w:r>
        <w:t xml:space="preserve">&lt;.001</w:t>
      </w:r>
    </w:p>
    <w:p>
      <w:r>
        <w:tab/>
      </w:r>
      <w:r>
        <w:t xml:space="preserve">BSUC_4</w:t>
      </w:r>
      <w:r>
        <w:tab/>
      </w:r>
      <w:r>
        <w:t xml:space="preserve">0.682</w:t>
      </w:r>
      <w:r>
        <w:tab/>
      </w:r>
      <w:r>
        <w:tab/>
      </w:r>
      <w:r>
        <w:t xml:space="preserve">0.448</w:t>
      </w:r>
      <w:r>
        <w:tab/>
      </w:r>
      <w:r>
        <w:t xml:space="preserve">0.0317</w:t>
      </w:r>
      <w:r>
        <w:tab/>
      </w:r>
      <w:r>
        <w:t xml:space="preserve">21.5</w:t>
      </w:r>
      <w:r>
        <w:tab/>
      </w:r>
      <w:r>
        <w:t xml:space="preserve">&lt;.001</w:t>
      </w:r>
    </w:p>
    <w:p>
      <w:r>
        <w:t xml:space="preserve">UE: User Engagement, UX: User Experience, BSAT: Brand Satisfaction, BSUC: Brand Success</w:t>
      </w:r>
    </w:p>
    <w:p>
      <w:r>
        <w:t xml:space="preserve">Source: Authors</w:t>
      </w:r>
    </w:p>
    <w:p/>
    <w:p>
      <w:r>
        <w:t xml:space="preserve">Table 2a. Heterotrait-Monotrait (HTMT) Ratio Matrix</w:t>
      </w:r>
    </w:p>
    <w:p>
      <w:r>
        <w:t xml:space="preserve">Construct / BSAT / BSUC / UX / UE</w:t>
      </w:r>
    </w:p>
    <w:p>
      <w:r>
        <w:t xml:space="preserve">Brand Satisfaction (BSAT)</w:t>
      </w:r>
    </w:p>
    <w:p>
      <w:r>
        <w:t xml:space="preserve">Brand Success (BSUC)</w:t>
      </w:r>
      <w:r>
        <w:tab/>
      </w:r>
      <w:r>
        <w:t xml:space="preserve">0.743</w:t>
      </w:r>
    </w:p>
    <w:p>
      <w:r>
        <w:t xml:space="preserve">User Experience (UX)</w:t>
      </w:r>
      <w:r>
        <w:tab/>
      </w:r>
      <w:r>
        <w:t xml:space="preserve">0.768</w:t>
      </w:r>
      <w:r>
        <w:tab/>
      </w:r>
      <w:r>
        <w:t xml:space="preserve">0.712</w:t>
      </w:r>
    </w:p>
    <w:p>
      <w:r>
        <w:t xml:space="preserve">User Engagement (UE)</w:t>
      </w:r>
      <w:r>
        <w:tab/>
      </w:r>
      <w:r>
        <w:t xml:space="preserve">0.756</w:t>
      </w:r>
      <w:r>
        <w:tab/>
      </w:r>
      <w:r>
        <w:t xml:space="preserve">0.729</w:t>
      </w:r>
      <w:r>
        <w:tab/>
      </w:r>
      <w:r>
        <w:t xml:space="preserve">0.814</w:t>
      </w:r>
    </w:p>
    <w:p>
      <w:r>
        <w:t xml:space="preserve">Note: All HTMT values below 0.85 confirm discriminant validity. BSAT = Brand Satisfaction; BSUC = Brand Success; UX = User Experience; UE = User Engagement. Values derived from SmartPLS 4.1 bootstrapping procedure (5,000 subsamples). Source: Authors.</w:t>
      </w:r>
    </w:p>
    <w:p>
      <w:r>
        <w:t xml:space="preserve">Figure 3 presents the Pearson correlation matrix (Jamovi), showing inter-item relationships across the BSAT, UE, UX and BSUC items on a colour gradient from strong positive to strong negative correlations.</w:t>
      </w:r>
    </w:p>
    <w:p>
      <w:r>
        <w:t xml:space="preserve">All standardized loadings were positive and significant, and the heatmaps (panels a-d) show significant positive inter-item correlations within each construct, consistent with unidimensionality. None came near the 0.95 multicollinearity ceiling.</w:t>
      </w:r>
    </w:p>
    <w:p>
      <w:r>
        <w:t xml:space="preserve">The square root of AVE (0.72 BSAT, 0.69 UE, 0.69 UX, 0.67 BSUC) sits close to the construct intercorrelations, which reflects their conceptual proximity, so discriminant validity rests mainly on HTMT (Table 2a), with all ratios below 0.85.</w:t>
      </w:r>
    </w:p>
    <w:p/>
    <w:p>
      <w:r>
        <w:t xml:space="preserve">Figure 3. Correlation Heatmap Obtained using Jamovi Software.</w:t>
      </w:r>
    </w:p>
    <w:p>
      <w:r>
        <w:t xml:space="preserve">Pearson correlation heatmaps for measurement items: (a) Brand Satisfaction (BSAT_1 to BSAT_5), (b) Brand Success (BSUC_1 to BSUC_4), (c) User Experience (UX_1 to UX_10), and (d) User Engagement (UE_1 to UE_10), illustrating positive inter-item correlations within each construct.</w:t>
      </w:r>
    </w:p>
    <w:p>
      <w:r>
        <w:t xml:space="preserve">Source: Authors.</w:t>
      </w:r>
    </w:p>
    <w:p/>
    <w:p>
      <w:pPr>
        <w:spacing w:before="200" w:after="80"/>
      </w:pPr>
      <w:r>
        <w:rPr>
          <w:b/>
          <w:sz w:val="26"/>
          <w:szCs w:val="26"/>
        </w:rPr>
        <w:t xml:space="preserve">5.3. Data Analysis using FsQCA</w:t>
      </w:r>
    </w:p>
    <w:p>
      <w:pPr>
        <w:spacing w:before="200" w:after="80"/>
      </w:pPr>
      <w:r>
        <w:rPr>
          <w:b/>
          <w:sz w:val="26"/>
          <w:szCs w:val="26"/>
        </w:rPr>
        <w:t xml:space="preserve">5.3.1. Data Driven Results from FsQCA</w:t>
      </w:r>
    </w:p>
    <w:p>
      <w:r>
        <w:t xml:space="preserve">To analyse UE, UX, BSAT and BSUC, raw responses were calibrated (Ragin, 2008) into fuzzy-set membership scores, each expressing how far a case belongs to a condition and to the outcome.</w:t>
      </w:r>
    </w:p>
    <w:p>
      <w:r>
        <w:t xml:space="preserve">Calibration used three anchors: the 95th percentile for full membership (0.95), the 50th as the crossover point (0.50), and the 5th for full non-membership (0.05), which keeps scores between 0 and 1 (Ragin, 2008; Douglas et al., 2020). This shared scale lets us compare the calibrated UE, UX, BSAT and BSUC values (Table 3).</w:t>
      </w:r>
    </w:p>
    <w:p/>
    <w:p>
      <w:r>
        <w:t xml:space="preserve">Table 3. Intermediate Solution</w:t>
      </w:r>
    </w:p>
    <w:p>
      <w:r>
        <w:t xml:space="preserve">Model: BSUC = f (BSAT, UX, UE)</w:t>
      </w:r>
    </w:p>
    <w:p>
      <w:r>
        <w:tab/>
      </w:r>
      <w:r>
        <w:t xml:space="preserve">Raw coverage</w:t>
      </w:r>
      <w:r>
        <w:tab/>
      </w:r>
      <w:r>
        <w:t xml:space="preserve">Unique coverage</w:t>
      </w:r>
      <w:r>
        <w:tab/>
      </w:r>
      <w:r>
        <w:t xml:space="preserve">consistency</w:t>
      </w:r>
    </w:p>
    <w:p>
      <w:r>
        <w:t xml:space="preserve">BSAT x UX</w:t>
      </w:r>
      <w:r>
        <w:tab/>
      </w:r>
      <w:r>
        <w:t xml:space="preserve">0.208</w:t>
      </w:r>
      <w:r>
        <w:tab/>
      </w:r>
      <w:r>
        <w:t xml:space="preserve">0.036</w:t>
      </w:r>
      <w:r>
        <w:tab/>
      </w:r>
      <w:r>
        <w:t xml:space="preserve">0.650</w:t>
      </w:r>
    </w:p>
    <w:p>
      <w:r>
        <w:t xml:space="preserve">BSAT x UE</w:t>
      </w:r>
      <w:r>
        <w:tab/>
      </w:r>
      <w:r>
        <w:t xml:space="preserve">0.241</w:t>
      </w:r>
      <w:r>
        <w:tab/>
      </w:r>
      <w:r>
        <w:t xml:space="preserve">0.069</w:t>
      </w:r>
      <w:r>
        <w:tab/>
      </w:r>
      <w:r>
        <w:t xml:space="preserve">0.669</w:t>
      </w:r>
    </w:p>
    <w:p>
      <w:r>
        <w:t xml:space="preserve">UX  x UE</w:t>
      </w:r>
      <w:r>
        <w:tab/>
      </w:r>
      <w:r>
        <w:t xml:space="preserve">0.219</w:t>
      </w:r>
      <w:r>
        <w:tab/>
      </w:r>
      <w:r>
        <w:t xml:space="preserve">0.046</w:t>
      </w:r>
      <w:r>
        <w:tab/>
      </w:r>
      <w:r>
        <w:t xml:space="preserve">0.600</w:t>
      </w:r>
    </w:p>
    <w:p>
      <w:r>
        <w:t xml:space="preserve">User Experience (UX), User Engagement (UE), Brand Satisfaction (BSAT), and Brand Success (BSUC)</w:t>
      </w:r>
    </w:p>
    <w:p>
      <w:r>
        <w:t xml:space="preserve">Note: solution coverage: 0.323827; solution consistency: 0.756327</w:t>
      </w:r>
      <w:r>
        <w:tab/>
      </w:r>
      <w:r>
        <w:t xml:space="preserve">Source: Authors</w:t>
      </w:r>
    </w:p>
    <w:p/>
    <w:p>
      <w:r>
        <w:t xml:space="preserve">Table 3 gives the intermediate solution, modelling BSUC = f(BSAT, UX, UE). Raw coverage sits at roughly 20.84% for BSAT x UX, 24.15% for BSAT x UE and 21.90% for UX x UE; unique coverage is 3.59%, 6.90% and 4.65% respectively.</w:t>
      </w:r>
    </w:p>
    <w:p>
      <w:r>
        <w:t xml:space="preserve">Consistency points to sufficiency (Table 4): 0.650 (BSAT x UX), 0.669 (BSAT x UE) and 0.600 (UX x UE). For the overall intermediate solution, coverage is 0.324 about 32% of the outcome and consistency is 0.756.</w:t>
      </w:r>
    </w:p>
    <w:p>
      <w:r>
        <w:t xml:space="preserve">Figure 4 sets out the framework for brand success, mapping the proposed relationships among UX, UE, BSAT and BSUC in the metaverse.</w:t>
      </w:r>
    </w:p>
    <w:p>
      <w:r>
        <w:t xml:space="preserve">In the model, UX, UE and BSAT are the antecedent conditions for BSUC. The subset-superset analysis asks which combinations are jointly sufficient for high brand success rather than estimating one directional path, which anchors the conceptual model in the empirical configurations.</w:t>
      </w:r>
    </w:p>
    <w:p/>
    <w:p>
      <w:r>
        <w:t xml:space="preserve">Figure 4. Conceptual model and hypotheses (H1-H3): user engagement (UE) and user experience (UX) as antecedents, brand satisfaction (BSAT) as mediator, and brand success (BSUC) as the outcome, framed by Flow Theory and Self-Determination Theory.</w:t>
      </w:r>
    </w:p>
    <w:p>
      <w:r>
        <w:t xml:space="preserve">Source: Authors</w:t>
      </w:r>
    </w:p>
    <w:p/>
    <w:p>
      <w:r>
        <w:t xml:space="preserve">Table 4. Subset/Superset Analysis</w:t>
      </w:r>
    </w:p>
    <w:p>
      <w:r>
        <w:t xml:space="preserve">BSUC = f (BSAT, UX, UE)</w:t>
      </w:r>
      <w:r>
        <w:tab/>
      </w:r>
      <w:r>
        <w:t xml:space="preserve">Consistency</w:t>
      </w:r>
      <w:r>
        <w:tab/>
      </w:r>
      <w:r>
        <w:t xml:space="preserve">Raw Coverage</w:t>
      </w:r>
      <w:r>
        <w:tab/>
      </w:r>
      <w:r>
        <w:t xml:space="preserve">Combined</w:t>
      </w:r>
    </w:p>
    <w:p>
      <w:r>
        <w:t xml:space="preserve">BSAT * UX * UE</w:t>
      </w:r>
      <w:r>
        <w:tab/>
      </w:r>
      <w:r>
        <w:t xml:space="preserve">0.713</w:t>
      </w:r>
      <w:r>
        <w:tab/>
      </w:r>
      <w:r>
        <w:t xml:space="preserve">0.172</w:t>
      </w:r>
      <w:r>
        <w:tab/>
      </w:r>
      <w:r>
        <w:t xml:space="preserve">0.305</w:t>
      </w:r>
    </w:p>
    <w:p>
      <w:r>
        <w:t xml:space="preserve">BSAT * UX</w:t>
      </w:r>
      <w:r>
        <w:tab/>
      </w:r>
      <w:r>
        <w:t xml:space="preserve">0.650</w:t>
      </w:r>
      <w:r>
        <w:tab/>
      </w:r>
      <w:r>
        <w:t xml:space="preserve">0.208</w:t>
      </w:r>
      <w:r>
        <w:tab/>
      </w:r>
      <w:r>
        <w:t xml:space="preserve">0.246</w:t>
      </w:r>
    </w:p>
    <w:p>
      <w:r>
        <w:t xml:space="preserve">UX * UE</w:t>
      </w:r>
      <w:r>
        <w:tab/>
      </w:r>
      <w:r>
        <w:t xml:space="preserve">0.600</w:t>
      </w:r>
      <w:r>
        <w:tab/>
      </w:r>
      <w:r>
        <w:t xml:space="preserve">0.219</w:t>
      </w:r>
      <w:r>
        <w:tab/>
      </w:r>
      <w:r>
        <w:t xml:space="preserve">0.181</w:t>
      </w:r>
    </w:p>
    <w:p>
      <w:r>
        <w:t xml:space="preserve">BSAT * UE</w:t>
      </w:r>
      <w:r>
        <w:tab/>
      </w:r>
      <w:r>
        <w:t xml:space="preserve">0.669</w:t>
      </w:r>
      <w:r>
        <w:tab/>
      </w:r>
      <w:r>
        <w:t xml:space="preserve">0.241</w:t>
      </w:r>
      <w:r>
        <w:tab/>
      </w:r>
      <w:r>
        <w:t xml:space="preserve">0.295</w:t>
      </w:r>
    </w:p>
    <w:p>
      <w:r>
        <w:t xml:space="preserve">UX</w:t>
      </w:r>
      <w:r>
        <w:tab/>
      </w:r>
      <w:r>
        <w:t xml:space="preserve">0.362</w:t>
      </w:r>
      <w:r>
        <w:tab/>
      </w:r>
      <w:r>
        <w:t xml:space="preserve">0.349</w:t>
      </w:r>
      <w:r>
        <w:tab/>
      </w:r>
      <w:r>
        <w:t xml:space="preserve">0.084</w:t>
      </w:r>
    </w:p>
    <w:p>
      <w:r>
        <w:t xml:space="preserve">BSAT</w:t>
      </w:r>
      <w:r>
        <w:tab/>
      </w:r>
      <w:r>
        <w:t xml:space="preserve">0.410</w:t>
      </w:r>
      <w:r>
        <w:tab/>
      </w:r>
      <w:r>
        <w:t xml:space="preserve">0.368</w:t>
      </w:r>
      <w:r>
        <w:tab/>
      </w:r>
      <w:r>
        <w:t xml:space="preserve">0.086</w:t>
      </w:r>
    </w:p>
    <w:p>
      <w:r>
        <w:t xml:space="preserve">UE</w:t>
      </w:r>
      <w:r>
        <w:tab/>
      </w:r>
      <w:r>
        <w:t xml:space="preserve">0.373</w:t>
      </w:r>
      <w:r>
        <w:tab/>
      </w:r>
      <w:r>
        <w:t xml:space="preserve">0.349</w:t>
      </w:r>
      <w:r>
        <w:tab/>
      </w:r>
      <w:r>
        <w:t xml:space="preserve">0.084</w:t>
      </w:r>
    </w:p>
    <w:p>
      <w:r>
        <w:t xml:space="preserve">User Experience (UX), User Engagement (UE), Brand Satisfaction (BSAT), and Brand Success (BSUC)</w:t>
      </w:r>
    </w:p>
    <w:p>
      <w:r>
        <w:t xml:space="preserve">Source: Authors</w:t>
      </w:r>
    </w:p>
    <w:p/>
    <w:p>
      <w:r>
        <w:t xml:space="preserve">Table 5. Configuration Analysis for High Brand Success (BSUC) in the Metaverse</w:t>
      </w:r>
    </w:p>
    <w:p>
      <w:r>
        <w:t xml:space="preserve">Configuration</w:t>
      </w:r>
      <w:r>
        <w:tab/>
      </w:r>
      <w:r>
        <w:t xml:space="preserve">1</w:t>
      </w:r>
      <w:r>
        <w:tab/>
      </w:r>
      <w:r>
        <w:t xml:space="preserve">2</w:t>
      </w:r>
      <w:r>
        <w:tab/>
      </w:r>
      <w:r>
        <w:t xml:space="preserve">3</w:t>
      </w:r>
    </w:p>
    <w:p>
      <w:r>
        <w:t xml:space="preserve">Causal Conditions</w:t>
      </w:r>
    </w:p>
    <w:p>
      <w:r>
        <w:t xml:space="preserve">BSAT (Brand Satisfaction)</w:t>
      </w:r>
      <w:r>
        <w:tab/>
      </w:r>
      <w:r>
        <w:t xml:space="preserve">present</w:t>
      </w:r>
      <w:r>
        <w:tab/>
      </w:r>
      <w:r>
        <w:t xml:space="preserve">present</w:t>
      </w:r>
    </w:p>
    <w:p>
      <w:r>
        <w:t xml:space="preserve">UX (User Experience)</w:t>
      </w:r>
      <w:r>
        <w:tab/>
      </w:r>
      <w:r>
        <w:t xml:space="preserve">present</w:t>
      </w:r>
      <w:r>
        <w:tab/>
      </w:r>
      <w:r>
        <w:tab/>
      </w:r>
      <w:r>
        <w:t xml:space="preserve">present</w:t>
      </w:r>
    </w:p>
    <w:p>
      <w:r>
        <w:t xml:space="preserve">UE (User Engagement)</w:t>
      </w:r>
      <w:r>
        <w:tab/>
      </w:r>
      <w:r>
        <w:tab/>
      </w:r>
      <w:r>
        <w:t xml:space="preserve">present</w:t>
      </w:r>
      <w:r>
        <w:tab/>
      </w:r>
      <w:r>
        <w:t xml:space="preserve">present</w:t>
      </w:r>
    </w:p>
    <w:p>
      <w:r>
        <w:t xml:space="preserve">Performance Metrics</w:t>
      </w:r>
    </w:p>
    <w:p>
      <w:r>
        <w:t xml:space="preserve">Raw Coverage</w:t>
      </w:r>
      <w:r>
        <w:tab/>
      </w:r>
      <w:r>
        <w:t xml:space="preserve">0.208</w:t>
      </w:r>
      <w:r>
        <w:tab/>
      </w:r>
      <w:r>
        <w:t xml:space="preserve">0.241</w:t>
      </w:r>
      <w:r>
        <w:tab/>
      </w:r>
      <w:r>
        <w:t xml:space="preserve">0.218</w:t>
      </w:r>
    </w:p>
    <w:p>
      <w:r>
        <w:t xml:space="preserve">Unique Coverage</w:t>
      </w:r>
      <w:r>
        <w:tab/>
      </w:r>
      <w:r>
        <w:t xml:space="preserve">0.036</w:t>
      </w:r>
      <w:r>
        <w:tab/>
      </w:r>
      <w:r>
        <w:t xml:space="preserve">0.069</w:t>
      </w:r>
      <w:r>
        <w:tab/>
      </w:r>
      <w:r>
        <w:t xml:space="preserve">0.047</w:t>
      </w:r>
    </w:p>
    <w:p>
      <w:r>
        <w:t xml:space="preserve">Consistency</w:t>
      </w:r>
      <w:r>
        <w:tab/>
      </w:r>
      <w:r>
        <w:t xml:space="preserve">0.650</w:t>
      </w:r>
      <w:r>
        <w:tab/>
      </w:r>
      <w:r>
        <w:t xml:space="preserve">0.669</w:t>
      </w:r>
      <w:r>
        <w:tab/>
      </w:r>
      <w:r>
        <w:t xml:space="preserve">0.6</w:t>
      </w:r>
    </w:p>
    <w:p>
      <w:r>
        <w:t xml:space="preserve">Overall Solution</w:t>
      </w:r>
      <w:r>
        <w:tab/>
      </w:r>
      <w:r>
        <w:t xml:space="preserve">Coverage: 0.324</w:t>
      </w:r>
      <w:r>
        <w:tab/>
      </w:r>
      <w:r>
        <w:t xml:space="preserve">Consistency: 0.756</w:t>
      </w:r>
    </w:p>
    <w:p>
      <w:r>
        <w:t xml:space="preserve">Note: Key: present = Core condition present (essential for outcome), Blank = "Don't care" (condition irrelevant for configuration), User Experience (UX), User Engagement (UE), Brand Satisfaction (BSAT), and Brand Success (BSUC) (Outcome variable)</w:t>
      </w:r>
    </w:p>
    <w:p/>
    <w:p>
      <w:r>
        <w:t xml:space="preserve">Table 6. Configuration Analysis for High Brand Success (BSUC) - Expanded Subset-Superset Configurations in the Metaverse</w:t>
      </w:r>
    </w:p>
    <w:p>
      <w:r>
        <w:t xml:space="preserve">Configuration Type</w:t>
      </w:r>
      <w:r>
        <w:tab/>
      </w:r>
      <w:r>
        <w:t xml:space="preserve">Triple Path (BSAT+UX+UE)</w:t>
      </w:r>
      <w:r>
        <w:tab/>
      </w:r>
      <w:r>
        <w:t xml:space="preserve">Satisfaction + Experience</w:t>
      </w:r>
      <w:r>
        <w:tab/>
      </w:r>
      <w:r>
        <w:t xml:space="preserve">Experience + Engagement</w:t>
      </w:r>
      <w:r>
        <w:tab/>
      </w:r>
      <w:r>
        <w:t xml:space="preserve">Satisfaction + Engagement</w:t>
      </w:r>
    </w:p>
    <w:p>
      <w:r>
        <w:t xml:space="preserve">Configuration</w:t>
      </w:r>
      <w:r>
        <w:tab/>
      </w:r>
      <w:r>
        <w:t xml:space="preserve">A</w:t>
      </w:r>
      <w:r>
        <w:tab/>
      </w:r>
      <w:r>
        <w:t xml:space="preserve">B</w:t>
      </w:r>
      <w:r>
        <w:tab/>
      </w:r>
      <w:r>
        <w:t xml:space="preserve">C</w:t>
      </w:r>
      <w:r>
        <w:tab/>
      </w:r>
      <w:r>
        <w:t xml:space="preserve">D</w:t>
      </w:r>
    </w:p>
    <w:p>
      <w:r>
        <w:t xml:space="preserve">BSAT (Brand Satisfaction)</w:t>
      </w:r>
      <w:r>
        <w:tab/>
      </w:r>
      <w:r>
        <w:t xml:space="preserve">present</w:t>
      </w:r>
      <w:r>
        <w:tab/>
      </w:r>
      <w:r>
        <w:t xml:space="preserve">present</w:t>
      </w:r>
      <w:r>
        <w:tab/>
      </w:r>
      <w:r>
        <w:t xml:space="preserve">present</w:t>
      </w:r>
      <w:r>
        <w:tab/>
      </w:r>
      <w:r>
        <w:t xml:space="preserve">present</w:t>
      </w:r>
    </w:p>
    <w:p>
      <w:r>
        <w:t xml:space="preserve">UX (User Experience)</w:t>
      </w:r>
      <w:r>
        <w:tab/>
      </w:r>
      <w:r>
        <w:t xml:space="preserve">present</w:t>
      </w:r>
      <w:r>
        <w:tab/>
      </w:r>
      <w:r>
        <w:t xml:space="preserve">present</w:t>
      </w:r>
      <w:r>
        <w:tab/>
      </w:r>
      <w:r>
        <w:tab/>
      </w:r>
      <w:r>
        <w:t xml:space="preserve">present</w:t>
      </w:r>
    </w:p>
    <w:p>
      <w:r>
        <w:t xml:space="preserve">UE (User Engagement)</w:t>
      </w:r>
      <w:r>
        <w:tab/>
      </w:r>
      <w:r>
        <w:t xml:space="preserve">present</w:t>
      </w:r>
      <w:r>
        <w:tab/>
      </w:r>
      <w:r>
        <w:t xml:space="preserve">present</w:t>
      </w:r>
      <w:r>
        <w:tab/>
      </w:r>
      <w:r>
        <w:t xml:space="preserve">present</w:t>
      </w:r>
    </w:p>
    <w:p>
      <w:r>
        <w:t xml:space="preserve">Raw Coverage</w:t>
      </w:r>
      <w:r>
        <w:tab/>
      </w:r>
      <w:r>
        <w:t xml:space="preserve">0.172</w:t>
      </w:r>
      <w:r>
        <w:tab/>
      </w:r>
      <w:r>
        <w:t xml:space="preserve">0.208</w:t>
      </w:r>
      <w:r>
        <w:tab/>
      </w:r>
      <w:r>
        <w:t xml:space="preserve">0.219</w:t>
      </w:r>
      <w:r>
        <w:tab/>
      </w:r>
      <w:r>
        <w:t xml:space="preserve">0.241</w:t>
      </w:r>
    </w:p>
    <w:p>
      <w:r>
        <w:t xml:space="preserve">Consistency</w:t>
      </w:r>
      <w:r>
        <w:tab/>
      </w:r>
      <w:r>
        <w:t xml:space="preserve">0.713</w:t>
      </w:r>
      <w:r>
        <w:tab/>
      </w:r>
      <w:r>
        <w:t xml:space="preserve">0.65</w:t>
      </w:r>
      <w:r>
        <w:tab/>
      </w:r>
      <w:r>
        <w:t xml:space="preserve">0.6</w:t>
      </w:r>
      <w:r>
        <w:tab/>
      </w:r>
      <w:r>
        <w:t xml:space="preserve">0.669</w:t>
      </w:r>
    </w:p>
    <w:p>
      <w:r>
        <w:t xml:space="preserve">Combined Coverage</w:t>
      </w:r>
      <w:r>
        <w:tab/>
      </w:r>
      <w:r>
        <w:t xml:space="preserve">0.305</w:t>
      </w:r>
      <w:r>
        <w:tab/>
      </w:r>
      <w:r>
        <w:t xml:space="preserve">0.246</w:t>
      </w:r>
      <w:r>
        <w:tab/>
      </w:r>
      <w:r>
        <w:t xml:space="preserve">0.181</w:t>
      </w:r>
      <w:r>
        <w:tab/>
      </w:r>
      <w:r>
        <w:t xml:space="preserve">0.295</w:t>
      </w:r>
    </w:p>
    <w:p>
      <w:r>
        <w:t xml:space="preserve">Note: Key: present = Core condition present (essential for outcome), Blank = "Don't care" (condition irrelevant for configuration), User Experience (UX), User Engagement (UE), Brand Satisfaction (BSAT), and Brand Success (BSUC) (Outcome variable)</w:t>
      </w:r>
    </w:p>
    <w:p/>
    <w:p>
      <w:r>
        <w:t xml:space="preserve">Tables 5 and 6 make the equifinality plain: several distinct paths reach the same outcome (Ragin, 2008). No single factor BSAT, UX or UE is necessary on its own; it's their interaction that drives brand outcomes in immersive digital environments.</w:t>
      </w:r>
    </w:p>
    <w:p>
      <w:r>
        <w:t xml:space="preserve">Table 5 gives three core configurations for high BSUC. Configuration 1 (BSAT + UX) shows brand success even without strong engagement, since satisfied users with positive immersive experiences form lasting relationships (Bilgihan et al., 2024). Configuration 2 (BSAT + UE) pairs satisfaction with active participation, lifting loyalty and advocacy (Hollebeek et al., 2022). Configuration 3 (UX + UE) shows that even without reported satisfaction, immersive interactive environments yield favourable outcomes, which supports Flow Theory (Csikszentmihalyi, 1990).</w:t>
      </w:r>
    </w:p>
    <w:p>
      <w:r>
        <w:t xml:space="preserve">Table 6 widens the picture through subset-superset analysis. Configuration A, the "Triple Path" (BSAT, UX, UE), records the highest combined coverage (0.305): satisfied, engaged and immersed users push brand success to its peak, in step with service-dominant logic and value co-creation.</w:t>
      </w:r>
    </w:p>
    <w:p>
      <w:r>
        <w:t xml:space="preserve">The other configurations show room to manoeuvre. B (BSAT + UX) and D (BSAT + UE) reaffirm satisfaction combined with either experience or engagement, so brands can tailor their strategies. C (UX + UE), despite lower consistency, backs immersive participatory experiences even without explicit satisfaction (Shin, 2019).</w:t>
      </w:r>
    </w:p>
    <w:p>
      <w:pPr>
        <w:spacing w:before="200" w:after="80"/>
      </w:pPr>
      <w:r>
        <w:rPr>
          <w:b/>
          <w:sz w:val="26"/>
          <w:szCs w:val="26"/>
        </w:rPr>
        <w:t xml:space="preserve">5.3.2. Necessity Analysis</w:t>
      </w:r>
    </w:p>
    <w:p>
      <w:r>
        <w:t xml:space="preserve">The necessity analysis tests whether any single condition has to be present; a condition counts as necessary only when its consistency tops 0.90 (Schneider and Wagemann, 2012). None cleared that bar: UE, UX and BSAT recorded single-condition consistency of 0.373, 0.362 and 0.410 respectively. High brand success comes from combinations, then, not from any single necessary condition which is what sends us to the sufficiency analysis.</w:t>
      </w:r>
    </w:p>
    <w:p/>
    <w:p>
      <w:pPr>
        <w:spacing w:before="200" w:after="80"/>
      </w:pPr>
      <w:r>
        <w:rPr>
          <w:b/>
          <w:sz w:val="26"/>
          <w:szCs w:val="26"/>
        </w:rPr>
        <w:t xml:space="preserve">5.3.3. Sufficiency Analysis</w:t>
      </w:r>
    </w:p>
    <w:p>
      <w:r>
        <w:t xml:space="preserve">The sufficiency analysis identifies which configurations are jointly sufficient. UE, UX and BSAT were entered into the truth table with consistency and frequency thresholds applied (Ragin, 2008; Schneider and Wagemann, 2012). As Tables 5 and 6 report, brand satisfaction turns up in every high-consistency sufficient path, while engagement and experience contribute in combination rather than in isolation.</w:t>
      </w:r>
    </w:p>
    <w:p>
      <w:r>
        <w:t xml:space="preserve">The three sufficient configurations sit well with prior evidence. BSAT x UX records high coverage and consistency: satisfied users who enjoy well-designed experiences stay loyal and recommend the brand. BSAT x UE looks similarly favourable, consistent with engagement-loyalty links (Jeong and Kim, 2019) and social-media effects on customer equity (Ebrahim, 2020). UX x UE contributes at slightly lower consistency, which reflects how experience and engagement work together at the heart of brand success in immersive settings.</w:t>
      </w:r>
    </w:p>
    <w:p>
      <w:r>
        <w:t xml:space="preserve">User engagement here is multifaceted asset trading, event attendance, social interaction, content creation and it reflects psychological, social and experiential motivations, which the UE and UX constructs capture rather than any platform-specific variables.</w:t>
      </w:r>
    </w:p>
    <w:p/>
    <w:p>
      <w:pPr>
        <w:spacing w:before="200" w:after="80"/>
      </w:pPr>
      <w:r>
        <w:rPr>
          <w:b/>
          <w:sz w:val="26"/>
          <w:szCs w:val="26"/>
        </w:rPr>
        <w:t xml:space="preserve">5.4 Structural Model and Hypothesis Evaluation</w:t>
      </w:r>
    </w:p>
    <w:p>
      <w:r>
        <w:t xml:space="preserve">fsQCA tests sufficiency, not net linear effects, so the hypotheses are evaluated configurationally (Table 7). In line with the necessity result, user engagement (single-condition consistency 0.373) and user experience (0.362) aren't sufficient alone; they support brand success only in combination, which backs H1 and H2 within sufficient configurations. Brand satisfaction shows up in every high-consistency path the triadic BSAT x UX x UE (0.713), BSAT x UE (0.669) and BSAT x UX (0.650) and posts the highest single-condition consistency (0.410), a sign of the central, mediation-consistent role that supports H3. A formal bootstrap mediation test would make a useful complement.</w:t>
      </w:r>
    </w:p>
    <w:p/>
    <w:p>
      <w:r>
        <w:t xml:space="preserve">Table 7. Hypothesis Evaluation Based on fsQCA Sufficiency Analysis. Source: Authors, from configurational results reported in Tables 5 and 6.</w:t>
      </w:r>
    </w:p>
    <w:p>
      <w:r>
        <w:t xml:space="preserve">Hypothesis / Configurational evidence (fsQCA) / Key values / Outcome</w:t>
      </w:r>
    </w:p>
    <w:p>
      <w:r>
        <w:t xml:space="preserve">H1: User engagement (UE) -&gt; brand success (BSUC) / UE not sufficient alone; sufficient in BSATxUE and UXxUE / UE alone consistency 0.373; BSATxUE 0.669; UXxUE 0.600 / Supported within configurations</w:t>
      </w:r>
    </w:p>
    <w:p>
      <w:r>
        <w:t xml:space="preserve">H2: User experience (UX) -&gt; brand success (BSUC) / UX not sufficient alone; sufficient in BSATxUX and triadic path / UX alone consistency 0.362; BSATxUX 0.650; triadic 0.713 / Supported within configurations</w:t>
      </w:r>
    </w:p>
    <w:p>
      <w:r>
        <w:t xml:space="preserve">H3: Brand satisfaction (BSAT) mediates UE/UX -&gt; BSUC / BSAT present in all high-consistency sufficient paths; highest single-condition consistency / Triadic 0.713; BSATxUE 0.669; BSATxUX 0.650; BSAT alone 0.410 / Supported (configurationally); SEM mediation test recommended</w:t>
      </w:r>
    </w:p>
    <w:p>
      <w:r>
        <w:t xml:space="preserve">Overall solution / Three sufficient configurations (equifinality) / Solution coverage 0.324; solution consistency 0.756</w:t>
      </w:r>
    </w:p>
    <w:p/>
    <w:p>
      <w:pPr>
        <w:spacing w:before="200" w:after="80"/>
      </w:pPr>
      <w:r>
        <w:rPr>
          <w:b/>
          <w:sz w:val="26"/>
          <w:szCs w:val="26"/>
        </w:rPr>
        <w:t xml:space="preserve">6. Discussion</w:t>
      </w:r>
    </w:p>
    <w:p>
      <w:r>
        <w:t xml:space="preserve">The fsQCA findings clarify how combinations of UE, UX and BSAT contribute to brand success in the metaverse, and they mark out the main pathways to favourable outcomes.</w:t>
      </w:r>
    </w:p>
    <w:p>
      <w:r>
        <w:t xml:space="preserve">BSAT x UX came through as a significant configuration (consistency 0.650, raw coverage 20.84%): satisfied users who perceive high-quality immersive experiences build loyalty and advocacy, consistent with prior work on satisfaction, experience and emotional connection (Thaichon et al., 2022; Bilgihan et al., 2024). Brands should prioritise seamless immersive experiences while facing up to ethical concerns such as data-privacy risks and excessive use.</w:t>
      </w:r>
    </w:p>
    <w:p>
      <w:r>
        <w:t xml:space="preserve">BSAT x UE showed a strong association (consistency 0.669, coverage 24.15%): active participation with high satisfaction improves outcomes, echoing engagement-equity links (Jeong and Kim, 2019). Brands should encourage gamified and co-creation activities that deepen involvement while keeping satisfaction high.</w:t>
      </w:r>
    </w:p>
    <w:p>
      <w:r>
        <w:t xml:space="preserve">UX x UE, though slightly lower in consistency (0.600, coverage 21.90%), shows that engagement works best when it's paired with high-quality experience even where satisfaction isn't the dominant condition, consistent with Flow Theory's challenge-skill balance (Csikszentmihalyi, 1990; Shin, 2019).</w:t>
      </w:r>
    </w:p>
    <w:p>
      <w:r>
        <w:t xml:space="preserve">Individual factors scored lower consistency than their combinations, which argues for holistic strategies: BSAT x UX x UE reached the highest consistency (0.713), reinforcing Flow Theory's premise that optimal engagement grows out of a balance between challenge and skill in immersive environments (Csikszentmihalyi, 1990).</w:t>
      </w:r>
    </w:p>
    <w:p/>
    <w:p>
      <w:pPr>
        <w:spacing w:before="200" w:after="80"/>
      </w:pPr>
      <w:r>
        <w:rPr>
          <w:b/>
          <w:sz w:val="26"/>
          <w:szCs w:val="26"/>
        </w:rPr>
        <w:t xml:space="preserve">7. Implications</w:t>
      </w:r>
    </w:p>
    <w:p>
      <w:pPr>
        <w:spacing w:before="200" w:after="80"/>
      </w:pPr>
      <w:r>
        <w:rPr>
          <w:b/>
          <w:sz w:val="26"/>
          <w:szCs w:val="26"/>
        </w:rPr>
        <w:t xml:space="preserve">7.1 Theoretical Contributions</w:t>
      </w:r>
    </w:p>
    <w:p>
      <w:r>
        <w:t xml:space="preserve">This research brings SDT and Flow Theory together inside immersive, digitally mediated environments defined by persistent communities, avatar-based identity and interactive interfaces, and it clarifies how psychological needs and experiential states jointly shape engagement, satisfaction and brand outcomes. Earlier applications sat in traditional or gamified settings; metaverse interactions instead blend intrinsic motivation and experiential absorption in a distinctive way, which carries both theories into co-created domains.</w:t>
      </w:r>
    </w:p>
    <w:p>
      <w:r>
        <w:t xml:space="preserve">Within SDT, autonomy, competence and relatedness take on distinctive forms here: autonomy through customisable avatars and digital-asset ownership, competence through skill-based challenges and achievement, and relatedness through persistent social interaction in branded communities (Bilgihan et al., 2024). We advance these as conceptual mechanisms behind engagement and experience, not as separately measured effects.</w:t>
      </w:r>
    </w:p>
    <w:p>
      <w:r>
        <w:t xml:space="preserve">We extend Flow Theory by proposing that experiential immersion depends on matching task challenge to user skill, tuned by digital affordances and interaction design (Zhong and Hamouda, 2024); gamified missions and event-based interactions are the flow facilitators. In keeping with our findings, deep immersive engagement can yield favourable outcomes even when satisfaction isn't the dominant condition.</w:t>
      </w:r>
    </w:p>
    <w:p>
      <w:r>
        <w:t xml:space="preserve">Taken together, the study moves marketing and psychological theory forward by suggesting that the confluence of need satisfaction and experiential immersion is associated with engagement, satisfaction and brand performance. It extends SDT and Flow Theory into co-created digital domains, and it keeps tested associations separate from theoretical interpretation.</w:t>
      </w:r>
    </w:p>
    <w:p/>
    <w:p>
      <w:pPr>
        <w:spacing w:before="200" w:after="80"/>
      </w:pPr>
      <w:r>
        <w:rPr>
          <w:b/>
          <w:sz w:val="26"/>
          <w:szCs w:val="26"/>
        </w:rPr>
        <w:t xml:space="preserve">7.2. Managerial Implications</w:t>
      </w:r>
    </w:p>
    <w:p>
      <w:r>
        <w:t xml:space="preserve">User experience is a major determinant of both satisfaction and favourable outcomes, and it shows up again and again in the configurations associated with success. Crafting engaging, interactive and personalised metaverse experiences is therefore central to sustaining engagement and long-term brand success.</w:t>
      </w:r>
    </w:p>
    <w:p>
      <w:r>
        <w:t xml:space="preserve">Brands should build immersive experiences tied to users' virtual identities. Personalisation customisable avatars, interactive environments lets users express who they are and strengthens presence, which reinforces the emotional bond. When a brand's virtual presence matches users' self-concept, connection grows; tailored experiences deepen engagement, loyalty and advocacy (Thaichon et al., 2022; Xie and Muralidharan, 2023).</w:t>
      </w:r>
    </w:p>
    <w:p>
      <w:r>
        <w:t xml:space="preserve">Features that come up often NFT interoperability, smart contracts, rarity dynamics may strengthen exclusivity and trust, but we didn't measure them here, so we present them as future avenues rather than findings. The evidence speaks to combinations of engagement, experience and satisfaction, not to blockchain-specific mechanisms.</w:t>
      </w:r>
    </w:p>
    <w:p>
      <w:r>
        <w:t xml:space="preserve">The results show synergy between satisfaction and engagement: pairing participation with high satisfaction strengthens equity and loyalty (Jeong and Kim, 2019). Managers should build gamified, co-creation and reward opportunities that deepen involvement, because a user's sense of ownership reinforces attachment and long-term loyalty.</w:t>
      </w:r>
    </w:p>
    <w:p>
      <w:r>
        <w:t xml:space="preserve">User experience sits at the centre of both satisfaction and success. To stay competitive, brands have to make immersive experiences emotionally resonant, consistent and matched to users' values and identities (Jung and Pawlowski, 2014); functional or visually appealing assets no longer cut it. Brands that deliver high-quality interactive experiences build lasting engagement, loyalty and competitive advantage.</w:t>
      </w:r>
    </w:p>
    <w:p/>
    <w:p>
      <w:pPr>
        <w:spacing w:before="200" w:after="80"/>
      </w:pPr>
      <w:r>
        <w:rPr>
          <w:b/>
          <w:sz w:val="26"/>
          <w:szCs w:val="26"/>
        </w:rPr>
        <w:t xml:space="preserve">8. Limitations and Future Scope</w:t>
      </w:r>
    </w:p>
    <w:p>
      <w:r>
        <w:t xml:space="preserve">The study carries several limitations. The sample of 312 active, experienced users guarantees expertise, but it may tilt results toward highly engaged participants and underrepresents casual or novice users, which limits generalisability; a more diverse, representative sampling frame is needed.</w:t>
      </w:r>
    </w:p>
    <w:p>
      <w:r>
        <w:t xml:space="preserve">Inclusion and exclusion decisions may have missed relevant factors, and the lack of a control group limits causal attribution. fsQCA handles complex causal analysis well, yet its small-N, qualitative orientation trims robustness next to larger quantitative models and limits methodological triangulation.</w:t>
      </w:r>
    </w:p>
    <w:p>
      <w:r>
        <w:t xml:space="preserve">The cross-sectional design can't track how engagement and experience change over time; longitudinal studies are needed to test whether engagement holds up. Ethical questions privacy, addiction, cyberbullying, exploitation stay underexplored, and future work should build safeguards for user well-being.</w:t>
      </w:r>
    </w:p>
    <w:p>
      <w:r>
        <w:t xml:space="preserve">Several large technology firms have pulled back their metaverse investments, so we frame our contribution conservatively. The findings speak most directly to brands active on large, metaverse-like platforms game-based worlds such as Roblox and Fortnite, and social virtual reality and to the design of future immersive environments. We treat avatar-mediated branding as an evolving phenomenon whose psychological mechanisms engagement, experience and satisfaction are likely to persist across successive technological forms.</w:t>
      </w:r>
    </w:p>
    <w:p/>
    <w:p>
      <w:r>
        <w:t xml:space="preserve">Acknowledgement:</w:t>
      </w:r>
    </w:p>
    <w:p/>
    <w:p>
      <w:r>
        <w:t xml:space="preserve">The author(s) acknowledge the use of generative AI tools to improve the linguistic quality and readability of this manuscript. These tools were employed solely to improve spelling, grammar, and overall clarity, based on the original content created by the author(s). The author(s) take full responsibility for the original content, interpretations, and conclusions presented in this work.</w:t>
      </w:r>
    </w:p>
    <w:p/>
    <w:p>
      <w:r>
        <w:t xml:space="preserve">Funding: This research received no specific grant from any funding agency in the public, commercial, or not-for-profit sectors.</w:t>
      </w:r>
    </w:p>
    <w:p>
      <w:r>
        <w:t xml:space="preserve">Conflicts of Interest: The authors declare no conflicts of interest.</w:t>
      </w:r>
    </w:p>
    <w:p/>
    <w:p>
      <w:r>
        <w:t xml:space="preserve">Appendix Table 1. Measurement Items</w:t>
      </w:r>
    </w:p>
    <w:p/>
    <w:p>
      <w:r>
        <w:t xml:space="preserve">The following items were administered to measure each construct, adapted to the metaverse branding context from the cited sources. All items used seven-point Likert scales anchored from 1 (strongly disagree) to 7 (strongly agree). Item codes correspond to the standardized loadings reported in Table 2.</w:t>
      </w:r>
    </w:p>
    <w:p>
      <w:r>
        <w:t xml:space="preserve">Construct (source) / Code / Item wording (adapted)</w:t>
      </w:r>
    </w:p>
    <w:p>
      <w:r>
        <w:t xml:space="preserve">User Engagement (UE)   adapted from O'Brien and Toms (2010)</w:t>
      </w:r>
    </w:p>
    <w:p>
      <w:r>
        <w:t xml:space="preserve">UE_1</w:t>
      </w:r>
      <w:r>
        <w:tab/>
      </w:r>
      <w:r>
        <w:t xml:space="preserve">I lost track of myself in the brand's metaverse experience.</w:t>
      </w:r>
    </w:p>
    <w:p>
      <w:r>
        <w:t xml:space="preserve">UE_2</w:t>
      </w:r>
      <w:r>
        <w:tab/>
      </w:r>
      <w:r>
        <w:t xml:space="preserve">The time I spent in the brand's metaverse space slipped away.</w:t>
      </w:r>
    </w:p>
    <w:p>
      <w:r>
        <w:t xml:space="preserve">UE_3</w:t>
      </w:r>
      <w:r>
        <w:tab/>
      </w:r>
      <w:r>
        <w:t xml:space="preserve">I was absorbed in what I was doing in the brand's metaverse space.</w:t>
      </w:r>
    </w:p>
    <w:p>
      <w:r>
        <w:t xml:space="preserve">UE_4</w:t>
      </w:r>
      <w:r>
        <w:tab/>
      </w:r>
      <w:r>
        <w:t xml:space="preserve">I felt involved in the brand's metaverse activities.</w:t>
      </w:r>
    </w:p>
    <w:p>
      <w:r>
        <w:t xml:space="preserve">UE_5</w:t>
      </w:r>
      <w:r>
        <w:tab/>
      </w:r>
      <w:r>
        <w:t xml:space="preserve">The brand's metaverse experience was fun.</w:t>
      </w:r>
    </w:p>
    <w:p>
      <w:r>
        <w:t xml:space="preserve">UE_6</w:t>
      </w:r>
      <w:r>
        <w:tab/>
      </w:r>
      <w:r>
        <w:t xml:space="preserve">I was motivated to keep interacting with the brand in the metaverse.</w:t>
      </w:r>
    </w:p>
    <w:p>
      <w:r>
        <w:t xml:space="preserve">UE_7</w:t>
      </w:r>
      <w:r>
        <w:tab/>
      </w:r>
      <w:r>
        <w:t xml:space="preserve">I would recommend the brand's metaverse experience to others.</w:t>
      </w:r>
    </w:p>
    <w:p>
      <w:r>
        <w:t xml:space="preserve">UE_8</w:t>
      </w:r>
      <w:r>
        <w:tab/>
      </w:r>
      <w:r>
        <w:t xml:space="preserve">Interacting with the brand in the metaverse was worthwhile.</w:t>
      </w:r>
    </w:p>
    <w:p>
      <w:r>
        <w:t xml:space="preserve">UE_9</w:t>
      </w:r>
      <w:r>
        <w:tab/>
      </w:r>
      <w:r>
        <w:t xml:space="preserve">I felt interested in the brand's metaverse activities.</w:t>
      </w:r>
    </w:p>
    <w:p>
      <w:r>
        <w:t xml:space="preserve">UE_10</w:t>
      </w:r>
      <w:r>
        <w:tab/>
      </w:r>
      <w:r>
        <w:t xml:space="preserve">I would return to the brand's metaverse space.</w:t>
      </w:r>
    </w:p>
    <w:p>
      <w:r>
        <w:t xml:space="preserve">User Experience (UX)   adapted from O'Brien and Toms (2010); Basu et al. (2024); Cadet and Chainay (2020)</w:t>
      </w:r>
    </w:p>
    <w:p>
      <w:r>
        <w:t xml:space="preserve">UX_1</w:t>
      </w:r>
      <w:r>
        <w:tab/>
      </w:r>
      <w:r>
        <w:t xml:space="preserve">The brand's metaverse environment was easy to use.</w:t>
      </w:r>
    </w:p>
    <w:p>
      <w:r>
        <w:t xml:space="preserve">UX_2</w:t>
      </w:r>
      <w:r>
        <w:tab/>
      </w:r>
      <w:r>
        <w:t xml:space="preserve">It was easy to navigate the brand's metaverse space.</w:t>
      </w:r>
    </w:p>
    <w:p>
      <w:r>
        <w:t xml:space="preserve">UX_3</w:t>
      </w:r>
      <w:r>
        <w:tab/>
      </w:r>
      <w:r>
        <w:t xml:space="preserve">The brand's metaverse environment was visually appealing.</w:t>
      </w:r>
    </w:p>
    <w:p>
      <w:r>
        <w:t xml:space="preserve">UX_4</w:t>
      </w:r>
      <w:r>
        <w:tab/>
      </w:r>
      <w:r>
        <w:t xml:space="preserve">The brand's metaverse space was aesthetically pleasing.</w:t>
      </w:r>
    </w:p>
    <w:p>
      <w:r>
        <w:t xml:space="preserve">UX_5</w:t>
      </w:r>
      <w:r>
        <w:tab/>
      </w:r>
      <w:r>
        <w:t xml:space="preserve">I felt present in the brand's metaverse environment.</w:t>
      </w:r>
    </w:p>
    <w:p>
      <w:r>
        <w:t xml:space="preserve">UX_6</w:t>
      </w:r>
      <w:r>
        <w:tab/>
      </w:r>
      <w:r>
        <w:t xml:space="preserve">The brand's metaverse environment felt realistic.</w:t>
      </w:r>
    </w:p>
    <w:p>
      <w:r>
        <w:t xml:space="preserve">UX_7</w:t>
      </w:r>
      <w:r>
        <w:tab/>
      </w:r>
      <w:r>
        <w:t xml:space="preserve">The sensory quality (visuals and sound) of the experience was high.</w:t>
      </w:r>
    </w:p>
    <w:p>
      <w:r>
        <w:t xml:space="preserve">UX_8</w:t>
      </w:r>
      <w:r>
        <w:tab/>
      </w:r>
      <w:r>
        <w:t xml:space="preserve">The experience responded smoothly to my actions.</w:t>
      </w:r>
    </w:p>
    <w:p>
      <w:r>
        <w:t xml:space="preserve">UX_9</w:t>
      </w:r>
      <w:r>
        <w:tab/>
      </w:r>
      <w:r>
        <w:t xml:space="preserve">I felt immersed in the brand's metaverse environment.</w:t>
      </w:r>
    </w:p>
    <w:p>
      <w:r>
        <w:t xml:space="preserve">UX_10</w:t>
      </w:r>
      <w:r>
        <w:tab/>
      </w:r>
      <w:r>
        <w:t xml:space="preserve">Overall, the brand's metaverse experience was of high quality.</w:t>
      </w:r>
    </w:p>
    <w:p>
      <w:r>
        <w:t xml:space="preserve">Brand Satisfaction (BSAT)   adapted from Fornell et al. (1996)</w:t>
      </w:r>
    </w:p>
    <w:p>
      <w:r>
        <w:t xml:space="preserve">BSAT_1</w:t>
      </w:r>
      <w:r>
        <w:tab/>
      </w:r>
      <w:r>
        <w:t xml:space="preserve">Overall, I am satisfied with the brand's presence in the metaverse.</w:t>
      </w:r>
    </w:p>
    <w:p>
      <w:r>
        <w:t xml:space="preserve">BSAT_2</w:t>
      </w:r>
      <w:r>
        <w:tab/>
      </w:r>
      <w:r>
        <w:t xml:space="preserve">The brand's metaverse experience met my expectations.</w:t>
      </w:r>
    </w:p>
    <w:p>
      <w:r>
        <w:t xml:space="preserve">BSAT_3</w:t>
      </w:r>
      <w:r>
        <w:tab/>
      </w:r>
      <w:r>
        <w:t xml:space="preserve">The brand's metaverse experience came close to my ideal.</w:t>
      </w:r>
    </w:p>
    <w:p>
      <w:r>
        <w:t xml:space="preserve">BSAT_4</w:t>
      </w:r>
      <w:r>
        <w:tab/>
      </w:r>
      <w:r>
        <w:t xml:space="preserve">I am pleased with my experience of the brand in the metaverse.</w:t>
      </w:r>
    </w:p>
    <w:p>
      <w:r>
        <w:t xml:space="preserve">BSAT_5</w:t>
      </w:r>
      <w:r>
        <w:tab/>
      </w:r>
      <w:r>
        <w:t xml:space="preserve">The brand's metaverse offering was satisfactory.</w:t>
      </w:r>
    </w:p>
    <w:p>
      <w:r>
        <w:t xml:space="preserve">Brand Success (BSUC)   developed for this study, drawing on Mathwick et al. (2008)</w:t>
      </w:r>
    </w:p>
    <w:p>
      <w:r>
        <w:t xml:space="preserve">BSUC_1</w:t>
      </w:r>
      <w:r>
        <w:tab/>
      </w:r>
      <w:r>
        <w:t xml:space="preserve">This brand stands out from competitors in the metaverse.</w:t>
      </w:r>
    </w:p>
    <w:p>
      <w:r>
        <w:t xml:space="preserve">BSUC_2</w:t>
      </w:r>
      <w:r>
        <w:tab/>
      </w:r>
      <w:r>
        <w:t xml:space="preserve">I would choose this brand over others because of its metaverse presence.</w:t>
      </w:r>
    </w:p>
    <w:p>
      <w:r>
        <w:t xml:space="preserve">BSUC_3</w:t>
      </w:r>
      <w:r>
        <w:tab/>
      </w:r>
      <w:r>
        <w:t xml:space="preserve">I would speak positively about this brand to others.</w:t>
      </w:r>
    </w:p>
    <w:p>
      <w:r>
        <w:t xml:space="preserve">BSUC_4</w:t>
      </w:r>
      <w:r>
        <w:tab/>
      </w:r>
      <w:r>
        <w:t xml:space="preserve">The brand has a competitive advantage in the metaverse.</w:t>
      </w:r>
    </w:p>
    <w:p/>
    <w:p>
      <w:r>
        <w:t xml:space="preserve">References</w:t>
      </w:r>
    </w:p>
    <w:p>
      <w:r>
        <w:t xml:space="preserve">Agnihotri, D., Chaturvedi, P., Swarup, K., Mathur, A., Tripathi, V., and Singh, N. (2024). Does social presence drive customer brand engagement and purchase intention in the fashion retail metaverse? The moderating role of self-efficacy. Internet Research. https://doi.org/10.1108/intr-01-2024-0030</w:t>
      </w:r>
    </w:p>
    <w:p>
      <w:r>
        <w:t xml:space="preserve">Agnihotri, R. (2020). Social media, customer engagement, and sales organizations: A research agenda. Industrial Marketing Management, 90, 291-299.</w:t>
      </w:r>
    </w:p>
    <w:p>
      <w:r>
        <w:t xml:space="preserve">Alshater, M. M., Nasrallah, N., Khoury, R., and Joshipura, M. (2024). Deciphering the world of NFTs: a scholarly review of trends, challenges, and opportunities. Electronic Commerce Research, 1-57.</w:t>
      </w:r>
    </w:p>
    <w:p>
      <w:r>
        <w:t xml:space="preserve">Anderson, K. C., Hansen, H., and Laverie, D. (2024). Technology has Agency too! Disentangling Technology's Causal and Structural Agency in a Service System. Journal of Macromarketing, 44(2), 510-533.</w:t>
      </w:r>
    </w:p>
    <w:p>
      <w:r>
        <w:t xml:space="preserve">Arya, V., Paul, J., and Sethi, D. (2022). Like it or not! Brand communication on social networking sites triggers consumer-based brand equity. International Journal of Consumer Studies, 46(4), 1381-1398.</w:t>
      </w:r>
    </w:p>
    <w:p>
      <w:r>
        <w:t xml:space="preserve">Arya, V., Sambyal, R., Sharma, A., and Dwivedi, Y. K. (2024a). Brands are calling your AVATAR in Metaverse-A study to explore XR-based gamification marketing activities and consumer-based brand equity in virtual world. Journal of Consumer Behaviour, 23(2), 556-585.</w:t>
      </w:r>
    </w:p>
    <w:p>
      <w:r>
        <w:t xml:space="preserve">Arya, V., Sethi, D., and Hollebeek, L. D. (2024b). Using augmented reality to strengthen consumer/brand relationships: the case of luxury brands. Journal of Consumer Behaviour. https://doi.org/10.1002/cb.2419</w:t>
      </w:r>
    </w:p>
    <w:p>
      <w:r>
        <w:t xml:space="preserve">Basu, B., Kar, A. K., and Sen, S. (2024). Antecedents of user experience in the immersive Metaverse ecosystem: Insights from mining user reviews. Communications of the Association for Information Systems, 55(1), 13.</w:t>
      </w:r>
    </w:p>
    <w:p>
      <w:r>
        <w:t xml:space="preserve">Bilgihan, A., Leong, A. M. W., Okumus, F., and Bai, J. (2024). Proposing a metaverse engagement model for brand development. Journal of Retailing and Consumer Services, 78, 103781.</w:t>
      </w:r>
    </w:p>
    <w:p>
      <w:r>
        <w:t xml:space="preserve">Blazquez, M. (2024). The Metaverse and its potential for digital sustainability in fashion. Journal of Global Fashion Marketing, 15(3), 303-319.</w:t>
      </w:r>
    </w:p>
    <w:p>
      <w:r>
        <w:t xml:space="preserve">Brandes, L., and Dolp, K. (2025). Non-Fungible Tokens (NFTs) as Digital Brand Extensions: Evidence on Financial Performance and Parent-Brand Spillovers. International Journal of Research in Marketing. https://doi.org/10.1016/j.ijresmar.2025.01.001</w:t>
      </w:r>
    </w:p>
    <w:p>
      <w:r>
        <w:t xml:space="preserve">Brodie, R. J., Hollebeek, L. D., Juric, B., and Ilic, A. (2011). Customer Engagement: Conceptual Domain, Fundamental Propositions, and Implications for Research. Journal of Service Research, 14(3), 252-271.</w:t>
      </w:r>
    </w:p>
    <w:p>
      <w:r>
        <w:t xml:space="preserve">Brouard, M. (2024). Setting sail in a tokenized world: an exploration of the Bored Ape Yacht club and the co-created consumer experience. International Journal of Research in Marketing. https://doi.org/10.1016/j.ijresmar.2024.03.002</w:t>
      </w:r>
    </w:p>
    <w:p>
      <w:r>
        <w:t xml:space="preserve">Buhalis, D., Leung, D., and Lin, M. (2023). Metaverse as a disruptive technology revolutionising tourism management and marketing. Tourism management, 97, 104724.</w:t>
      </w:r>
    </w:p>
    <w:p>
      <w:r>
        <w:t xml:space="preserve">Cadet, L. B., and Chainay, H. (2020). Memory of virtual experiences: Role of immersion, emotion and sense of presence. International Journal of Human-Computer Studies, 144, 102506.</w:t>
      </w:r>
    </w:p>
    <w:p>
      <w:r>
        <w:t xml:space="preserve">Chandra, S., Verma, S., Lim, W. M., Kumar, S., and Donthu, N. (2022). Personalization In Personalized Marketing: Trends and Ways Forward. Psychology and Marketing, 39(8), 1529-1562.</w:t>
      </w:r>
    </w:p>
    <w:p>
      <w:r>
        <w:t xml:space="preserve">Chang, C. W., Lai, C. J., and Yen, C. C. (2024). Examining drivers of NFT purchase intention: The impact of perceived scarcity and risk. Acta Psychologica, 248, 104424.</w:t>
      </w:r>
    </w:p>
    <w:p>
      <w:r>
        <w:t xml:space="preserve">Corne, A., Massot, V., and Merasli, S. (2023). The determinants of the adoption of blockchain technology in the tourism sector and metaverse perspectives. Information Technology and Tourism, 25(4), 605-633.</w:t>
      </w:r>
    </w:p>
    <w:p>
      <w:r>
        <w:t xml:space="preserve">Csikszentmihalyi, M., Montijo, M. N., and Mouton, A. R. (2018). Flow theory: Optimizing elite performance in the creative realm. In S. I. Pfeiffer, E. Shaunessy-Dedrick, and M. Foley-Nicpon (Eds.), APA handbook of giftedness and talent (pp. 215-229). American Psychological Association.</w:t>
      </w:r>
    </w:p>
    <w:p>
      <w:r>
        <w:t xml:space="preserve">Csikszentmihalyi, Mihaly. (1990). Flow: The Psychology of Optimal Experience. Journal of Leisure Research, 24(1), pp. 93-94</w:t>
      </w:r>
    </w:p>
    <w:p>
      <w:r>
        <w:t xml:space="preserve">Daassi, M., and Debbabi, S. (2021). Intention to reuse AR-based apps: The combined role of the sense of immersion, product presence and perceived realism. Information and Management, 58(4), 103453.</w:t>
      </w:r>
    </w:p>
    <w:p>
      <w:r>
        <w:t xml:space="preserve">Deci, E. L., and Ryan, R. M. (2000). The "What" and "Why" of Goal Pursuits: Human Needs and the Self-Determination of Behavior. Psychological Inquiry, 11(4), 227-268.</w:t>
      </w:r>
    </w:p>
    <w:p>
      <w:r>
        <w:t xml:space="preserve">Douglas, E. J., Shepherd, D. A., and Prentice, C. (2020). Using fuzzy-set qualitative comparative analysis for a finer-grained understanding of entrepreneurship. Journal of Business Venturing, 35(1), 105970.</w:t>
      </w:r>
    </w:p>
    <w:p>
      <w:r>
        <w:t xml:space="preserve">Duong, C. D., Ngo, T. V. N., Khuc, T. A., Tran, N. M., and Nguyen, T. P. T. (2025). Unraveling the dark side of ChatGPT: A moderated mediation model of technology anxiety and technostress. Information Technology and People, 38(4), 2015-2040.</w:t>
      </w:r>
    </w:p>
    <w:p>
      <w:r>
        <w:t xml:space="preserve">Dwivedi, Y. K., Hughes, L., Wang, Y., Alalwan, A. A., Ahn, S. J., Balakrishnan, J., ... and Wirtz, J. (2023). Metaverse marketing: How the metaverse will shape the future of consumer research and practice. Psychology and Marketing, 40(4), 750-776.</w:t>
      </w:r>
    </w:p>
    <w:p>
      <w:r>
        <w:t xml:space="preserve">Ebrahim, R. S. (2020). The role of trust in understanding the impact of social media marketing on brand equity and brand loyalty. Journal of Relationship Marketing, 19(4), 287-308.</w:t>
      </w:r>
    </w:p>
    <w:p>
      <w:r>
        <w:t xml:space="preserve">Eggenschwiler, M., Linzmajer, M., Roggeveen, A. L., and Rudolph, T. (2024). Retailing in the metaverse: A framework of managerial considerations for success. Journal of Retailing and Consumer Services, 79, 103791.</w:t>
      </w:r>
    </w:p>
    <w:p>
      <w:r>
        <w:t xml:space="preserve">Fan, X., Jiang, X., and Deng, N. (2022). Immersive technology: A meta-analysis of augmented/virtual reality applications and their impact on tourism experience. Tourism Management, 91, 104534.</w:t>
      </w:r>
    </w:p>
    <w:p>
      <w:r>
        <w:t xml:space="preserve">Fornell, C., and Larcker, D. F. (1981). Evaluating Structural Equation Models with Unobservable Variables and Measurement Error. Journal of Marketing Research, 18(1), 39-50.</w:t>
      </w:r>
    </w:p>
    <w:p>
      <w:r>
        <w:t xml:space="preserve">Fornell, Claes, Michael D. Johnson, Eugene W. Anderson, Jaesung Cha, and Barbara Everitt Bryant. "The American customer satisfaction index: nature, purpose, and findings." Journal of Marketing 60, no. 4 (1996): 7-18.</w:t>
      </w:r>
    </w:p>
    <w:p>
      <w:r>
        <w:t xml:space="preserve">Fritze, M. P., Marchand, A., Eisingerich, A. B., and Benkenstein, M. (2020). Access-based services as substitutes for material possessions: the role of psychological ownership. Journal of Service Research, 23(3), 368-385.</w:t>
      </w:r>
    </w:p>
    <w:p>
      <w:r>
        <w:t xml:space="preserve">Furnari, S., Crilly, D., Misangyi, V. F., Greckhamer, T., Fiss, P. C., and Aguilera, R. V. (2021). Capturing causal complexity: Heuristics for configurational theorizing. Academy of Management Review, 46(4), 778-799.</w:t>
      </w:r>
    </w:p>
    <w:p>
      <w:r>
        <w:t xml:space="preserve">Habachi, S., Matute, J., and Palau-Saumell, R. (2024). Gamify, engage, build loyalty: exploring the benefits of gameful experience for branded sports apps. Journal of Product and Brand Management, 33(1), 57-75.</w:t>
      </w:r>
    </w:p>
    <w:p>
      <w:r>
        <w:t xml:space="preserve">Hair Jr., J.F., Black, W.C., Babin, B.J. and Anderson, R.E. (2010) Multivariate Data Analysis. 7th Edition, Prentice Hall, Upper Saddle River, 761.</w:t>
      </w:r>
    </w:p>
    <w:p>
      <w:r>
        <w:t xml:space="preserve">Hair, J. F., Risher, J. J., Sarstedt, M., and Ringle, C. M. (2019). When to use and how to report the results of PLS-SEM. European business review, 31(1), 2-24.</w:t>
      </w:r>
    </w:p>
    <w:p>
      <w:r>
        <w:t xml:space="preserve">Hennig-Thurau, T., Aliman, D. N., Herting, A. M., Cziehso, G. P., Linder, M., and Kubler, R. V. (2023). Social interactions in the metaverse: Framework, initial evidence, and research roadmap. Journal of the Academy of Marketing Science, 51(4), 889-913.</w:t>
      </w:r>
    </w:p>
    <w:p>
      <w:r>
        <w:t xml:space="preserve">Henseler, J., Ringle, C. M., &amp; Sarstedt, M. (2015). A new criterion for assessing discriminant validity in variance-based structural equation modeling. Journal of the academy of marketing science, 43(1), 115-135.</w:t>
      </w:r>
    </w:p>
    <w:p>
      <w:r>
        <w:t xml:space="preserve">Hsieh, J. K., and Tsao, W. C. (2019). Engaging Consumers with Branded Social Media: The Impact of Social Identification, Personal Identification, And Interactivity. Journal of Business Research, 96, 382-391.</w:t>
      </w:r>
    </w:p>
    <w:p>
      <w:r>
        <w:t xml:space="preserve">Huang, Z., and Benyoucef, M. (2013). From E-Commerce to Social Commerce: A Close Look at Design Features. Electronic Commerce Research and Applications, 12(4), 246-259.</w:t>
      </w:r>
    </w:p>
    <w:p>
      <w:r>
        <w:t xml:space="preserve">Hwang, I., and Seo, R. (2025). Organizational support for digital transformation in the metaverse: a contingent pathway from user experience to digitalization resistance. RandD Management, 55(2), 420-437.</w:t>
      </w:r>
    </w:p>
    <w:p>
      <w:r>
        <w:t xml:space="preserve">Hyeon Jo, Jae Kwang Lee; Key Drivers of User Engagement in Game-Based Metaverses: Enjoyment, Escapism, Reward, and Spontaneity. PRESENCE: Virtual and Augmented Reality 2025; 34 219-241.</w:t>
      </w:r>
    </w:p>
    <w:p>
      <w:r>
        <w:t xml:space="preserve">Ilkan, S. P., Ozturen, A., Avci, T., and Irani, F. (2023). Mobile application features effects on the application's engagement and intention for continuing use in tourism. Asia Pacific Journal of Tourism Research, 28(4), 386-400.</w:t>
      </w:r>
    </w:p>
    <w:p>
      <w:r>
        <w:t xml:space="preserve">Jeong, E., and Kim, S. (2019). Exploring a theoretical framework for understanding the relationship between customer engagement and brand loyalty in social media marketing. Journal of Business Research, 95, 365-374.</w:t>
      </w:r>
    </w:p>
    <w:p>
      <w:r>
        <w:t xml:space="preserve">Jia, R., Steelman, Z., and Jia, H. (2022). What makes one intrinsically interested in IT? An exploratory study on influences of autistic tendency and gender in the U.S. and India. MIS Quarterly, 45(3), 1603-1634.</w:t>
      </w:r>
    </w:p>
    <w:p>
      <w:r>
        <w:t xml:space="preserve">Kenton, W. (2023, January 31). Macromarketing: Meaning Compared to Micromarketing. Investopedia. Accessed on June 2024, available at: https://www.investopedia.com/terms/m/macromarketing.asp</w:t>
      </w:r>
    </w:p>
    <w:p>
      <w:r>
        <w:t xml:space="preserve">Kline, R. B. (2023). Principles and practice of structural equation modeling (5th ed.). The Guilford Press, A Division of Guilford Publications, Inc., 370 Seventh Avenue, Suite 1200, New York, NY 10001.</w:t>
      </w:r>
    </w:p>
    <w:p>
      <w:r>
        <w:t xml:space="preserve">Koohang, A., Nord, J. H., Ooi, K. B., Tan, G. W. H., Al-Emran, M., Aw, E. C. X., ... and Wong, L. W. (2023). Shaping the metaverse into reality: a holistic multidisciplinary understanding of opportunities, challenges, and avenues for future investigation. Journal of Computer Information Systems, 63(3), 735-765.</w:t>
      </w:r>
    </w:p>
    <w:p>
      <w:r>
        <w:t xml:space="preserve">Kopalle, P. K., Gangwar, M., and Uppal, A. (2024). Commentary on "AI is Changing the World: For Better or for Worse?". Journal of Macromarketing, 44(4), 886-891.</w:t>
      </w:r>
    </w:p>
    <w:p>
      <w:r>
        <w:t xml:space="preserve">Kozinets, R. V. (2023). Immersive netnography: a novel method for service experience research in virtual reality, augmented reality and metaverse contexts. Journal of Service Management, 34(1), 100-125.</w:t>
      </w:r>
    </w:p>
    <w:p>
      <w:r>
        <w:t xml:space="preserve">Kumar, A., and Shankar, A. (2024). Investigating the role of metaverse influencers' attributes for the next generation of services. Journal of Services Marketing, 38(7), 816-838.</w:t>
      </w:r>
    </w:p>
    <w:p>
      <w:r>
        <w:t xml:space="preserve">Kyriakou, T., de la Campa Crespo, M.A., Panayiotou, A., Chrysanthou, Y., Charalambous, P. and Aristidou, A. (2024), Virtual Instrument Performances (VIP): A Comprehensive Review. Computer Graphics Forum, 43: e15065. https://doi.org/10.1111/cgf.15065</w:t>
      </w:r>
    </w:p>
    <w:p>
      <w:r>
        <w:t xml:space="preserve">Lavoie, R., Main, K., King, C., and King, D. (2021). Virtual experience, real consequences: the potential negative emotional consequences of virtual reality gameplay. Virtual Reality, 25(1), 69-81.</w:t>
      </w:r>
    </w:p>
    <w:p>
      <w:r>
        <w:t xml:space="preserve">Lee, C. T., and Shen, Y. C. (2024). Exploring determinants of non-fungible token creators' engagement behaviors on metaverse-based NFT platforms: A multi-analytical SEM-IPMA method. Journal of Business Research, 185, 114920.</w:t>
      </w:r>
    </w:p>
    <w:p>
      <w:r>
        <w:t xml:space="preserve">Li, Y., and Shang, H. (2023). How does e-government use affect citizens' trust in government? Empirical evidence from China. Information and Management, 60(7), 103844.</w:t>
      </w:r>
    </w:p>
    <w:p>
      <w:r>
        <w:t xml:space="preserve">Liang, Y., Zhang, X., Wang, H., and Liu, M. (2024). Users' Willingness To Adopt Metaverse Drawing on Flow Theory: An Empirical Study Using PLS-SEM and FsQCA. Heliyon, 10(13).</w:t>
      </w:r>
    </w:p>
    <w:p>
      <w:r>
        <w:t xml:space="preserve">Lo, SY., Lai, CY. Investigating How Immersive Virtual Reality And Active Navigation Mediate The Experience of Virtual Concerts. Sci Rep 13, 8507 (2023).</w:t>
      </w:r>
    </w:p>
    <w:p>
      <w:r>
        <w:t xml:space="preserve">Lu, Y., and Lau, S. K. (2025). Examining the ecological validity of VR experiments in soundscape and landscape research. Computers in Human Behavior, 162, 108462.</w:t>
      </w:r>
    </w:p>
    <w:p>
      <w:r>
        <w:t xml:space="preserve">Lycett, M., and Radwan, O. (2019). Developing a quality of experience (QoE) model for web applications. Information Systems Journal, 29(1), 175-199.</w:t>
      </w:r>
    </w:p>
    <w:p>
      <w:r>
        <w:t xml:space="preserve">Marvi, R., Zha, D., and Foroudi, P. (2024). Elevating B2B branding in a global context: integrating existing literature and proposing a forward-thinking conceptual framework. Industrial Marketing Management, 120, 247-272.</w:t>
      </w:r>
    </w:p>
    <w:p>
      <w:r>
        <w:t xml:space="preserve">Mathwick, C., Wiertz, C., and De Ruyter, K. (2008). Social capital production in a virtual P3 community. Journal of consumer research, 34(6), 832-849.</w:t>
      </w:r>
    </w:p>
    <w:p>
      <w:r>
        <w:t xml:space="preserve">Mohammed, S. Y., Aljanabi, M., and Gadekallu, T. R. (2024). Navigating the nexus: a systematic review of the symbiotic relationship between the metaverse and gaming. International Journal of Cognitive Computing in Engineering.  https://doi.org/10.1016/j.ijcce.2024.02.001</w:t>
      </w:r>
    </w:p>
    <w:p>
      <w:r>
        <w:t xml:space="preserve">Nikou, S., Mezei, J., Liguori, E. W., and El Tarabishy, A. (2024). FsQCA in entrepreneurship research: Opportunities and best practices. Journal of Small Business Management, 62(3), 1531-1548.</w:t>
      </w:r>
    </w:p>
    <w:p>
      <w:r>
        <w:t xml:space="preserve">Nunnally J. C., Bernstein I. H. (1994). Psychometric theory (3rd ed.). New York, NY: McGraw-Hill.</w:t>
      </w:r>
    </w:p>
    <w:p>
      <w:r>
        <w:t xml:space="preserve">O'Brien, H. L., and Toms, E. G. (2010). The development and evaluation of a survey to measure user engagement. Journal of the American Society for Information Science and Technology, 61(1), 50-69.</w:t>
      </w:r>
    </w:p>
    <w:p>
      <w:r>
        <w:t xml:space="preserve">Oliveira, W., and Hamari, J. (2025). Flow Experience in Gameful Approaches: A Systematic Literature Review, Scientometric Analysis, and Research Agenda. International Journal of Human-Computer Interaction, 1-27.</w:t>
      </w:r>
    </w:p>
    <w:p>
      <w:r>
        <w:t xml:space="preserve">Osborne, A. (2024). Design of Social Affordances for Meetings in Social Virtual Reality. UC Santa Cruz. Accessed on December 2024, available at: https://escholarship.org/uc/item/8h51c6s0</w:t>
      </w:r>
    </w:p>
    <w:p>
      <w:r>
        <w:t xml:space="preserve">Park, Y., Fiss, P. C., and El Sawy, O. A. (2020). Theorizing the Multiplicity of Digital Phenomena: The Ecology of Configurations, Causal Recipes, and Guidelines for Applying QCA. Mis Quarterly, 44(4).</w:t>
      </w:r>
    </w:p>
    <w:p>
      <w:r>
        <w:t xml:space="preserve">Payal, R., Sharma, N., and Dwivedi, Y. K. (2024). Unlocking the impact of brand engagement in the metaverse on Real-World purchase intentions: Analyzing Pre-Adoption behavior in a futuristic technology platform. Electronic Commerce Research and Applications, 65, 101381.</w:t>
      </w:r>
    </w:p>
    <w:p>
      <w:r>
        <w:t xml:space="preserve">Podsakoff, P. M., MacKenzie, S. B., Lee, J. Y., &amp; Podsakoff, N. P. (2003). Common method biases in behavioral research: a critical review of the literature and recommended remedies. Journal of applied psychology, 88(5), 879.</w:t>
      </w:r>
    </w:p>
    <w:p>
      <w:r>
        <w:t xml:space="preserve">Poeschl, S., and Doering, N. (2015). Measuring co-presence and social presence in virtual environments-psychometric construction of a german scale for a fear of public speaking scenario. Annual Review of Cybertherapy and Telemedicine 2015, 58-63.</w:t>
      </w:r>
    </w:p>
    <w:p>
      <w:r>
        <w:t xml:space="preserve">Ragin, C. C. (2008). Redesigning social inquiry: Fuzzy sets and beyond. University of Chicago Press, Chicago, IL, United States.</w:t>
      </w:r>
    </w:p>
    <w:p>
      <w:r>
        <w:t xml:space="preserve">Rahman, S. M., et al. (2025). Metaverse platform attributes and customer experience measurement. Journal of Retailing and Consumer Services, 83, 104159.</w:t>
      </w:r>
    </w:p>
    <w:p>
      <w:r>
        <w:t xml:space="preserve">Rather, R. A., Hollebeek, L. D., Vo-Thanh, T., Ramkissoon, H., Leppiman, A., and Smith, D. (2022). Shaping Customer Brand Loyalty During the Pandemic: The Role of Brand Credibility, Value Congruence, Experience, Identification, And Engagement. Journal of Consumer Behaviour, 21(5), 1175-1189.</w:t>
      </w:r>
    </w:p>
    <w:p>
      <w:r>
        <w:t xml:space="preserve">Ribeiro, A., Vieira, V., Alves, L., and Maciel, C. (2024). Vishnu: An approach to support the personalization of self-expressive avatars using context-awareness. International Journal of Human-Computer Studies, 185, 103243.</w:t>
      </w:r>
    </w:p>
    <w:p>
      <w:r>
        <w:t xml:space="preserve">Rutrecht, H., Wittmann, M., Khoshnoud, S., and Igarzabal, F. A. (2021). Time Speeds Up During Flow States: A Study in Virtual Reality with the Video Game Thumper. Timing and Time Perception, 9(4), 353-376.</w:t>
      </w:r>
    </w:p>
    <w:p>
      <w:r>
        <w:t xml:space="preserve">Ryan, R. M., and Deci, E. L. (2000). Self-determination theory and the facilitation of intrinsic motivation, social development, and well-being. American Psychologist, 55 (1), 68-78.</w:t>
      </w:r>
    </w:p>
    <w:p>
      <w:r>
        <w:t xml:space="preserve">Ryan, R. M., and Deci, E. L. (2017). Self-determination theory: Basic psychological needs in motivation, development, and wellness. Guilford Publishing.</w:t>
      </w:r>
    </w:p>
    <w:p>
      <w:r>
        <w:t xml:space="preserve">Ryan, R. M., and Deci, E. L. (2024). Self-determination theory. In Encyclopedia of quality of life and well-being research (pp. 6229-6235). Cham: Springer International Publishing.</w:t>
      </w:r>
    </w:p>
    <w:p>
      <w:r>
        <w:t xml:space="preserve">Scheider, S., Lauf, F., Moller, F., and Otto, B. (2023). A reference system architecture with data sovereignty for human-centric data ecosystems. Business and Information Systems Engineering, 65(5), 577-595.</w:t>
      </w:r>
    </w:p>
    <w:p>
      <w:r>
        <w:t xml:space="preserve">Schneider, C. Q., and Wagemann, C. (2012). Set-theoretic methods for the social sciences: A guide to qualitative comparative analysis. Cambridge University Press, Cambridge, United Kingdom.</w:t>
      </w:r>
    </w:p>
    <w:p>
      <w:r>
        <w:t xml:space="preserve">Shamim, N., Gupta, S., and Shin, M. M. (2025). Evaluating user engagement via metaverse environment through immersive experience for travel and tourism websites. International Journal of Contemporary Hospitality Management, 37(4), 1132-1174.</w:t>
      </w:r>
    </w:p>
    <w:p>
      <w:r>
        <w:t xml:space="preserve">Shin, D. (2019). How does immersion work in augmented reality games? A user-centric view of immersion and engagement. Information, Communication and Society, 22(9), 1212-1229.</w:t>
      </w:r>
    </w:p>
    <w:p>
      <w:r>
        <w:t xml:space="preserve">Simonetti, A., Bigne, E., and Navas, L. F. R. (2025). Consumer brand choice in the metaverse: Exploring personal and social factors. Technological Forecasting and Social Change, 213, 124033.</w:t>
      </w:r>
    </w:p>
    <w:p>
      <w:r>
        <w:t xml:space="preserve">Soltani Nejad, N., Rastegar, R., and Jahanshahi, M. (2024). Tourist engagement with mobile apps of E-leisure: a combined model of self-determination theory and technology acceptance model. Tourism Recreation Research, 49(4), 714-725.</w:t>
      </w:r>
    </w:p>
    <w:p>
      <w:r>
        <w:t xml:space="preserve">Statista. (2025). Metaverse   India: Market forecast. Statista Market Insights. Retrieved March 21, 2026, from https://www.statista.com/outlook/amo/metaverse/india</w:t>
      </w:r>
    </w:p>
    <w:p>
      <w:r>
        <w:t xml:space="preserve">Su, L., Monga, A. S. B., and Jiang, Y. (2021). How life-role transitions shape consumer responses to brand extensions. Journal of Marketing Research, 58(3), 579-594.</w:t>
      </w:r>
    </w:p>
    <w:p>
      <w:r>
        <w:t xml:space="preserve">Takano, M., and Taka, F. (2022). Fancy avatar identification and behaviors in the virtual world: Preceding avatar customization and succeeding communication. Computers in Human Behavior Reports, 6, 100176.</w:t>
      </w:r>
    </w:p>
    <w:p>
      <w:r>
        <w:t xml:space="preserve">Thaichon, P., Phau, I., and Weaven, S. (2022). Moving from multi-channel to Omni-channel retailing: Special issue introduction. Journal of Retailing and Consumer Services, 65, 102311.</w:t>
      </w:r>
    </w:p>
    <w:p>
      <w:r>
        <w:t xml:space="preserve">Thorndike, R. M. (1995). Book Review : Psychometric Theory (3rd ed.) by Jum Nunnally and Ira Bernstein New York: McGraw-Hill, 1994, xxiv + 752 pp. Applied Psychological Measurement, 19(3), 303-305.</w:t>
      </w:r>
    </w:p>
    <w:p>
      <w:r>
        <w:t xml:space="preserve">Verma, S. (2024). India metaverse market outlook to 2030 (Report No. KROD1819). Ken Research Private Limited. Retrieved March 21, 2026, from https://www.kenresearch.com/industry-reports/india-metaverse-market</w:t>
      </w:r>
    </w:p>
    <w:p>
      <w:r>
        <w:t xml:space="preserve">Vo, T. H., Wei-Han Tan, G., Pham, N. T., Truong, T. H. D., and Ooi, K. B. (2025). Promoting customer engagement and brand loyalty on social media: The role of virtual influencers. International Journal of Consumer Studies, 49(2), e70028.</w:t>
      </w:r>
    </w:p>
    <w:p>
      <w:r>
        <w:t xml:space="preserve">Wang, X., Sung, B., and Phau, I. (2024). How rarity and exclusivity influence types of perceived value for luxury. Journal of Brand Management, 31(6), 576-592.</w:t>
      </w:r>
    </w:p>
    <w:p>
      <w:r>
        <w:t xml:space="preserve">Wiertz, C., and De Ruyter, K. (2007). Beyond The Call of Duty: Why Customers Contribute to Firm-Hosted Commercial Online Communities. Organization Studies, 28(3), 347-376.</w:t>
      </w:r>
    </w:p>
    <w:p>
      <w:r>
        <w:t xml:space="preserve">Wu, Y.-Y., Batool, H., and Yang, Y.-J. (2024). Relationship between the Characteristics of e-Commerce Live Streaming and Purchase Intentions: Moderating Effect of Hedonistic Shopping Value. Emerging Science Journal, 8(3), 1097-1117.</w:t>
      </w:r>
    </w:p>
    <w:p>
      <w:r>
        <w:t xml:space="preserve">Xie, Q., Muralidharan, S., and Edwards, S. M. (2024). Who will buy the idea of non-fungible token (NFT) marketing? Understanding consumers' psychological tendencies and value perceptions of branded NFTs. International Journal of Advertising, 43(6), 987-1015.</w:t>
      </w:r>
    </w:p>
    <w:p>
      <w:r>
        <w:t xml:space="preserve">Xie, Q., Muralidharan, S., Edwards, S. M., and La Ferle, C. (2023). Unlocking the power of non-fungible token (NFT) marketing: How NFT perceptions foster brand loyalty and purchase intention among millennials and Gen-Z. Journal of Interactive Advertising, 23(4), 356-373.</w:t>
      </w:r>
    </w:p>
    <w:p>
      <w:r>
        <w:t xml:space="preserve">Xu, S., Bauman, M. J., Ponting, S. S. A., Slevitch, L., Webster, C., and Kirillova, K. (2024). Neolocalism of craft brewery experience: Scale development and validation study. International Journal of Hospitality Management, 120, 103787.</w:t>
      </w:r>
    </w:p>
    <w:p>
      <w:r>
        <w:t xml:space="preserve">Zallio, M., and Clarkson, P. J. (2022). Designing the metaverse: A study on inclusion, diversity, equity, accessibility and safety for digital immersive environments. Telematics and Informatics, 75, 101909.</w:t>
      </w:r>
    </w:p>
    <w:p>
      <w:r>
        <w:t xml:space="preserve">Zhang, B., Peng, G., Liu, C., Zhang, Z. J., and Jasimuddin, S. M. (2022). Adaptation behaviour in using one-stop smart governance apps: an exploratory study between digital immigrants and digital natives. Electronic Markets, 32(4), 1971-1991.</w:t>
      </w:r>
    </w:p>
    <w:p>
      <w:r>
        <w:t xml:space="preserve">Zhang, L., Anjum, M. A., and Wang, Y. (2024). The impact of trust-building mechanisms on purchase intention towards metaverse shopping: the moderating role of age. International Journal of Human-Computer Interaction, 40(12), 3185-3203.</w:t>
      </w:r>
    </w:p>
    <w:p>
      <w:r>
        <w:t xml:space="preserve">Zhong, Z., and Hamouda, M. (2024). The impact of immersive and flow experiences on consumer participation in hyper-connected shopping platforms: A metaverse perspective. Journal of Consumer Behaviour, 23(6), 2826-2845.</w:t>
      </w:r>
    </w:p>
    <w:p/>
    <w:sectPr>
      <w:pgSz w:w="11906" w:h="16838"/>
      <w:pgMar w:top="1440" w:bottom="1440" w:left="1440" w:right="1440" w:header="708" w:footer="708" w:gutter="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Application>Kiro</Application>
</Properties>
</file>

<file path=docProps/core.xml><?xml version="1.0" encoding="utf-8"?>
<cp:coreProperties xmlns:cp="http://schemas.openxmlformats.org/package/2006/metadata/core-properties" xmlns:dc="http://purl.org/dc/elements/1.1/" xmlns:dcterms="http://purl.org/dc/terms/" xmlns:xsi="http://www.w3.org/2001/XMLSchema-instance">
  <dc:title>Satisfaction as the Conduit</dc:title>
  <dc:creator>Authors</dc:creator>
</cp:coreProperties>
</file>