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proofErr w:type="spellStart"/>
      <w:r w:rsidRPr="00205C71">
        <w:rPr>
          <w:szCs w:val="24"/>
        </w:rPr>
        <w:t>Decarbonising</w:t>
      </w:r>
      <w:proofErr w:type="spellEnd"/>
      <w:r w:rsidRPr="00205C71">
        <w:rPr>
          <w:szCs w:val="24"/>
        </w:rPr>
        <w:t xml:space="preserve">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proofErr w:type="spellStart"/>
      <w:r w:rsidRPr="00205C71">
        <w:rPr>
          <w:szCs w:val="24"/>
        </w:rPr>
        <w:t>fsQCA</w:t>
      </w:r>
      <w:proofErr w:type="spell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Definitions approach the concept of green logistics by aiming to reduce the environmental </w:t>
      </w:r>
      <w:r w:rsidRPr="00205C71">
        <w:rPr>
          <w:szCs w:val="24"/>
        </w:rPr>
        <w:lastRenderedPageBreak/>
        <w:t xml:space="preserve">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590398CC" w:rsidR="00490516" w:rsidRPr="00205C71" w:rsidRDefault="00490516" w:rsidP="00E50BF7">
      <w:pPr>
        <w:spacing w:after="0"/>
        <w:rPr>
          <w:szCs w:val="24"/>
        </w:rPr>
      </w:pPr>
      <w:r w:rsidRPr="00490516">
        <w:rPr>
          <w:szCs w:val="24"/>
          <w:highlight w:val="yellow"/>
        </w:rPr>
        <w:t xml:space="preserve">Integration occupies a distinctive position within this set. Recent work treats green supply chain integration less as one practice among several than as the capability through which upstream </w:t>
      </w:r>
      <w:r w:rsidRPr="00490516">
        <w:rPr>
          <w:szCs w:val="24"/>
          <w:highlight w:val="yellow"/>
        </w:rPr>
        <w:lastRenderedPageBreak/>
        <w:t>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w:t>
      </w:r>
      <w:r w:rsidRPr="00205C71">
        <w:rPr>
          <w:szCs w:val="24"/>
        </w:rPr>
        <w:lastRenderedPageBreak/>
        <w:t xml:space="preserve">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2C632328" w14:textId="6C2B9AB0" w:rsidR="00966C31" w:rsidRPr="00966C31" w:rsidRDefault="00966C31" w:rsidP="00966C31">
      <w:pPr>
        <w:spacing w:after="0"/>
        <w:rPr>
          <w:szCs w:val="24"/>
          <w:highlight w:val="yellow"/>
        </w:rPr>
      </w:pPr>
      <w:r w:rsidRPr="00966C31">
        <w:rPr>
          <w:szCs w:val="24"/>
          <w:highlight w:val="yellow"/>
        </w:rPr>
        <w:t>The configurational component carries a theoretical commitment as well as a methodological one. Resource orchestration theory holds that resources create value through how managers structure, bundle and leverage them rather than through possession alone, so outcomes depend on combinations rather than on separate contributions (Xi et al., 2023). That premise is what makes configurational analysis appropriate here rather than merely convenient.</w:t>
      </w:r>
      <w:r>
        <w:rPr>
          <w:szCs w:val="24"/>
          <w:highlight w:val="yellow"/>
        </w:rPr>
        <w:t xml:space="preserve"> </w:t>
      </w:r>
      <w:r w:rsidRPr="00966C31">
        <w:rPr>
          <w:szCs w:val="24"/>
          <w:highlight w:val="yellow"/>
        </w:rPr>
        <w:t>If enablers work as bundles, several distinct bundles may reach the same outcome, and a given enabler may be decisive in one bundle and irrelevant in another. Configurational studies of supply chain resilience, green supply chain integration, environmental strategy and business model design report this pattern consistently, identifying multiple sufficient paths in which the contribution of any condition depends on what accompanies it (Jiang et al., 2024; Feng &amp; Sheng, 2023; Zhang et al., 2026). The present design follows that logic and extends it by comparing the resulting bundles across two institutional settings.</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 xml:space="preserve">To treat the economic context as a moderator, we first need a clear account of why developing and emerging economies should differ in how they enable green logistics.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w:t>
      </w:r>
      <w:proofErr w:type="spellStart"/>
      <w:r w:rsidRPr="00205C71">
        <w:rPr>
          <w:szCs w:val="24"/>
        </w:rPr>
        <w:t>Agyabeng</w:t>
      </w:r>
      <w:proofErr w:type="spellEnd"/>
      <w:r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xml:space="preserve">,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w:t>
      </w:r>
      <w:r w:rsidRPr="00205C71">
        <w:rPr>
          <w:szCs w:val="24"/>
        </w:rPr>
        <w:lastRenderedPageBreak/>
        <w:t>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 xml:space="preserve">Figure 2 re-expresses the same framework as a structural path diagram, in which the seven enabler conditions are shown as colour-coded ellipses grouped by construct family, the </w:t>
      </w:r>
      <w:r w:rsidRPr="00205C71">
        <w:rPr>
          <w:szCs w:val="24"/>
        </w:rPr>
        <w:lastRenderedPageBreak/>
        <w:t>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w:t>
      </w:r>
      <w:r w:rsidRPr="002838C4">
        <w:rPr>
          <w:rFonts w:eastAsia="Times New Roman"/>
          <w:szCs w:val="24"/>
          <w:highlight w:val="yellow"/>
          <w:lang w:val="en-IN" w:eastAsia="en-GB"/>
        </w:rPr>
        <w:lastRenderedPageBreak/>
        <w:t>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27065C21" w:rsidR="00573A3A" w:rsidRPr="00205C71" w:rsidRDefault="00573A3A" w:rsidP="00E50BF7">
      <w:pPr>
        <w:spacing w:after="0"/>
        <w:rPr>
          <w:bCs/>
          <w:szCs w:val="24"/>
        </w:rPr>
      </w:pPr>
      <w:r w:rsidRPr="00205C71">
        <w:rPr>
          <w:bCs/>
          <w:szCs w:val="24"/>
        </w:rPr>
        <w:t xml:space="preserve">Skill readiness and digital readiness (H5). The success of digital readiness in contributing to the firm depends on having employees ready and skilled to utilize it; this draws upon absorptive </w:t>
      </w:r>
      <w:r w:rsidRPr="00205C71">
        <w:rPr>
          <w:bCs/>
          <w:szCs w:val="24"/>
        </w:rPr>
        <w:lastRenderedPageBreak/>
        <w:t xml:space="preserve">capacity literature. It’s through knowledge and skill readiness that digital investment turns into actual digital capability and application. </w:t>
      </w:r>
    </w:p>
    <w:p w14:paraId="143E3274" w14:textId="46F880FD" w:rsidR="00573A3A" w:rsidRPr="00205C71" w:rsidRDefault="00F93FDA" w:rsidP="00E50BF7">
      <w:pPr>
        <w:spacing w:after="0"/>
        <w:rPr>
          <w:bCs/>
          <w:szCs w:val="24"/>
        </w:rPr>
      </w:pPr>
      <w:r>
        <w:rPr>
          <w:bCs/>
          <w:szCs w:val="24"/>
          <w:highlight w:val="yellow"/>
        </w:rPr>
        <w:t>Cost barrier inversion</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cost barrier inversion</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 xml:space="preserve">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 xml:space="preserve">The design is cross-sectional. It records the pattern of enablement prevailing in each setting at the time of </w:t>
      </w:r>
      <w:r w:rsidR="0058052A" w:rsidRPr="0058052A">
        <w:rPr>
          <w:szCs w:val="24"/>
          <w:highlight w:val="yellow"/>
        </w:rPr>
        <w:lastRenderedPageBreak/>
        <w:t>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proofErr w:type="gramStart"/>
      <w:r w:rsidR="000B262A" w:rsidRPr="00205C71">
        <w:rPr>
          <w:szCs w:val="24"/>
        </w:rPr>
        <w:t>separate</w:t>
      </w:r>
      <w:proofErr w:type="gramEnd"/>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7D6748C3"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lastRenderedPageBreak/>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w:t>
      </w:r>
      <w:r w:rsidR="00223935">
        <w:rPr>
          <w:szCs w:val="24"/>
        </w:rPr>
        <w:t>ing</w:t>
      </w:r>
      <w:r w:rsidRPr="00205C71">
        <w:rPr>
          <w:szCs w:val="24"/>
        </w:rPr>
        <w:t xml:space="preserve">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151A7798"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w:t>
      </w:r>
      <w:r w:rsidR="007A7B0E">
        <w:rPr>
          <w:szCs w:val="24"/>
        </w:rPr>
        <w:t>ing</w:t>
      </w:r>
      <w:r w:rsidRPr="00205C71">
        <w:rPr>
          <w:szCs w:val="24"/>
        </w:rPr>
        <w:t xml:space="preserve"> economy and 120 emerging economy respondents.</w:t>
      </w:r>
      <w:r w:rsidR="005E7BF7" w:rsidRPr="005E7BF7">
        <w:t xml:space="preserve"> </w:t>
      </w:r>
      <w:r w:rsidR="005E7BF7" w:rsidRPr="005E7BF7">
        <w:rPr>
          <w:szCs w:val="24"/>
          <w:highlight w:val="yellow"/>
        </w:rPr>
        <w:t>All sampled firms fall within the small, medium and large bands reported below, and none approaches the scale of the large state-owned logistics groups operating in either country. The findings therefore speak to small and medium-sized enterprises and mid-sized operators rather than to state-linked incumbents, whose resource access and regulatory relationships differ in kind.</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lastRenderedPageBreak/>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39D0F6C8" w14:textId="5AE0DEDB" w:rsidR="00DA332E" w:rsidRDefault="00DA332E" w:rsidP="00E50BF7">
      <w:pPr>
        <w:spacing w:after="0"/>
        <w:rPr>
          <w:szCs w:val="24"/>
        </w:rPr>
      </w:pPr>
      <w:r w:rsidRPr="00DA332E">
        <w:rPr>
          <w:szCs w:val="24"/>
          <w:highlight w:val="yellow"/>
        </w:rPr>
        <w:t>For the configurational analysis, construct scores were calibrated into fuzzy-set membership using the direct method, with the three qualitative anchors set at the 95th, 50th and 5th percentiles of the distribution (Ragin, 2008). Percentile anchoring is standard where survey constructs lack external benchmarks that would justify substantive thresholds, and recent configurational work in operations and sustainability research follows the same practice (Jiang et al., 2024; Feng &amp; Sheng, 2023; Zhang et al., 2024). One refinement was necessary here. Because the two economic groups differ by more than a scale point on every construct, anchors drawn from the pooled distribution would place nearly every developing-economy case below the crossover and nearly every emerging-economy case above it, leaving too few positive cases in one group and too few negative cases in the other for sufficiency to be assessed within either. Anchors were therefore computed separately within each group, so that membership expresses a firm's standing relative to comparable firms rather than its position on a scale dominated by the group difference. This preserves the comparison the study is designed to make, since the configurations recovered in each group then describe how high performers differ from low performers within that setting rather than how the settings differ from one another.</w:t>
      </w:r>
    </w:p>
    <w:p w14:paraId="59908AE3" w14:textId="434B4633" w:rsidR="00990F18" w:rsidRPr="00205C71" w:rsidRDefault="00BD2F70" w:rsidP="00E50BF7">
      <w:pPr>
        <w:spacing w:after="0"/>
        <w:rPr>
          <w:szCs w:val="24"/>
        </w:rPr>
      </w:pPr>
      <w:r w:rsidRPr="00205C71">
        <w:rPr>
          <w:szCs w:val="24"/>
        </w:rPr>
        <w:lastRenderedPageBreak/>
        <w:t>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455929E0"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w:t>
      </w:r>
      <w:r w:rsidRPr="006C2A03">
        <w:rPr>
          <w:szCs w:val="24"/>
          <w:highlight w:val="yellow"/>
        </w:rPr>
        <w:lastRenderedPageBreak/>
        <w:t xml:space="preserve">inflates correlations uniformly rather than selectively. The full collinearity test proposed by 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 although diagnostics of this kind detect bias rather than remove it, and the limitation is revisited in Section 6.</w:t>
      </w:r>
    </w:p>
    <w:p w14:paraId="7D2FE490" w14:textId="1F3291E1" w:rsidR="00990F18"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p>
    <w:p w14:paraId="43C06C11" w14:textId="149D1610" w:rsidR="006D30FA" w:rsidRDefault="006D30FA" w:rsidP="00E50BF7">
      <w:pPr>
        <w:spacing w:after="0"/>
        <w:rPr>
          <w:szCs w:val="24"/>
        </w:rPr>
      </w:pPr>
      <w:r w:rsidRPr="006D30FA">
        <w:rPr>
          <w:szCs w:val="24"/>
          <w:highlight w:val="yellow"/>
        </w:rPr>
        <w:t xml:space="preserve">The barrier set was subjected to structural validation rather than assembled ad hoc, so the enabler set inherits a demonstrated dimensionality and an ordering that would otherwise rest on assumption, which also makes the two studies comparable and supports a cumulative </w:t>
      </w:r>
      <w:proofErr w:type="spellStart"/>
      <w:r w:rsidRPr="006D30FA">
        <w:rPr>
          <w:szCs w:val="24"/>
          <w:highlight w:val="yellow"/>
        </w:rPr>
        <w:t>programme</w:t>
      </w:r>
      <w:proofErr w:type="spellEnd"/>
      <w:r w:rsidRPr="006D30FA">
        <w:rPr>
          <w:szCs w:val="24"/>
          <w:highlight w:val="yellow"/>
        </w:rPr>
        <w:t xml:space="preserve">. 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no conceptual problem. The exception is the easing of cost barriers, which records a change in the economic environment together with a managerial assessment of it.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 xml:space="preserve">Endogeneity was assessed using the Gaussian copula approach, which detects correlation between a predictor and the structural error term without an instrumental variable (Park &amp; Gupta, 2012; Hult et al., 2018). The approach requires non-normally distributed predictors, so </w:t>
      </w:r>
      <w:r w:rsidRPr="00A82EEC">
        <w:rPr>
          <w:bCs/>
          <w:szCs w:val="24"/>
          <w:highlight w:val="yellow"/>
        </w:rPr>
        <w:lastRenderedPageBreak/>
        <w:t>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 xml:space="preserve">Two illustrative respondent profiles bring the descriptive patterns to life and anchor the quantitative results in the lived experience of logistics decision-makers. The first, a logistics </w:t>
      </w:r>
      <w:r w:rsidRPr="00205C71">
        <w:rPr>
          <w:szCs w:val="24"/>
        </w:rPr>
        <w:lastRenderedPageBreak/>
        <w:t>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lastRenderedPageBreak/>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w:t>
      </w:r>
      <w:proofErr w:type="spellStart"/>
      <w:r w:rsidR="00BD2F70" w:rsidRPr="00F7430B">
        <w:rPr>
          <w:szCs w:val="24"/>
        </w:rPr>
        <w:t>hete</w:t>
      </w:r>
      <w:r>
        <w:rPr>
          <w:szCs w:val="24"/>
        </w:rPr>
        <w:t>rotrait-monotrait</w:t>
      </w:r>
      <w:proofErr w:type="spellEnd"/>
      <w:r>
        <w:rPr>
          <w:szCs w:val="24"/>
        </w:rPr>
        <w:t xml:space="preserve">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lastRenderedPageBreak/>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 xml:space="preserve">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w:t>
      </w:r>
      <w:r w:rsidRPr="00205C71">
        <w:rPr>
          <w:szCs w:val="24"/>
        </w:rPr>
        <w:lastRenderedPageBreak/>
        <w:t>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lastRenderedPageBreak/>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14FC9E2C" w14:textId="079252CE" w:rsidR="00966C31" w:rsidRPr="00966C31" w:rsidRDefault="00966C31" w:rsidP="00966C31">
      <w:pPr>
        <w:spacing w:after="0"/>
        <w:rPr>
          <w:szCs w:val="24"/>
          <w:highlight w:val="yellow"/>
        </w:rPr>
      </w:pPr>
      <w:r w:rsidRPr="00966C31">
        <w:rPr>
          <w:szCs w:val="24"/>
          <w:highlight w:val="yellow"/>
        </w:rPr>
        <w:t>Because causal asymmetry cannot be assumed, necessity was also assessed for the negated outcome. No condition reached the 0.90 threshold for low green logistics performance in either group, the highest consistency being 0.753 for the absence of integration in emerging economies. Failure is therefore no more reducible to a single condition than success.</w:t>
      </w:r>
      <w:r>
        <w:rPr>
          <w:szCs w:val="24"/>
          <w:highlight w:val="yellow"/>
        </w:rPr>
        <w:t xml:space="preserve"> </w:t>
      </w:r>
      <w:r w:rsidRPr="00966C31">
        <w:rPr>
          <w:szCs w:val="24"/>
          <w:highlight w:val="yellow"/>
        </w:rPr>
        <w:t xml:space="preserve">Comparing the two analyses shows that the relationships are genuinely asymmetric rather than mirror images. In emerging </w:t>
      </w:r>
      <w:r w:rsidR="00772997" w:rsidRPr="00966C31">
        <w:rPr>
          <w:szCs w:val="24"/>
          <w:highlight w:val="yellow"/>
        </w:rPr>
        <w:t>economies,</w:t>
      </w:r>
      <w:r w:rsidRPr="00966C31">
        <w:rPr>
          <w:szCs w:val="24"/>
          <w:highlight w:val="yellow"/>
        </w:rPr>
        <w:t xml:space="preserve"> the presence of top management commitment relates to high performance at a consistency of 0.789, while its absence relates to low performance at only 0.644. Digital infrastructure readiness shows the same pattern, at 0.754 against 0.649.</w:t>
      </w:r>
    </w:p>
    <w:p w14:paraId="21742BB5" w14:textId="2DC79071" w:rsidR="00966C31" w:rsidRPr="00205C71" w:rsidRDefault="00966C31" w:rsidP="00966C31">
      <w:pPr>
        <w:spacing w:after="0"/>
        <w:rPr>
          <w:szCs w:val="24"/>
        </w:rPr>
      </w:pPr>
      <w:r w:rsidRPr="00966C31">
        <w:rPr>
          <w:szCs w:val="24"/>
          <w:highlight w:val="yellow"/>
        </w:rPr>
        <w:t>For two conditions the relationship reverses. The absence of cost barrier easing is more consistently associated with low performance than its presence is with high performance, at 0.682 against 0.614 in emerging economies, and regulatory pressure behaves similarly in the developing group at 0.720 against 0.680. Conditions that help firms succeed are therefore not simply the conditions whose absence makes them fail. This is the property symmetric estimation cannot represent, and configurational studies of environmental and supply chain outcomes have documented it repeatedly (Wang &amp; Feng, 2026; Jiang et al., 2024).</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292346BB"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w:t>
      </w:r>
      <w:r w:rsidRPr="00205C71">
        <w:rPr>
          <w:szCs w:val="24"/>
        </w:rPr>
        <w:lastRenderedPageBreak/>
        <w:t xml:space="preserve">economy group and three in the emerging-economy group. </w:t>
      </w:r>
      <w:r w:rsidR="0091714E" w:rsidRPr="0091714E">
        <w:rPr>
          <w:szCs w:val="24"/>
          <w:highlight w:val="yellow"/>
        </w:rPr>
        <w:t>Each configuration exceeded the 0.80 consistency threshold, and the overall solution consistency and coverage were satisfactory in both groups.</w:t>
      </w:r>
      <w:r w:rsidRPr="00205C71">
        <w:rPr>
          <w:szCs w:val="24"/>
        </w:rPr>
        <w:t xml:space="preserve">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lastRenderedPageBreak/>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lastRenderedPageBreak/>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 xml:space="preserve">Firm size, industry sector, respondent experience, and possession of a certified environmental management system were added as predictors of top management commitment and green logistics performance. </w:t>
      </w:r>
      <w:r w:rsidRPr="00C528B7">
        <w:rPr>
          <w:bCs/>
          <w:szCs w:val="24"/>
          <w:highlight w:val="yellow"/>
        </w:rPr>
        <w:lastRenderedPageBreak/>
        <w:t>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w:t>
      </w:r>
      <w:proofErr w:type="gramStart"/>
      <w:r w:rsidRPr="00C528B7">
        <w:rPr>
          <w:bCs/>
          <w:szCs w:val="24"/>
          <w:highlight w:val="yellow"/>
        </w:rPr>
        <w:t>do</w:t>
      </w:r>
      <w:proofErr w:type="gramEnd"/>
      <w:r w:rsidRPr="00C528B7">
        <w:rPr>
          <w:bCs/>
          <w:szCs w:val="24"/>
          <w:highlight w:val="yellow"/>
        </w:rPr>
        <w:t xml:space="preserve"> not depart significantly from normality, the copula cannot be identified where they act as predictors, and no claim about endogeneity is advanced for those three relationships.</w:t>
      </w:r>
    </w:p>
    <w:p w14:paraId="35B09DAD" w14:textId="0B83F6A1" w:rsidR="005E7BF7" w:rsidRPr="005E7BF7" w:rsidRDefault="00C528B7" w:rsidP="005E7BF7">
      <w:pPr>
        <w:keepNext/>
        <w:spacing w:after="0"/>
        <w:rPr>
          <w:bCs/>
          <w:szCs w:val="24"/>
        </w:rPr>
      </w:pPr>
      <w:r w:rsidRPr="00C528B7">
        <w:rPr>
          <w:bCs/>
          <w:szCs w:val="24"/>
          <w:highlight w:val="yellow"/>
        </w:rPr>
        <w:t xml:space="preserve">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w:t>
      </w:r>
      <w:r w:rsidRPr="00C528B7">
        <w:rPr>
          <w:bCs/>
          <w:szCs w:val="24"/>
          <w:highlight w:val="yellow"/>
        </w:rPr>
        <w:lastRenderedPageBreak/>
        <w:t>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r w:rsidR="005E7BF7">
        <w:rPr>
          <w:bCs/>
          <w:szCs w:val="24"/>
        </w:rPr>
        <w:t xml:space="preserve"> </w:t>
      </w:r>
      <w:r w:rsidR="005E7BF7" w:rsidRPr="005E7BF7">
        <w:rPr>
          <w:bCs/>
          <w:szCs w:val="24"/>
          <w:highlight w:val="yellow"/>
        </w:rPr>
        <w:t>A further check examined whether differences in resource access disturb the estimated relationships. Firm ownership was not recorded, so firm size served as a partial proxy, on the reasoning that larger firms command greater access to capital, technology and specialist staff.</w:t>
      </w:r>
      <w:r w:rsidR="005E7BF7">
        <w:rPr>
          <w:bCs/>
          <w:szCs w:val="24"/>
          <w:highlight w:val="yellow"/>
        </w:rPr>
        <w:t xml:space="preserve"> </w:t>
      </w:r>
      <w:r w:rsidR="005E7BF7" w:rsidRPr="005E7BF7">
        <w:rPr>
          <w:bCs/>
          <w:szCs w:val="24"/>
          <w:highlight w:val="yellow"/>
        </w:rPr>
        <w:t>Neither construct levels nor path strengths vary with it. One-way analysis of variance across the three size bands returns no significant difference on any of the eight constructs, with p values between 0.31 and 0.99. Interactions between firm size and each of the five principal paths are likewise non-significant, the largest reaching p = 0.376. Regulatory pressure predicts managerial commitment, digital readiness predicts integration, and integration predicts performance at conventional significance within every size band. Size is an imperfect stand-in for ownership, so this narrows rather than closes the question.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 xml:space="preserve">The findings can be read at two levels: the net effects estimated by the structural model and the configurations surfaced by the set-theoretic analysis. Taken together, they offer a more </w:t>
      </w:r>
      <w:r w:rsidRPr="00205C71">
        <w:rPr>
          <w:szCs w:val="24"/>
        </w:rPr>
        <w:lastRenderedPageBreak/>
        <w:t>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7DCF90AD" w14:textId="696EFE5A" w:rsidR="00184EAD" w:rsidRPr="00205C71" w:rsidRDefault="00184EAD" w:rsidP="00C732DC">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p>
    <w:p w14:paraId="451449A2" w14:textId="77777777" w:rsidR="001F5A57" w:rsidRPr="001F5A57" w:rsidRDefault="001F5A57" w:rsidP="001F5A57">
      <w:pPr>
        <w:spacing w:after="0"/>
        <w:rPr>
          <w:szCs w:val="24"/>
          <w:highlight w:val="yellow"/>
        </w:rPr>
      </w:pPr>
      <w:r w:rsidRPr="001F5A57">
        <w:rPr>
          <w:szCs w:val="24"/>
          <w:highlight w:val="yellow"/>
        </w:rPr>
        <w:t>The non-significant pooled path from cost barrier easing to integration is informative rather than disappointing, and it follows from the distinction between environmental conditions and firm capabilities drawn earlier. An eased constraint widens what a firm can afford without supplying the capability to act on it, so its effect on integration should be conditional rather than general. The configurational results bear this out, since cost barrier easing appears as a core condition in one developing-economy recipe and is largely absent from the emerging-economy recipes that lead with digital capability.</w:t>
      </w:r>
    </w:p>
    <w:p w14:paraId="6830B1E1" w14:textId="77777777" w:rsidR="007704FA" w:rsidRDefault="001F5A57" w:rsidP="001F5A57">
      <w:pPr>
        <w:spacing w:after="0"/>
        <w:rPr>
          <w:szCs w:val="24"/>
          <w:highlight w:val="yellow"/>
        </w:rPr>
      </w:pPr>
      <w:r w:rsidRPr="001F5A57">
        <w:rPr>
          <w:szCs w:val="24"/>
          <w:highlight w:val="yellow"/>
        </w:rPr>
        <w:t xml:space="preserve">Cost barrier easing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behaving as a permissive condition </w:t>
      </w:r>
      <w:r w:rsidRPr="001F5A57">
        <w:rPr>
          <w:szCs w:val="24"/>
          <w:highlight w:val="yellow"/>
        </w:rPr>
        <w:lastRenderedPageBreak/>
        <w:t xml:space="preserve">should, making integration possible in some settings without producing it anywhere. This is the kind of relationship a symmetric model averages away and a </w:t>
      </w:r>
      <w:proofErr w:type="gramStart"/>
      <w:r w:rsidRPr="001F5A57">
        <w:rPr>
          <w:szCs w:val="24"/>
          <w:highlight w:val="yellow"/>
        </w:rPr>
        <w:t>configurational model recovers</w:t>
      </w:r>
      <w:proofErr w:type="gramEnd"/>
      <w:r w:rsidRPr="001F5A57">
        <w:rPr>
          <w:szCs w:val="24"/>
          <w:highlight w:val="yellow"/>
        </w:rPr>
        <w:t>, which illustrates why the two approaches are complementary.</w:t>
      </w:r>
      <w:r>
        <w:rPr>
          <w:szCs w:val="24"/>
          <w:highlight w:val="yellow"/>
        </w:rPr>
        <w:t xml:space="preserve"> </w:t>
      </w:r>
    </w:p>
    <w:p w14:paraId="3DD10F6E" w14:textId="77C82636" w:rsidR="001F5A57" w:rsidRPr="007704FA" w:rsidRDefault="007704FA" w:rsidP="001F5A57">
      <w:pPr>
        <w:spacing w:after="0"/>
        <w:rPr>
          <w:szCs w:val="24"/>
        </w:rPr>
      </w:pPr>
      <w:r w:rsidRPr="007704FA">
        <w:rPr>
          <w:szCs w:val="24"/>
          <w:highlight w:val="yellow"/>
        </w:rPr>
        <w:t>Two explanations suggest themselves for why cost matters in some configurations and not others, and neither survives examination. The first is a ceiling effect, in which cost has stopped constraining emerging-economy firms and therefore no longer differentiates them. The distributions do not support this. Cost barrier easing is the least advanced of the enablers in emerging economies, with 51 per cent of firms at or above the agreement point against 83 per cent for managerial commitment and 65 per cent for digital readiness. It is also the most dispersed, at a standard deviation of 0.68 against 0.53 for commitment, and Levene's test finds no difference in variance between the two groups (p = 0.555). Cost has not been resolved in emerging economies. The second explanation is a survival threshold in developing economies, where cost easing would begin to matter only once firms clear a minimum level of viability. This is equally unsupported. Adding a quadratic term leaves no evidence of curvature in either group, at p = 0.608 and p = 0.209. Splitting the developing sample into terciles of cost easing gives correlations with integration of 0.118, 0.105 and 0.069, which is flat rather than threshold-shaped. Interactions between cost easing and managerial commitment, digital readiness and workforce readiness are non-significant in both groups, so the condition is not waiting on a complementary capability either.</w:t>
      </w:r>
      <w:r w:rsidRPr="007704FA">
        <w:rPr>
          <w:szCs w:val="24"/>
          <w:highlight w:val="yellow"/>
        </w:rPr>
        <w:t xml:space="preserve"> </w:t>
      </w:r>
      <w:r w:rsidRPr="007704FA">
        <w:rPr>
          <w:szCs w:val="24"/>
          <w:highlight w:val="yellow"/>
        </w:rPr>
        <w:t>A path coefficient reports whether variation in a condition tracks variation in the outcome, while set-theoretic sufficiency reports whether a combination of conditions is enough to produce it. A condition can belong to a sufficient combination without carrying any independent gradient. Cost easing behaves in exactly this way. It marks the set of firms for which integration is financially available, and among firms inside that set the degree of affordability adds nothing further. Appearing as a core condition in one developing-economy recipe is therefore not in tension with the null coefficient, and reading cost easing as a scope condition rather than a driver resolves the apparent contradiction.</w:t>
      </w:r>
      <w:r w:rsidRPr="007704FA">
        <w:rPr>
          <w:szCs w:val="24"/>
          <w:highlight w:val="yellow"/>
        </w:rPr>
        <w:t xml:space="preserve"> </w:t>
      </w:r>
      <w:r w:rsidRPr="007704FA">
        <w:rPr>
          <w:szCs w:val="24"/>
          <w:highlight w:val="yellow"/>
        </w:rPr>
        <w:t xml:space="preserve">The developing-economy pattern deserves separate comment. Cost easing </w:t>
      </w:r>
      <w:proofErr w:type="gramStart"/>
      <w:r w:rsidRPr="007704FA">
        <w:rPr>
          <w:szCs w:val="24"/>
          <w:highlight w:val="yellow"/>
        </w:rPr>
        <w:t>there</w:t>
      </w:r>
      <w:proofErr w:type="gramEnd"/>
      <w:r w:rsidRPr="007704FA">
        <w:rPr>
          <w:szCs w:val="24"/>
          <w:highlight w:val="yellow"/>
        </w:rPr>
        <w:t xml:space="preserve"> averages 2.97 against 2.54 for digital readiness and 2.78 for workforce readiness, so affordability has improved faster than the capabilities needed to act on it. Around a third of developing-economy firms remain at or below the disagreement point on cost, while half remain there on digital readiness. Green options are becoming purchasable in these settings before firms acquire the means to deploy them, which is a sequencing problem rather than a financing one.</w:t>
      </w:r>
      <w:r>
        <w:rPr>
          <w:szCs w:val="24"/>
        </w:rPr>
        <w:t xml:space="preserve"> </w:t>
      </w:r>
      <w:r w:rsidR="001F5A57" w:rsidRPr="001F5A57">
        <w:rPr>
          <w:szCs w:val="24"/>
          <w:highlight w:val="yellow"/>
        </w:rPr>
        <w:t xml:space="preserve">Multiple distinct recipes lead to high performance, and the necessity analysis shows that conditions </w:t>
      </w:r>
      <w:r w:rsidR="001F5A57" w:rsidRPr="001F5A57">
        <w:rPr>
          <w:szCs w:val="24"/>
          <w:highlight w:val="yellow"/>
        </w:rPr>
        <w:lastRenderedPageBreak/>
        <w:t>associated with success are not simply those whose absence produces failure. Neither property is visible in the path estimates alone.</w:t>
      </w:r>
    </w:p>
    <w:p w14:paraId="123CA956" w14:textId="59580C37" w:rsidR="001F5A57" w:rsidRPr="00157F2C" w:rsidRDefault="001F5A57" w:rsidP="001F5A57">
      <w:pPr>
        <w:spacing w:after="0"/>
        <w:rPr>
          <w:szCs w:val="24"/>
          <w:highlight w:val="yellow"/>
        </w:rPr>
      </w:pPr>
      <w:r w:rsidRPr="001F5A57">
        <w:rPr>
          <w:szCs w:val="24"/>
          <w:highlight w:val="yellow"/>
        </w:rPr>
        <w:t xml:space="preserve">These findings sit within a growing body of work reaching similar conclusions in adjacent settings. Studies of supply chain resilience, green image and environmental strategy each recover several sufficient paths rather than one dominant recipe, and each finds conditions that are core in one configuration and absent from another (Jiang et al., 2024; Zhang et al., 2024; Xi et al., 2023). Work on ESG ratings reports the same asymmetry observed here, where the conditions producing a </w:t>
      </w:r>
      <w:proofErr w:type="spellStart"/>
      <w:r w:rsidRPr="001F5A57">
        <w:rPr>
          <w:szCs w:val="24"/>
          <w:highlight w:val="yellow"/>
        </w:rPr>
        <w:t>favourable</w:t>
      </w:r>
      <w:proofErr w:type="spellEnd"/>
      <w:r w:rsidRPr="001F5A57">
        <w:rPr>
          <w:szCs w:val="24"/>
          <w:highlight w:val="yellow"/>
        </w:rPr>
        <w:t xml:space="preserve"> outcome differ from those whose absence produces an </w:t>
      </w:r>
      <w:proofErr w:type="spellStart"/>
      <w:r w:rsidRPr="001F5A57">
        <w:rPr>
          <w:szCs w:val="24"/>
          <w:highlight w:val="yellow"/>
        </w:rPr>
        <w:t>unfavourable</w:t>
      </w:r>
      <w:proofErr w:type="spellEnd"/>
      <w:r w:rsidRPr="001F5A57">
        <w:rPr>
          <w:szCs w:val="24"/>
          <w:highlight w:val="yellow"/>
        </w:rPr>
        <w:t xml:space="preserve"> one (Wang &amp; Feng, 2026).</w:t>
      </w:r>
      <w:r w:rsidR="00157F2C">
        <w:rPr>
          <w:szCs w:val="24"/>
          <w:highlight w:val="yellow"/>
        </w:rPr>
        <w:t xml:space="preserve"> </w:t>
      </w:r>
      <w:r w:rsidRPr="001F5A57">
        <w:rPr>
          <w:szCs w:val="24"/>
          <w:highlight w:val="yellow"/>
        </w:rPr>
        <w:t xml:space="preserve">Prior configurational studies establish that multiple routes exist within a setting. The evidence here indicates that the composition of those </w:t>
      </w:r>
      <w:proofErr w:type="gramStart"/>
      <w:r w:rsidRPr="001F5A57">
        <w:rPr>
          <w:szCs w:val="24"/>
          <w:highlight w:val="yellow"/>
        </w:rPr>
        <w:t>routes</w:t>
      </w:r>
      <w:proofErr w:type="gramEnd"/>
      <w:r w:rsidRPr="001F5A57">
        <w:rPr>
          <w:szCs w:val="24"/>
          <w:highlight w:val="yellow"/>
        </w:rPr>
        <w:t xml:space="preserve"> changes with the institutional environment, so a recipe sufficient in one economy has no counterpart in the other.</w:t>
      </w:r>
    </w:p>
    <w:p w14:paraId="1FAF4434" w14:textId="520E8622"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w:t>
      </w:r>
      <w:r w:rsidR="00BD2F70" w:rsidRPr="00205C71">
        <w:rPr>
          <w:szCs w:val="24"/>
        </w:rPr>
        <w:lastRenderedPageBreak/>
        <w:t xml:space="preserve">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lastRenderedPageBreak/>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3D9C64A8"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w:t>
      </w:r>
      <w:r w:rsidR="00954FB6" w:rsidRPr="00954FB6">
        <w:rPr>
          <w:szCs w:val="24"/>
          <w:highlight w:val="yellow"/>
        </w:rPr>
        <w:t>Clear, credible and progressively tightening environmental regulation is therefore likely to yield the greatest return. Cost-side incentives such as subsidies and tax benefits remain useful, but the evidence here cautions against relying on them alone. Affordability in these settings has already improved faster than the capabilities needed to exploit it, and firms that can now buy green options still lack the digital systems and workforce skills to deploy them. Incentives that lower prices without funding the absorptive capacity to use what has become affordable are likely to widen that gap rather than close it. Pairing purchase subsidies with training provision and shared digital infrastructure would address the constraint that actually binds</w:t>
      </w:r>
      <w:r w:rsidR="00954FB6">
        <w:rPr>
          <w:szCs w:val="24"/>
        </w:rPr>
        <w:t xml:space="preserve">. </w:t>
      </w:r>
      <w:r w:rsidRPr="00205C71">
        <w:rPr>
          <w:szCs w:val="24"/>
        </w:rPr>
        <w:t>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 xml:space="preserve">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w:t>
      </w:r>
      <w:r w:rsidRPr="00205C71">
        <w:rPr>
          <w:szCs w:val="24"/>
        </w:rPr>
        <w:lastRenderedPageBreak/>
        <w:t>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2F628F5A" w14:textId="77777777" w:rsidR="0092232F"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 xml:space="preserve">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w:t>
      </w:r>
      <w:r w:rsidR="00E36B38" w:rsidRPr="00E36B38">
        <w:rPr>
          <w:szCs w:val="24"/>
          <w:highlight w:val="yellow"/>
        </w:rPr>
        <w:lastRenderedPageBreak/>
        <w:t>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&amp;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would replace perceptual outcome measures altogether. Matching survey responses to financial disclosures would allow the cost arguments underlying cost barrier inversion to be tested against reported expenditure rather than managerial </w:t>
      </w:r>
      <w:proofErr w:type="spellStart"/>
      <w:proofErr w:type="gramStart"/>
      <w:r w:rsidR="00A03204" w:rsidRPr="00A03204">
        <w:rPr>
          <w:szCs w:val="24"/>
          <w:highlight w:val="yellow"/>
        </w:rPr>
        <w:t>belief.</w:t>
      </w:r>
      <w:r w:rsidRPr="000841FA">
        <w:rPr>
          <w:szCs w:val="24"/>
        </w:rPr>
        <w:t>The</w:t>
      </w:r>
      <w:proofErr w:type="spellEnd"/>
      <w:proofErr w:type="gramEnd"/>
      <w:r w:rsidRPr="000841FA">
        <w:rPr>
          <w:szCs w:val="24"/>
        </w:rPr>
        <w:t xml:space="preserv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w:t>
      </w:r>
    </w:p>
    <w:p w14:paraId="098CB942" w14:textId="27FF3A7C" w:rsidR="005E7BF7" w:rsidRDefault="0092232F" w:rsidP="005E7BF7">
      <w:pPr>
        <w:spacing w:after="0"/>
        <w:rPr>
          <w:szCs w:val="24"/>
        </w:rPr>
      </w:pPr>
      <w:r w:rsidRPr="0092232F">
        <w:rPr>
          <w:szCs w:val="24"/>
          <w:highlight w:val="yellow"/>
        </w:rPr>
        <w:t xml:space="preserve">A further limitation concerns how the enabler set was derived. Inverting validated barrier dimensions gives the constructs a demonstrated dimensionality, but it does not establish that the absence of an obstacle amounts to the presence of a capability, and treating </w:t>
      </w:r>
      <w:r w:rsidR="00F93FDA">
        <w:rPr>
          <w:szCs w:val="24"/>
          <w:highlight w:val="yellow"/>
        </w:rPr>
        <w:t>cost barrier inversion</w:t>
      </w:r>
      <w:r w:rsidRPr="0092232F">
        <w:rPr>
          <w:szCs w:val="24"/>
          <w:highlight w:val="yellow"/>
        </w:rPr>
        <w:t xml:space="preserve"> as an enabling condition rather than a capability is a partial rather than a complete answer to that objection. Constructs built directly as capabilities, measuring for example a </w:t>
      </w:r>
      <w:r w:rsidRPr="0092232F">
        <w:rPr>
          <w:szCs w:val="24"/>
          <w:highlight w:val="yellow"/>
        </w:rPr>
        <w:lastRenderedPageBreak/>
        <w:t>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blurs.</w:t>
      </w:r>
      <w:r w:rsidR="00B82215">
        <w:rPr>
          <w:szCs w:val="24"/>
        </w:rPr>
        <w:t xml:space="preserve"> </w:t>
      </w:r>
      <w:r w:rsidR="005E7BF7">
        <w:rPr>
          <w:szCs w:val="24"/>
        </w:rPr>
        <w:t xml:space="preserve"> </w:t>
      </w:r>
      <w:r w:rsidR="005E7BF7" w:rsidRPr="005E7BF7">
        <w:rPr>
          <w:szCs w:val="24"/>
          <w:highlight w:val="yellow"/>
        </w:rPr>
        <w:t>Firm ownership was not recorded, and the omission matters more in these two countries than it would elsewhere. State ownership alters resource access directly, since state-linked firms borrow on softer terms and reach technology and land through channels closed to private operators. It also alters what regulatory pressure means. A state-owned enterprise is at once a target of environmental policy and an instrument of it, so compliance may follow from political mandate rather than from the coercive pressure this framework models. Evidence from Chinese firms indicates that government ties shape whether environmental commitments prove substantive or symbolic (Marquis &amp; Qian, 2014), which bears directly on the path from regulatory pressure to managerial commitment.</w:t>
      </w:r>
      <w:r w:rsidR="005E7BF7">
        <w:rPr>
          <w:szCs w:val="24"/>
        </w:rPr>
        <w:t xml:space="preserve"> </w:t>
      </w:r>
      <w:r w:rsidR="005E7BF7" w:rsidRPr="005E7BF7">
        <w:rPr>
          <w:szCs w:val="24"/>
          <w:highlight w:val="yellow"/>
        </w:rPr>
        <w:t>Firm size shows no moderating effect, which suggests limited resource-access heterogeneity within this sample, and the absence of large state-owned groups narrows the exposure further. Neither observation substitutes for the variable itself. Research that stratifies sampling by ownership would test whether the regulatory mechanism identified here operates differently for state-linked firms, and the comparison would be most informative in China, where state and private operators coexist at scale in freight and warehousing.</w:t>
      </w:r>
    </w:p>
    <w:p w14:paraId="35C009E1" w14:textId="1144C485" w:rsidR="000841FA" w:rsidRPr="00B82215" w:rsidRDefault="000841FA" w:rsidP="00C732DC">
      <w:pPr>
        <w:spacing w:after="0"/>
        <w:rPr>
          <w:szCs w:val="24"/>
        </w:rPr>
      </w:pPr>
      <w:r w:rsidRPr="000841FA">
        <w:rPr>
          <w:szCs w:val="24"/>
        </w:rPr>
        <w:t>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lastRenderedPageBreak/>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lastRenderedPageBreak/>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lastRenderedPageBreak/>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lastRenderedPageBreak/>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7683A3F8" w14:textId="77777777" w:rsidR="00F93FDA" w:rsidRDefault="00F93FDA" w:rsidP="008B57DA">
      <w:pPr>
        <w:spacing w:after="0" w:line="240" w:lineRule="auto"/>
        <w:rPr>
          <w:szCs w:val="24"/>
          <w:highlight w:val="yellow"/>
        </w:rPr>
      </w:pPr>
    </w:p>
    <w:p w14:paraId="1A5B5F04" w14:textId="7A06EB73" w:rsidR="00CC3B73" w:rsidRPr="00C977CB" w:rsidRDefault="00CC3B73" w:rsidP="008B57DA">
      <w:pPr>
        <w:spacing w:after="0" w:line="240" w:lineRule="auto"/>
        <w:rPr>
          <w:szCs w:val="24"/>
          <w:highlight w:val="yellow"/>
        </w:rPr>
      </w:pPr>
      <w:r w:rsidRPr="00C977CB">
        <w:rPr>
          <w:szCs w:val="24"/>
          <w:highlight w:val="yellow"/>
        </w:rPr>
        <w:t xml:space="preserve">Ren, J., Shi, H., Feng, T., &amp; Li, J. (2026). Translating environmental passion into green supply chain integration: The mediating role of sustainable decision tradeoffs. Humanities and Social Sciences Communications, 13, 1253. </w:t>
      </w:r>
      <w:hyperlink r:id="rId17" w:history="1">
        <w:r w:rsidR="00C977CB" w:rsidRPr="00C977CB">
          <w:rPr>
            <w:rStyle w:val="Hyperlink"/>
            <w:szCs w:val="24"/>
            <w:highlight w:val="yellow"/>
          </w:rPr>
          <w:t>https://doi.org/10.1057/s41599-026-07627-9</w:t>
        </w:r>
      </w:hyperlink>
    </w:p>
    <w:p w14:paraId="39825647" w14:textId="77777777" w:rsidR="00C977CB" w:rsidRPr="00C977CB" w:rsidRDefault="00C977CB" w:rsidP="008B57DA">
      <w:pPr>
        <w:spacing w:after="0" w:line="240" w:lineRule="auto"/>
        <w:rPr>
          <w:szCs w:val="24"/>
          <w:highlight w:val="yellow"/>
        </w:rPr>
      </w:pPr>
    </w:p>
    <w:p w14:paraId="12FD32C8" w14:textId="29738914" w:rsidR="00C977CB" w:rsidRPr="00C977CB" w:rsidRDefault="00C977CB" w:rsidP="008B57DA">
      <w:pPr>
        <w:spacing w:after="0" w:line="240" w:lineRule="auto"/>
        <w:rPr>
          <w:szCs w:val="24"/>
          <w:highlight w:val="yellow"/>
        </w:rPr>
      </w:pPr>
      <w:r w:rsidRPr="00C977CB">
        <w:rPr>
          <w:szCs w:val="24"/>
          <w:highlight w:val="yellow"/>
        </w:rPr>
        <w:lastRenderedPageBreak/>
        <w:t xml:space="preserve">Ketokivi, M. A., &amp; Schroeder, R. G. (2004). Perceptual measures of performance: Fact or fiction? Journal of Operations Management, 22(3), 247–264. </w:t>
      </w:r>
      <w:hyperlink r:id="rId18" w:history="1">
        <w:r w:rsidRPr="00C977CB">
          <w:rPr>
            <w:rStyle w:val="Hyperlink"/>
            <w:szCs w:val="24"/>
            <w:highlight w:val="yellow"/>
          </w:rPr>
          <w:t>https://doi.org/10.1016/j.jom.2002.07.001</w:t>
        </w:r>
      </w:hyperlink>
    </w:p>
    <w:p w14:paraId="353084DB" w14:textId="77777777" w:rsidR="00C977CB" w:rsidRPr="00C977CB" w:rsidRDefault="00C977CB" w:rsidP="008B57DA">
      <w:pPr>
        <w:spacing w:after="0" w:line="240" w:lineRule="auto"/>
        <w:rPr>
          <w:szCs w:val="24"/>
          <w:highlight w:val="yellow"/>
        </w:rPr>
      </w:pPr>
    </w:p>
    <w:p w14:paraId="4A7FD72B" w14:textId="4391B86B" w:rsidR="00C977CB" w:rsidRPr="00C977CB" w:rsidRDefault="00C977CB" w:rsidP="008B57DA">
      <w:pPr>
        <w:spacing w:after="0" w:line="240" w:lineRule="auto"/>
        <w:rPr>
          <w:szCs w:val="24"/>
          <w:highlight w:val="yellow"/>
        </w:rPr>
      </w:pPr>
      <w:r w:rsidRPr="00C977CB">
        <w:rPr>
          <w:szCs w:val="24"/>
          <w:highlight w:val="yellow"/>
        </w:rPr>
        <w:t xml:space="preserve">Kock, N. (2015). Common method bias in PLS-SEM: A full collinearity assessment approach. International Journal of e-Collaboration, 11(4), 1–10. </w:t>
      </w:r>
      <w:hyperlink r:id="rId19" w:history="1">
        <w:r w:rsidRPr="00C977CB">
          <w:rPr>
            <w:rStyle w:val="Hyperlink"/>
            <w:szCs w:val="24"/>
            <w:highlight w:val="yellow"/>
          </w:rPr>
          <w:t>https://doi.org/10.4018/ijec.2015100101</w:t>
        </w:r>
      </w:hyperlink>
    </w:p>
    <w:p w14:paraId="61951AA9" w14:textId="77777777" w:rsidR="00C977CB" w:rsidRPr="00C977CB" w:rsidRDefault="00C977CB" w:rsidP="008B57DA">
      <w:pPr>
        <w:spacing w:after="0" w:line="240" w:lineRule="auto"/>
        <w:rPr>
          <w:szCs w:val="24"/>
          <w:highlight w:val="yellow"/>
        </w:rPr>
      </w:pPr>
    </w:p>
    <w:p w14:paraId="219330E4" w14:textId="77777777" w:rsidR="00C977CB" w:rsidRPr="00C977CB" w:rsidRDefault="00C977CB" w:rsidP="008B57DA">
      <w:pPr>
        <w:spacing w:after="0" w:line="240" w:lineRule="auto"/>
        <w:rPr>
          <w:szCs w:val="24"/>
          <w:highlight w:val="yellow"/>
        </w:rPr>
      </w:pPr>
    </w:p>
    <w:p w14:paraId="478C9293" w14:textId="0BB01B33" w:rsidR="00C977CB" w:rsidRPr="00C977CB" w:rsidRDefault="00C977CB" w:rsidP="008B57DA">
      <w:pPr>
        <w:spacing w:after="0" w:line="240" w:lineRule="auto"/>
        <w:rPr>
          <w:szCs w:val="24"/>
          <w:highlight w:val="yellow"/>
        </w:rPr>
      </w:pPr>
      <w:r w:rsidRPr="00C977CB">
        <w:rPr>
          <w:szCs w:val="24"/>
          <w:highlight w:val="yellow"/>
        </w:rPr>
        <w:t xml:space="preserve">Kumar, N., Stern, L. W., &amp; Anderson, J. C. (1993). Conducting interorganizational research using key informants. Academy of Management Journal, 36(6), 1633–1651. </w:t>
      </w:r>
      <w:hyperlink r:id="rId20" w:history="1">
        <w:r w:rsidRPr="00C977CB">
          <w:rPr>
            <w:rStyle w:val="Hyperlink"/>
            <w:szCs w:val="24"/>
            <w:highlight w:val="yellow"/>
          </w:rPr>
          <w:t>https://doi.org/10.2307/256824</w:t>
        </w:r>
      </w:hyperlink>
    </w:p>
    <w:p w14:paraId="67CED373" w14:textId="77777777" w:rsidR="00C977CB" w:rsidRPr="00C977CB" w:rsidRDefault="00C977CB" w:rsidP="008B57DA">
      <w:pPr>
        <w:spacing w:after="0" w:line="240" w:lineRule="auto"/>
        <w:rPr>
          <w:szCs w:val="24"/>
          <w:highlight w:val="yellow"/>
        </w:rPr>
      </w:pPr>
    </w:p>
    <w:p w14:paraId="111807A5" w14:textId="77777777" w:rsidR="00C977CB" w:rsidRPr="00C977CB" w:rsidRDefault="00C977CB" w:rsidP="008B57DA">
      <w:pPr>
        <w:spacing w:after="0" w:line="240" w:lineRule="auto"/>
        <w:rPr>
          <w:szCs w:val="24"/>
          <w:highlight w:val="yellow"/>
        </w:rPr>
      </w:pPr>
    </w:p>
    <w:p w14:paraId="6B614AB5" w14:textId="32916757" w:rsidR="00C977CB" w:rsidRPr="00C977CB" w:rsidRDefault="00C977CB" w:rsidP="008B57DA">
      <w:pPr>
        <w:spacing w:after="0" w:line="240" w:lineRule="auto"/>
        <w:rPr>
          <w:szCs w:val="24"/>
          <w:highlight w:val="yellow"/>
        </w:rPr>
      </w:pPr>
      <w:r w:rsidRPr="00C977CB">
        <w:rPr>
          <w:szCs w:val="24"/>
          <w:highlight w:val="yellow"/>
        </w:rPr>
        <w:t xml:space="preserve">Podsakoff, P. M., MacKenzie, S. B., Lee, J.-Y., &amp; Podsakoff, N. P. (2003). Common method biases in behavioral research: A critical review of the literature and recommended remedies. Journal of Applied Psychology, 88(5), 879–903. </w:t>
      </w:r>
      <w:hyperlink r:id="rId21" w:history="1">
        <w:r w:rsidRPr="00C977CB">
          <w:rPr>
            <w:rStyle w:val="Hyperlink"/>
            <w:szCs w:val="24"/>
            <w:highlight w:val="yellow"/>
          </w:rPr>
          <w:t>https://doi.org/10.1037/0021-9010.88.5.879</w:t>
        </w:r>
      </w:hyperlink>
    </w:p>
    <w:p w14:paraId="73941002" w14:textId="77777777" w:rsidR="00C977CB" w:rsidRPr="00C977CB" w:rsidRDefault="00C977CB" w:rsidP="008B57DA">
      <w:pPr>
        <w:spacing w:after="0" w:line="240" w:lineRule="auto"/>
        <w:rPr>
          <w:szCs w:val="24"/>
          <w:highlight w:val="yellow"/>
        </w:rPr>
      </w:pPr>
    </w:p>
    <w:p w14:paraId="1088C680" w14:textId="77777777" w:rsidR="00C977CB" w:rsidRPr="00C977CB" w:rsidRDefault="00C977CB" w:rsidP="008B57DA">
      <w:pPr>
        <w:spacing w:after="0" w:line="240" w:lineRule="auto"/>
        <w:rPr>
          <w:szCs w:val="24"/>
          <w:highlight w:val="yellow"/>
        </w:rPr>
      </w:pPr>
    </w:p>
    <w:p w14:paraId="6000C407" w14:textId="12604F9E" w:rsidR="00C977CB" w:rsidRDefault="00C977CB" w:rsidP="008B57DA">
      <w:pPr>
        <w:spacing w:after="0" w:line="240" w:lineRule="auto"/>
        <w:rPr>
          <w:szCs w:val="24"/>
        </w:rPr>
      </w:pPr>
      <w:r w:rsidRPr="00C977CB">
        <w:rPr>
          <w:szCs w:val="24"/>
          <w:highlight w:val="yellow"/>
        </w:rPr>
        <w:t xml:space="preserve">Podsakoff, P. M., MacKenzie, S. B., &amp; Podsakoff, N. P. (2012). Sources of method bias in social science research and recommendations on how to control it. Annual Review of Psychology, 63, 539–569. </w:t>
      </w:r>
      <w:hyperlink r:id="rId22" w:history="1">
        <w:r w:rsidR="00F93FDA" w:rsidRPr="0023749F">
          <w:rPr>
            <w:rStyle w:val="Hyperlink"/>
            <w:szCs w:val="24"/>
            <w:highlight w:val="yellow"/>
          </w:rPr>
          <w:t>https://doi.org/10.1146/annurev-psych-120710-100452</w:t>
        </w:r>
      </w:hyperlink>
    </w:p>
    <w:p w14:paraId="010437DE" w14:textId="77777777" w:rsidR="00F93FDA" w:rsidRDefault="00F93FDA" w:rsidP="008B57DA">
      <w:pPr>
        <w:spacing w:after="0" w:line="240" w:lineRule="auto"/>
        <w:rPr>
          <w:szCs w:val="24"/>
        </w:rPr>
      </w:pPr>
    </w:p>
    <w:p w14:paraId="54168C93" w14:textId="15B72898" w:rsidR="00F93FDA" w:rsidRDefault="00F93FDA" w:rsidP="008B57DA">
      <w:pPr>
        <w:spacing w:after="0" w:line="240" w:lineRule="auto"/>
        <w:rPr>
          <w:szCs w:val="24"/>
        </w:rPr>
      </w:pPr>
      <w:r w:rsidRPr="00F93FDA">
        <w:rPr>
          <w:szCs w:val="24"/>
          <w:highlight w:val="yellow"/>
        </w:rPr>
        <w:t xml:space="preserve">Hart, S. L. (1995). A natural-resource-based view of the firm. Academy of Management Review, 20(4), 986–1014. </w:t>
      </w:r>
      <w:hyperlink r:id="rId23" w:history="1">
        <w:r w:rsidRPr="0023749F">
          <w:rPr>
            <w:rStyle w:val="Hyperlink"/>
            <w:szCs w:val="24"/>
            <w:highlight w:val="yellow"/>
          </w:rPr>
          <w:t>https://doi.org/10.2307/258963</w:t>
        </w:r>
      </w:hyperlink>
    </w:p>
    <w:p w14:paraId="77E015C1" w14:textId="77777777" w:rsidR="00F93FDA" w:rsidRDefault="00F93FDA" w:rsidP="008B57DA">
      <w:pPr>
        <w:spacing w:after="0" w:line="240" w:lineRule="auto"/>
        <w:rPr>
          <w:szCs w:val="24"/>
        </w:rPr>
      </w:pPr>
    </w:p>
    <w:p w14:paraId="12B9F152" w14:textId="68FC6EE1" w:rsidR="00F93FDA" w:rsidRDefault="00F93FDA" w:rsidP="008B57DA">
      <w:pPr>
        <w:spacing w:after="0" w:line="240" w:lineRule="auto"/>
        <w:rPr>
          <w:szCs w:val="24"/>
        </w:rPr>
      </w:pPr>
      <w:r w:rsidRPr="00F93FDA">
        <w:rPr>
          <w:szCs w:val="24"/>
          <w:highlight w:val="yellow"/>
        </w:rPr>
        <w:t xml:space="preserve">Teece, D. J. (2007). Explicating dynamic capabilities: The nature and </w:t>
      </w:r>
      <w:proofErr w:type="spellStart"/>
      <w:r w:rsidRPr="00F93FDA">
        <w:rPr>
          <w:szCs w:val="24"/>
          <w:highlight w:val="yellow"/>
        </w:rPr>
        <w:t>microfoundations</w:t>
      </w:r>
      <w:proofErr w:type="spellEnd"/>
      <w:r w:rsidRPr="00F93FDA">
        <w:rPr>
          <w:szCs w:val="24"/>
          <w:highlight w:val="yellow"/>
        </w:rPr>
        <w:t xml:space="preserve"> of (sustainable) enterprise performance. Strategic Management Journal, 28(13), 1319–1350. </w:t>
      </w:r>
      <w:hyperlink r:id="rId24" w:history="1">
        <w:r w:rsidR="001F5A57" w:rsidRPr="0023749F">
          <w:rPr>
            <w:rStyle w:val="Hyperlink"/>
            <w:szCs w:val="24"/>
            <w:highlight w:val="yellow"/>
          </w:rPr>
          <w:t>https://doi.org/10.1002/smj.640</w:t>
        </w:r>
      </w:hyperlink>
    </w:p>
    <w:p w14:paraId="38B14C0E" w14:textId="77777777" w:rsidR="001F5A57" w:rsidRDefault="001F5A57" w:rsidP="008B57DA">
      <w:pPr>
        <w:spacing w:after="0" w:line="240" w:lineRule="auto"/>
        <w:rPr>
          <w:szCs w:val="24"/>
        </w:rPr>
      </w:pPr>
    </w:p>
    <w:p w14:paraId="7B6CE7ED" w14:textId="1C0A60FE" w:rsidR="001F5A57" w:rsidRDefault="001F5A57" w:rsidP="008B57DA">
      <w:pPr>
        <w:spacing w:after="0" w:line="240" w:lineRule="auto"/>
        <w:rPr>
          <w:szCs w:val="24"/>
        </w:rPr>
      </w:pPr>
      <w:r w:rsidRPr="001F5A57">
        <w:rPr>
          <w:rFonts w:ascii="Segoe UI" w:eastAsia="Times New Roman" w:hAnsi="Segoe UI" w:cs="Segoe UI"/>
          <w:color w:val="000000" w:themeColor="text1"/>
          <w:sz w:val="21"/>
          <w:szCs w:val="21"/>
          <w:lang w:val="en-IN" w:eastAsia="en-GB"/>
        </w:rPr>
        <w:t>Jiang, Y., Feng, T., &amp; Huang, Y. (2024). Antecedent configurations toward supply chain resilience: The joint impact of supply chain integration and big data analytics capability. </w:t>
      </w:r>
      <w:r w:rsidRPr="001F5A57">
        <w:rPr>
          <w:rFonts w:ascii="Segoe UI" w:eastAsia="Times New Roman" w:hAnsi="Segoe UI" w:cs="Segoe UI"/>
          <w:i/>
          <w:iCs/>
          <w:color w:val="000000" w:themeColor="text1"/>
          <w:sz w:val="21"/>
          <w:szCs w:val="21"/>
          <w:lang w:val="en-IN" w:eastAsia="en-GB"/>
        </w:rPr>
        <w:t>Journal of Operations Management, 70</w:t>
      </w:r>
      <w:r w:rsidRPr="001F5A57">
        <w:rPr>
          <w:rFonts w:ascii="Segoe UI" w:eastAsia="Times New Roman" w:hAnsi="Segoe UI" w:cs="Segoe UI"/>
          <w:color w:val="000000" w:themeColor="text1"/>
          <w:sz w:val="21"/>
          <w:szCs w:val="21"/>
          <w:lang w:val="en-IN" w:eastAsia="en-GB"/>
        </w:rPr>
        <w:t>(2), 257–284.</w:t>
      </w:r>
    </w:p>
    <w:p w14:paraId="46DE722E" w14:textId="77777777" w:rsidR="001F5A57" w:rsidRDefault="001F5A57" w:rsidP="008B57DA">
      <w:pPr>
        <w:spacing w:after="0" w:line="240" w:lineRule="auto"/>
        <w:rPr>
          <w:szCs w:val="24"/>
        </w:rPr>
      </w:pPr>
    </w:p>
    <w:p w14:paraId="52ADAE2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Xi, M., Fang, W., Feng, T., &amp; Liu, Y. (2023). Configuring green intellectual capital to achieve ambidextrous environmental strategy: Based on resource orchestration theory. </w:t>
      </w:r>
      <w:r w:rsidRPr="001F5A57">
        <w:rPr>
          <w:rFonts w:ascii="Segoe UI" w:eastAsia="Times New Roman" w:hAnsi="Segoe UI" w:cs="Segoe UI"/>
          <w:i/>
          <w:iCs/>
          <w:color w:val="000000" w:themeColor="text1"/>
          <w:sz w:val="21"/>
          <w:szCs w:val="21"/>
          <w:lang w:val="en-IN" w:eastAsia="en-GB"/>
        </w:rPr>
        <w:t>Journal of Intellectual Capital, 24</w:t>
      </w:r>
      <w:r w:rsidRPr="001F5A57">
        <w:rPr>
          <w:rFonts w:ascii="Segoe UI" w:eastAsia="Times New Roman" w:hAnsi="Segoe UI" w:cs="Segoe UI"/>
          <w:color w:val="000000" w:themeColor="text1"/>
          <w:sz w:val="21"/>
          <w:szCs w:val="21"/>
          <w:lang w:val="en-IN" w:eastAsia="en-GB"/>
        </w:rPr>
        <w:t>(5), 1184–1205.</w:t>
      </w:r>
    </w:p>
    <w:p w14:paraId="4622652E"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L., Cheng, J., &amp; Feng, T. (2024). How green human resource management and institutional pressure drive performance via green image: The equifinal paths and their performance outcomes. </w:t>
      </w:r>
      <w:r w:rsidRPr="001F5A57">
        <w:rPr>
          <w:rFonts w:ascii="Segoe UI" w:eastAsia="Times New Roman" w:hAnsi="Segoe UI" w:cs="Segoe UI"/>
          <w:i/>
          <w:iCs/>
          <w:color w:val="000000" w:themeColor="text1"/>
          <w:sz w:val="21"/>
          <w:szCs w:val="21"/>
          <w:lang w:val="en-IN" w:eastAsia="en-GB"/>
        </w:rPr>
        <w:t>Asia Pacific Journal of Human Resources, 62</w:t>
      </w:r>
      <w:r w:rsidRPr="001F5A57">
        <w:rPr>
          <w:rFonts w:ascii="Segoe UI" w:eastAsia="Times New Roman" w:hAnsi="Segoe UI" w:cs="Segoe UI"/>
          <w:color w:val="000000" w:themeColor="text1"/>
          <w:sz w:val="21"/>
          <w:szCs w:val="21"/>
          <w:lang w:val="en-IN" w:eastAsia="en-GB"/>
        </w:rPr>
        <w:t>(1), e12389.</w:t>
      </w:r>
    </w:p>
    <w:p w14:paraId="008C8053"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BEAE62F" w14:textId="77777777" w:rsid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r w:rsidRPr="001F5A57">
        <w:rPr>
          <w:rFonts w:ascii="Segoe UI" w:eastAsia="Times New Roman" w:hAnsi="Segoe UI" w:cs="Segoe UI"/>
          <w:color w:val="000000" w:themeColor="text1"/>
          <w:sz w:val="21"/>
          <w:szCs w:val="21"/>
          <w:lang w:val="en-IN" w:eastAsia="en-GB"/>
        </w:rPr>
        <w:t>Zhang, Q., Yang, R., &amp; Feng, T. (2026). Unveiling the equifinal configurations driving business model design ambidexterity: Based on TOE framework. </w:t>
      </w:r>
      <w:r w:rsidRPr="001F5A57">
        <w:rPr>
          <w:rFonts w:ascii="Segoe UI" w:eastAsia="Times New Roman" w:hAnsi="Segoe UI" w:cs="Segoe UI"/>
          <w:i/>
          <w:iCs/>
          <w:color w:val="000000" w:themeColor="text1"/>
          <w:sz w:val="21"/>
          <w:szCs w:val="21"/>
          <w:lang w:val="en-IN" w:eastAsia="en-GB"/>
        </w:rPr>
        <w:t>Journal of Business &amp; Industrial Marketing, 41</w:t>
      </w:r>
      <w:r w:rsidRPr="001F5A57">
        <w:rPr>
          <w:rFonts w:ascii="Segoe UI" w:eastAsia="Times New Roman" w:hAnsi="Segoe UI" w:cs="Segoe UI"/>
          <w:color w:val="000000" w:themeColor="text1"/>
          <w:sz w:val="21"/>
          <w:szCs w:val="21"/>
          <w:lang w:val="en-IN" w:eastAsia="en-GB"/>
        </w:rPr>
        <w:t>(7), 975–994.</w:t>
      </w:r>
    </w:p>
    <w:p w14:paraId="5AE21BDF" w14:textId="77777777" w:rsidR="00E81884" w:rsidRDefault="00E81884" w:rsidP="001F5A57">
      <w:pPr>
        <w:spacing w:before="180" w:after="180" w:line="240" w:lineRule="auto"/>
        <w:rPr>
          <w:rFonts w:ascii="Segoe UI" w:eastAsia="Times New Roman" w:hAnsi="Segoe UI" w:cs="Segoe UI"/>
          <w:color w:val="000000" w:themeColor="text1"/>
          <w:sz w:val="21"/>
          <w:szCs w:val="21"/>
          <w:lang w:val="en-IN" w:eastAsia="en-GB"/>
        </w:rPr>
      </w:pPr>
    </w:p>
    <w:p w14:paraId="49730DE2" w14:textId="37BA6426" w:rsidR="00E81884" w:rsidRPr="001F5A57" w:rsidRDefault="00E81884" w:rsidP="001F5A57">
      <w:pPr>
        <w:spacing w:before="180" w:after="180" w:line="240" w:lineRule="auto"/>
        <w:rPr>
          <w:rFonts w:ascii="Segoe UI" w:eastAsia="Times New Roman" w:hAnsi="Segoe UI" w:cs="Segoe UI"/>
          <w:color w:val="000000" w:themeColor="text1"/>
          <w:sz w:val="21"/>
          <w:szCs w:val="21"/>
          <w:lang w:val="en-IN" w:eastAsia="en-GB"/>
        </w:rPr>
      </w:pPr>
      <w:r w:rsidRPr="00E81884">
        <w:rPr>
          <w:rFonts w:ascii="Segoe UI" w:eastAsia="Times New Roman" w:hAnsi="Segoe UI" w:cs="Segoe UI"/>
          <w:color w:val="000000" w:themeColor="text1"/>
          <w:sz w:val="21"/>
          <w:szCs w:val="21"/>
          <w:lang w:val="en-IN" w:eastAsia="en-GB"/>
        </w:rPr>
        <w:t>Marquis, C., &amp; Qian, C. (2014). Corporate social responsibility reporting in China: Symbol or substance? Organization Science, 25(1), 127–148. https://doi.org/10.1287/orsc.2013.0837</w:t>
      </w:r>
    </w:p>
    <w:p w14:paraId="55048349"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5AA84E3C" w14:textId="77777777" w:rsidR="001F5A57" w:rsidRPr="001F5A57" w:rsidRDefault="001F5A57" w:rsidP="001F5A57">
      <w:pPr>
        <w:spacing w:before="180" w:after="180" w:line="240" w:lineRule="auto"/>
        <w:rPr>
          <w:rFonts w:ascii="Segoe UI" w:eastAsia="Times New Roman" w:hAnsi="Segoe UI" w:cs="Segoe UI"/>
          <w:color w:val="000000" w:themeColor="text1"/>
          <w:sz w:val="21"/>
          <w:szCs w:val="21"/>
          <w:lang w:val="en-IN" w:eastAsia="en-GB"/>
        </w:rPr>
      </w:pPr>
    </w:p>
    <w:p w14:paraId="7AA7EEF5" w14:textId="77777777" w:rsidR="001F5A57" w:rsidRPr="00205C71" w:rsidRDefault="001F5A57" w:rsidP="008B57DA">
      <w:pPr>
        <w:spacing w:after="0" w:line="240" w:lineRule="auto"/>
        <w:rPr>
          <w:szCs w:val="24"/>
        </w:rPr>
      </w:pPr>
    </w:p>
    <w:sectPr w:rsidR="001F5A57"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23B2D"/>
    <w:rsid w:val="00034616"/>
    <w:rsid w:val="0006063C"/>
    <w:rsid w:val="000841FA"/>
    <w:rsid w:val="000B262A"/>
    <w:rsid w:val="000E0E19"/>
    <w:rsid w:val="000E15DC"/>
    <w:rsid w:val="0015074B"/>
    <w:rsid w:val="00157F2C"/>
    <w:rsid w:val="001633D4"/>
    <w:rsid w:val="00184EAD"/>
    <w:rsid w:val="001B1844"/>
    <w:rsid w:val="001E2F0E"/>
    <w:rsid w:val="001F5A57"/>
    <w:rsid w:val="00205C71"/>
    <w:rsid w:val="00223935"/>
    <w:rsid w:val="00236227"/>
    <w:rsid w:val="00270F3F"/>
    <w:rsid w:val="002838C4"/>
    <w:rsid w:val="0029639D"/>
    <w:rsid w:val="002A7908"/>
    <w:rsid w:val="00326F90"/>
    <w:rsid w:val="00350860"/>
    <w:rsid w:val="003B1B79"/>
    <w:rsid w:val="003D69AB"/>
    <w:rsid w:val="004451D7"/>
    <w:rsid w:val="0045180C"/>
    <w:rsid w:val="00462766"/>
    <w:rsid w:val="00490516"/>
    <w:rsid w:val="004B5364"/>
    <w:rsid w:val="004D50F4"/>
    <w:rsid w:val="004E2AAB"/>
    <w:rsid w:val="00573A3A"/>
    <w:rsid w:val="0058052A"/>
    <w:rsid w:val="005E7BF7"/>
    <w:rsid w:val="005F13F0"/>
    <w:rsid w:val="005F2D05"/>
    <w:rsid w:val="006306B7"/>
    <w:rsid w:val="00637AFA"/>
    <w:rsid w:val="006C2A03"/>
    <w:rsid w:val="006D30FA"/>
    <w:rsid w:val="006E13B5"/>
    <w:rsid w:val="0076128A"/>
    <w:rsid w:val="00761DDF"/>
    <w:rsid w:val="007652ED"/>
    <w:rsid w:val="007704FA"/>
    <w:rsid w:val="00772997"/>
    <w:rsid w:val="00785283"/>
    <w:rsid w:val="007A7B0E"/>
    <w:rsid w:val="0081621C"/>
    <w:rsid w:val="00842AB8"/>
    <w:rsid w:val="00853369"/>
    <w:rsid w:val="008B57DA"/>
    <w:rsid w:val="0091714E"/>
    <w:rsid w:val="0092232F"/>
    <w:rsid w:val="00942DF3"/>
    <w:rsid w:val="00954FB6"/>
    <w:rsid w:val="00966C31"/>
    <w:rsid w:val="00990F18"/>
    <w:rsid w:val="009C18EE"/>
    <w:rsid w:val="00A03204"/>
    <w:rsid w:val="00A17973"/>
    <w:rsid w:val="00A6652D"/>
    <w:rsid w:val="00A82EEC"/>
    <w:rsid w:val="00AA1D8D"/>
    <w:rsid w:val="00B33318"/>
    <w:rsid w:val="00B36CE8"/>
    <w:rsid w:val="00B40E7A"/>
    <w:rsid w:val="00B42E34"/>
    <w:rsid w:val="00B47730"/>
    <w:rsid w:val="00B82215"/>
    <w:rsid w:val="00B94496"/>
    <w:rsid w:val="00BB1E3D"/>
    <w:rsid w:val="00BD2F70"/>
    <w:rsid w:val="00BD735A"/>
    <w:rsid w:val="00BE3611"/>
    <w:rsid w:val="00C01D6A"/>
    <w:rsid w:val="00C25BF1"/>
    <w:rsid w:val="00C528B7"/>
    <w:rsid w:val="00C6401F"/>
    <w:rsid w:val="00C732DC"/>
    <w:rsid w:val="00C977CB"/>
    <w:rsid w:val="00CB0664"/>
    <w:rsid w:val="00CC3B73"/>
    <w:rsid w:val="00CD01A4"/>
    <w:rsid w:val="00CD0F28"/>
    <w:rsid w:val="00D262DC"/>
    <w:rsid w:val="00D538C7"/>
    <w:rsid w:val="00D741A5"/>
    <w:rsid w:val="00DA332E"/>
    <w:rsid w:val="00DE24EB"/>
    <w:rsid w:val="00E36B38"/>
    <w:rsid w:val="00E50BF7"/>
    <w:rsid w:val="00E81884"/>
    <w:rsid w:val="00EC4470"/>
    <w:rsid w:val="00EF129D"/>
    <w:rsid w:val="00F306A5"/>
    <w:rsid w:val="00F4632E"/>
    <w:rsid w:val="00F7430B"/>
    <w:rsid w:val="00F93FDA"/>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 w:type="character" w:customStyle="1" w:styleId="apple-converted-space">
    <w:name w:val="apple-converted-space"/>
    <w:basedOn w:val="DefaultParagraphFont"/>
    <w:rsid w:val="001F5A57"/>
  </w:style>
  <w:style w:type="character" w:styleId="HTMLCode">
    <w:name w:val="HTML Code"/>
    <w:basedOn w:val="DefaultParagraphFont"/>
    <w:uiPriority w:val="99"/>
    <w:semiHidden/>
    <w:unhideWhenUsed/>
    <w:rsid w:val="001F5A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jom.2002.07.001"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37/0021-9010.88.5.87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57/s41599-026-07627-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se.3414" TargetMode="External"/><Relationship Id="rId20" Type="http://schemas.openxmlformats.org/officeDocument/2006/relationships/hyperlink" Target="https://doi.org/10.2307/25682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02/smj.640" TargetMode="External"/><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23" Type="http://schemas.openxmlformats.org/officeDocument/2006/relationships/hyperlink" Target="https://doi.org/10.2307/258963" TargetMode="External"/><Relationship Id="rId10" Type="http://schemas.openxmlformats.org/officeDocument/2006/relationships/image" Target="media/image5.png"/><Relationship Id="rId19" Type="http://schemas.openxmlformats.org/officeDocument/2006/relationships/hyperlink" Target="https://doi.org/10.4018/ijec.20151001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 Id="rId22" Type="http://schemas.openxmlformats.org/officeDocument/2006/relationships/hyperlink" Target="https://doi.org/10.1146/annurev-psych-120710-1004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45</Pages>
  <Words>16791</Words>
  <Characters>95715</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76</cp:revision>
  <dcterms:created xsi:type="dcterms:W3CDTF">2026-06-13T17:43:00Z</dcterms:created>
  <dcterms:modified xsi:type="dcterms:W3CDTF">2026-08-18T06:25:00Z</dcterms:modified>
  <cp:category/>
</cp:coreProperties>
</file>