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2D181717" w:rsidR="00990F18" w:rsidRPr="00205C71" w:rsidRDefault="00BD2F70" w:rsidP="00E50BF7">
      <w:pPr>
        <w:spacing w:after="0"/>
        <w:rPr>
          <w:szCs w:val="24"/>
        </w:rPr>
      </w:pPr>
      <w:proofErr w:type="spellStart"/>
      <w:r w:rsidRPr="00205C71">
        <w:rPr>
          <w:szCs w:val="24"/>
        </w:rPr>
        <w:t>Decarbonising</w:t>
      </w:r>
      <w:proofErr w:type="spellEnd"/>
      <w:r w:rsidRPr="00205C71">
        <w:rPr>
          <w:szCs w:val="24"/>
        </w:rPr>
        <w:t xml:space="preserve"> freight transport and warehousing is now central to national climate commitments, yet the firm-level enablers that move green logistics from intention to measurable performance remain unevenly understood across economic contexts. This study examines how seven enabler constructs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w:t>
      </w:r>
      <w:r w:rsidR="00BD735A" w:rsidRPr="00BD735A">
        <w:t xml:space="preserve"> </w:t>
      </w:r>
      <w:r w:rsidR="00942DF3" w:rsidRPr="00236227">
        <w:rPr>
          <w:szCs w:val="24"/>
          <w:highlight w:val="yellow"/>
        </w:rPr>
        <w:t>Endogeneity checks and comparisons against reversed specifications support the modelled directions.</w:t>
      </w:r>
      <w:r w:rsidR="00942DF3">
        <w:rPr>
          <w:szCs w:val="24"/>
        </w:rPr>
        <w:t xml:space="preserve"> </w:t>
      </w:r>
      <w:proofErr w:type="spellStart"/>
      <w:r w:rsidRPr="00205C71">
        <w:rPr>
          <w:szCs w:val="24"/>
        </w:rPr>
        <w:t>fsQCA</w:t>
      </w:r>
      <w:proofErr w:type="spell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63A3AE56" w14:textId="77777777" w:rsidR="004E2AAB" w:rsidRDefault="004E2AAB" w:rsidP="00E50BF7">
      <w:pPr>
        <w:spacing w:after="0"/>
        <w:rPr>
          <w:b/>
          <w:i/>
          <w:szCs w:val="24"/>
        </w:rPr>
      </w:pPr>
    </w:p>
    <w:p w14:paraId="58FACD87" w14:textId="140374C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lastRenderedPageBreak/>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 xml:space="preserve">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(Govindan &amp; </w:t>
      </w:r>
      <w:proofErr w:type="spellStart"/>
      <w:r w:rsidRPr="00205C71">
        <w:rPr>
          <w:szCs w:val="24"/>
        </w:rPr>
        <w:t>Hasanagic</w:t>
      </w:r>
      <w:proofErr w:type="spellEnd"/>
      <w:r w:rsidRPr="00205C71">
        <w:rPr>
          <w:szCs w:val="24"/>
        </w:rPr>
        <w:t>, 2018; Mangla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 xml:space="preserve">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w:t>
      </w:r>
      <w:r w:rsidRPr="00205C71">
        <w:rPr>
          <w:szCs w:val="24"/>
        </w:rPr>
        <w:lastRenderedPageBreak/>
        <w:t>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Definitions approach the concept of green logistics by aiming to reduce the environmental </w:t>
      </w:r>
      <w:r w:rsidRPr="00205C71">
        <w:rPr>
          <w:szCs w:val="24"/>
        </w:rPr>
        <w:lastRenderedPageBreak/>
        <w:t xml:space="preserve">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organisational,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(Vachon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w:t>
      </w:r>
      <w:r w:rsidRPr="00205C71">
        <w:rPr>
          <w:szCs w:val="24"/>
        </w:rPr>
        <w:lastRenderedPageBreak/>
        <w:t>leadership commitment is a key enabler and driver of other capabilities (Dubey et al., 2017; Luthra et al., 2015). Stakeholder and customer pressure (SP) is the pressure from customers, investors, peers, and civil society on companies to improve their environmental performance; 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23FEDC9B" w:rsidR="00FE2790"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r w:rsidR="00490516">
        <w:rPr>
          <w:szCs w:val="24"/>
        </w:rPr>
        <w:t xml:space="preserve"> </w:t>
      </w:r>
    </w:p>
    <w:p w14:paraId="5E11CCFD" w14:textId="590398CC" w:rsidR="00490516" w:rsidRPr="00205C71" w:rsidRDefault="00490516" w:rsidP="00E50BF7">
      <w:pPr>
        <w:spacing w:after="0"/>
        <w:rPr>
          <w:szCs w:val="24"/>
        </w:rPr>
      </w:pPr>
      <w:r w:rsidRPr="00490516">
        <w:rPr>
          <w:szCs w:val="24"/>
          <w:highlight w:val="yellow"/>
        </w:rPr>
        <w:t>Integration occupies a distinctive position within this set. Recent work treats green supply chain integration less as one practice among several than as the capability through which upstream conditions are converted into environmental outcomes. Green human resource systems raise integration by way of an ambidextrous environmental strategy (Chang et al., 2026), and the environmental passion of decision-makers reaches integration through the sustainable tradeoffs those decision-makers are prepared to accept (Ren et al., 2026). Configurational evidence points the same way, showing that several distinct bundles of conditions prompt integration and that performance follows from it (Feng &amp; Sheng, 2023). What this body of work has examined are largely internal and attitudinal antecedents, drawn from human resource systems, managerial values and strategic posture, and studied predominantly within single national settings. The institutional and technological conditions surrounding logistics operations have received less attention, and whether the integrative capability performs the same conversion across different institutional settings remains largely untested. Both concerns shape the framework developed below, in which integration mediates between externally and technologically driven antecedents and measured performance.</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lastRenderedPageBreak/>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Pr="00205C71"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configurational view fits the recognition that enablers interact (Mangla et al., 2020). The present study adopts the integrated design for that reason: PLS-SEM tests the hypothesised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 xml:space="preserve">To treat the economic context as a moderator, we first need a clear account of why developing and emerging economies should differ in how they enable green logistics. The two contexts pull apart along several structural lines. Emerging economies — marked by rapid </w:t>
      </w:r>
      <w:proofErr w:type="spellStart"/>
      <w:r w:rsidRPr="00205C71">
        <w:rPr>
          <w:szCs w:val="24"/>
        </w:rPr>
        <w:t>industrialisation</w:t>
      </w:r>
      <w:proofErr w:type="spellEnd"/>
      <w:r w:rsidRPr="00205C71">
        <w:rPr>
          <w:szCs w:val="24"/>
        </w:rPr>
        <w:t xml:space="preserve">,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w:t>
      </w:r>
      <w:proofErr w:type="spellStart"/>
      <w:r w:rsidRPr="00205C71">
        <w:rPr>
          <w:szCs w:val="24"/>
        </w:rPr>
        <w:t>Agyabeng</w:t>
      </w:r>
      <w:proofErr w:type="spellEnd"/>
      <w:r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w:t>
      </w:r>
      <w:r w:rsidRPr="00205C71">
        <w:rPr>
          <w:szCs w:val="24"/>
        </w:rPr>
        <w:lastRenderedPageBreak/>
        <w:t xml:space="preserve">push for green logistics is more likely to come from external regulation and the gradual easing of cost barriers than from market pull or advanced digital systems (Govindan &amp; </w:t>
      </w:r>
      <w:proofErr w:type="spellStart"/>
      <w:r w:rsidRPr="00205C71">
        <w:rPr>
          <w:szCs w:val="24"/>
        </w:rPr>
        <w:t>Hasanagic</w:t>
      </w:r>
      <w:proofErr w:type="spellEnd"/>
      <w:r w:rsidRPr="00205C71">
        <w:rPr>
          <w:szCs w:val="24"/>
        </w:rPr>
        <w:t>, 2018; Abdulrahman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The conceptual framework in Figure 1 sets out the seven enabler constructs and the outcome as a chain of theorised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organisational capability; digital readiness is itself unlocked by knowledge and skill readiness, 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lastRenderedPageBreak/>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Figure 2 re-expresses the same framework as a structural path diagram, in which the seven enabler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Default="00573A3A" w:rsidP="00E50BF7">
      <w:pPr>
        <w:spacing w:after="0"/>
        <w:rPr>
          <w:bCs/>
          <w:szCs w:val="24"/>
        </w:rPr>
      </w:pPr>
      <w:r w:rsidRPr="00205C71">
        <w:rPr>
          <w:bCs/>
          <w:szCs w:val="24"/>
        </w:rPr>
        <w:lastRenderedPageBreak/>
        <w:t>Regulatory pressure and management commitment (H1).</w:t>
      </w:r>
      <w:r w:rsidR="00C25BF1">
        <w:rPr>
          <w:bCs/>
          <w:szCs w:val="24"/>
        </w:rPr>
        <w:t xml:space="preserve"> </w:t>
      </w:r>
      <w:r w:rsidRPr="00205C71">
        <w:rPr>
          <w:bCs/>
          <w:szCs w:val="24"/>
        </w:rPr>
        <w:t>Firms typically react to coercive state pressures,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75BA8505" w14:textId="2EBC3F91" w:rsidR="00C6401F" w:rsidRDefault="002838C4" w:rsidP="002838C4">
      <w:pPr>
        <w:spacing w:after="0"/>
        <w:rPr>
          <w:rFonts w:eastAsia="Times New Roman"/>
          <w:szCs w:val="24"/>
          <w:lang w:val="en-IN" w:eastAsia="en-GB"/>
        </w:rPr>
      </w:pPr>
      <w:r>
        <w:rPr>
          <w:rFonts w:eastAsia="Times New Roman"/>
          <w:szCs w:val="24"/>
          <w:highlight w:val="yellow"/>
          <w:lang w:val="en-IN" w:eastAsia="en-GB"/>
        </w:rPr>
        <w:t>R</w:t>
      </w:r>
      <w:r w:rsidRPr="002838C4">
        <w:rPr>
          <w:rFonts w:eastAsia="Times New Roman"/>
          <w:szCs w:val="24"/>
          <w:highlight w:val="yellow"/>
          <w:lang w:val="en-IN" w:eastAsia="en-GB"/>
        </w:rPr>
        <w:t xml:space="preserve">egulation and managerial commitment reinforce one another over time. Firms that have raised environmental goals to board level monitor policy more closely, engage with regulators, and through industry associations help shape the standards that later bind them. Within a single planning cycle, though, the coercive element dominates. Environmental rules are set by states and industry bodies, and their content and timing are settled before individual firms respond. Logistics operators, and smaller ones in particular, are rule-takers in this process. Their leaders meet regulation as an external requirement that carries penalties for non-compliance and costs for late compliance, which moves green logistics up the strategic agenda and releases budget that would otherwise go elsewhere (Zhu et al., 2013; Rashid </w:t>
      </w:r>
      <w:r>
        <w:rPr>
          <w:rFonts w:eastAsia="Times New Roman"/>
          <w:szCs w:val="24"/>
          <w:highlight w:val="yellow"/>
          <w:lang w:val="en-IN" w:eastAsia="en-GB"/>
        </w:rPr>
        <w:t>and</w:t>
      </w:r>
      <w:r w:rsidRPr="002838C4">
        <w:rPr>
          <w:rFonts w:eastAsia="Times New Roman"/>
          <w:szCs w:val="24"/>
          <w:highlight w:val="yellow"/>
          <w:lang w:val="en-IN" w:eastAsia="en-GB"/>
        </w:rPr>
        <w:t xml:space="preserve"> Rasheed, 2025). H1 captures this dominant short-run direction. The same structure applies to H3 and H7, where capability and performance also develop together, and where the modelled path represents the stronger of the two directions.</w:t>
      </w:r>
    </w:p>
    <w:p w14:paraId="2DABF8E5" w14:textId="77777777" w:rsidR="002838C4" w:rsidRPr="00C6401F" w:rsidRDefault="002838C4" w:rsidP="00C6401F">
      <w:pPr>
        <w:spacing w:after="0" w:line="240" w:lineRule="auto"/>
        <w:jc w:val="left"/>
        <w:rPr>
          <w:rFonts w:eastAsia="Times New Roman"/>
          <w:szCs w:val="24"/>
          <w:lang w:val="en-IN" w:eastAsia="en-GB"/>
        </w:rPr>
      </w:pPr>
    </w:p>
    <w:p w14:paraId="397AA6C8" w14:textId="0C2C6F18" w:rsidR="00573A3A"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0BE5820B" w14:textId="24D4102B" w:rsidR="00BE3611" w:rsidRDefault="00BE3611" w:rsidP="00E50BF7">
      <w:pPr>
        <w:spacing w:after="0"/>
        <w:rPr>
          <w:bCs/>
          <w:szCs w:val="24"/>
        </w:rPr>
      </w:pPr>
      <w:r w:rsidRPr="00BE3611">
        <w:rPr>
          <w:bCs/>
          <w:szCs w:val="24"/>
          <w:highlight w:val="yellow"/>
        </w:rPr>
        <w:t xml:space="preserve">The three paths that follow converge on integration, and the reasoning behind them draws on evidence that integration is reached rather than simply adopted. Studies of green human resource systems and of managerial environmental passion both find that upstream conditions influence integration indirectly, through the strategic posture or the decision tradeoffs they generate, rather than directly (Chang et al., 2026; Ren et al., 2026). The same indirect logic applies here. Leadership commitment, digital capability and the easing of cost barriers do not integrate a supply chain by themselves, but they supply the mandate, the informational infrastructure and the financial headroom that make joint environmental goal-setting feasible. </w:t>
      </w:r>
      <w:r w:rsidRPr="00BE3611">
        <w:rPr>
          <w:bCs/>
          <w:szCs w:val="24"/>
          <w:highlight w:val="yellow"/>
        </w:rPr>
        <w:lastRenderedPageBreak/>
        <w:t>H3, H4 and H6 accordingly specify integration as the point at which these separate conditions become a single operational capability.</w:t>
      </w:r>
    </w:p>
    <w:p w14:paraId="54CCD0BE" w14:textId="77777777" w:rsidR="00BE3611" w:rsidRPr="00205C71" w:rsidRDefault="00BE3611" w:rsidP="00E50BF7">
      <w:pPr>
        <w:spacing w:after="0"/>
        <w:rPr>
          <w:bCs/>
          <w:szCs w:val="24"/>
        </w:rPr>
      </w:pP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77777777" w:rsidR="00573A3A" w:rsidRPr="00205C71" w:rsidRDefault="00573A3A" w:rsidP="00E50BF7">
      <w:pPr>
        <w:spacing w:after="0"/>
        <w:rPr>
          <w:bCs/>
          <w:szCs w:val="24"/>
        </w:rPr>
      </w:pPr>
      <w:r w:rsidRPr="00205C71">
        <w:rPr>
          <w:bCs/>
          <w:szCs w:val="24"/>
        </w:rPr>
        <w:t>Skill readiness and digital readiness (H5). The success of digital readiness in contributing to the firm depends on having employees ready and skilled to utilize it; this draws upon absorptive capacity literature. It’s through knowledge and skill readiness that digital investment turns into actual digital capability and application. We hypothesize a positive association between knowledge and skill readiness and digital infrastructure readiness.</w:t>
      </w:r>
    </w:p>
    <w:p w14:paraId="143E3274" w14:textId="77777777" w:rsidR="00573A3A" w:rsidRPr="00205C71" w:rsidRDefault="00573A3A" w:rsidP="00E50BF7">
      <w:pPr>
        <w:spacing w:after="0"/>
        <w:rPr>
          <w:bCs/>
          <w:szCs w:val="24"/>
        </w:rPr>
      </w:pPr>
      <w:r w:rsidRPr="00205C71">
        <w:rPr>
          <w:bCs/>
          <w:szCs w:val="24"/>
        </w:rPr>
        <w:t>Cost barrier inversion and integration (H6). When the financial constraints are mitigated – by reduced costs of technologies or improved benefits-investment ratio – firms may become more inclined to invest in collaborative integration efforts. We hypothesize a positive association between cost barrier inversion and green supply chain integration, though acknowledging its potential context dependency.</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 xml:space="preserve">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w:t>
      </w:r>
      <w:r w:rsidRPr="00205C71">
        <w:rPr>
          <w:bCs/>
          <w:szCs w:val="24"/>
        </w:rPr>
        <w:lastRenderedPageBreak/>
        <w:t>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440F1520"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 xml:space="preserve">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w:t>
      </w:r>
      <w:proofErr w:type="spellStart"/>
      <w:r w:rsidRPr="00205C71">
        <w:rPr>
          <w:szCs w:val="24"/>
        </w:rPr>
        <w:t>fsQCA</w:t>
      </w:r>
      <w:proofErr w:type="spellEnd"/>
      <w:r w:rsidRPr="00205C71">
        <w:rPr>
          <w:szCs w:val="24"/>
        </w:rPr>
        <w:t xml:space="preserve"> explores the equifinal, asymmetric configurations which are excluded by the structure of the structural equation model.</w:t>
      </w:r>
      <w:r w:rsidR="0058052A" w:rsidRPr="0058052A">
        <w:t xml:space="preserve"> </w:t>
      </w:r>
      <w:r w:rsidR="0058052A" w:rsidRPr="0058052A">
        <w:rPr>
          <w:szCs w:val="24"/>
          <w:highlight w:val="yellow"/>
        </w:rPr>
        <w:t>The design is cross-sectional. It records the pattern of enablement prevailing in each setting at the time of the survey rather than its development over time. Predictors and outcomes are measured together and through managerial perception, so the estimated paths describe directional association within the specified model, and for the reciprocal relationships set out in Section 2.5 they represent the dominant direction. Section 3.7 sets out the controls, the endogeneity assessment, and the model comparisons used to examine these directions. Section 6 considers the limits that remain</w:t>
      </w:r>
      <w:r w:rsidR="0058052A">
        <w:rPr>
          <w:szCs w:val="24"/>
        </w:rPr>
        <w:t xml:space="preserve">. </w:t>
      </w:r>
      <w:r w:rsidRPr="00205C71">
        <w:rPr>
          <w:szCs w:val="24"/>
        </w:rPr>
        <w:t xml:space="preserve">Figure 3 outlines the structure of the research, showing the research design and the grounding of the constructs through to data collection and two </w:t>
      </w:r>
      <w:proofErr w:type="gramStart"/>
      <w:r w:rsidR="000B262A" w:rsidRPr="00205C71">
        <w:rPr>
          <w:szCs w:val="24"/>
        </w:rPr>
        <w:t>separate</w:t>
      </w:r>
      <w:proofErr w:type="gramEnd"/>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2FF7412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 </w:t>
      </w:r>
      <w:r w:rsidRPr="00205C71">
        <w:rPr>
          <w:szCs w:val="24"/>
        </w:rPr>
        <w:lastRenderedPageBreak/>
        <w:t>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lastRenderedPageBreak/>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4B70BA5F" w:rsidR="00990F18" w:rsidRPr="00205C71" w:rsidRDefault="00BD2F70" w:rsidP="00E50BF7">
      <w:pPr>
        <w:spacing w:after="0"/>
        <w:rPr>
          <w:szCs w:val="24"/>
        </w:rPr>
      </w:pPr>
      <w:r w:rsidRPr="00205C71">
        <w:rPr>
          <w:szCs w:val="24"/>
        </w:rPr>
        <w:t xml:space="preserve">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w:t>
      </w:r>
      <w:r w:rsidRPr="00205C71">
        <w:rPr>
          <w:szCs w:val="24"/>
        </w:rPr>
        <w:lastRenderedPageBreak/>
        <w:t>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r w:rsidR="00A17973">
        <w:rPr>
          <w:szCs w:val="24"/>
        </w:rPr>
        <w:t xml:space="preserve"> </w:t>
      </w:r>
      <w:r w:rsidR="00A17973" w:rsidRPr="00A17973">
        <w:rPr>
          <w:szCs w:val="24"/>
        </w:rPr>
        <w:t>Control variables, an endogeneity assessment, and a comparison of competing directional specifications were used to examine the robustness of the estimates, and these are reported in Section 4.6.</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59908AE3" w14:textId="7EDD3F2A" w:rsidR="00990F18" w:rsidRPr="00205C71" w:rsidRDefault="00BD2F70" w:rsidP="00E50BF7">
      <w:pPr>
        <w:spacing w:after="0"/>
        <w:rPr>
          <w:szCs w:val="24"/>
        </w:rPr>
      </w:pPr>
      <w:r w:rsidRPr="00205C71">
        <w:rPr>
          <w:szCs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w:t>
      </w:r>
      <w:r w:rsidR="00C25BF1">
        <w:rPr>
          <w:szCs w:val="24"/>
        </w:rPr>
        <w:t>,</w:t>
      </w:r>
      <w:r w:rsidRPr="00205C71">
        <w:rPr>
          <w:szCs w:val="24"/>
        </w:rPr>
        <w:t xml:space="preserve"> respectively (Ragin, 2008). 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77777777" w:rsidR="00990F18" w:rsidRPr="00205C71" w:rsidRDefault="00BD2F70" w:rsidP="00E50BF7">
      <w:pPr>
        <w:spacing w:after="0"/>
        <w:rPr>
          <w:szCs w:val="24"/>
        </w:rPr>
      </w:pPr>
      <w:r w:rsidRPr="00205C71">
        <w:rPr>
          <w:szCs w:val="24"/>
        </w:rPr>
        <w:t>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Statistically, Harman's single-factor test was applied; the first unrotated factor accounted for well under half of the total variance, indicating that common method bias is unlikely to threaten the findings.</w:t>
      </w:r>
    </w:p>
    <w:p w14:paraId="7D2FE490" w14:textId="77777777" w:rsidR="00990F18" w:rsidRDefault="00BD2F70" w:rsidP="00E50BF7">
      <w:pPr>
        <w:spacing w:after="0"/>
        <w:rPr>
          <w:szCs w:val="24"/>
        </w:rPr>
      </w:pPr>
      <w:r w:rsidRPr="00205C71">
        <w:rPr>
          <w:szCs w:val="24"/>
        </w:rPr>
        <w:t>Finally, the study makes explicit that the seven enabler constructs were derived by inverting the barrier dimensions that a companion Total Interpretive Structural Modelling study identified, validated through expert elicitation, and arranged into a hierarchy. We treat this grounding as a methodological strength rather than a limitation for three reasons. First, the barrier set was not assembled ad hoc but was subjected to structural validation, so the resulting enablers inherit a demonstrated dimensionality. Second, the hierarchical structure uncovered by TISM informs the sequential logic of the present framework, lending it theoretical coherence rather than leaving the ordering of constructs to assumption. Third, anchoring enablers in a prior model of the same phenomenon improves the comparability of the two studies and supports a cumulative research programme. The inversion is conceptual rather than mechanical: each enabler item was written to capture the presence of a facilitating condition rather than merely the absence of an obstacle.</w:t>
      </w:r>
    </w:p>
    <w:p w14:paraId="7653F28E" w14:textId="77777777" w:rsidR="00A82EEC" w:rsidRDefault="00A82EEC" w:rsidP="00A82EEC">
      <w:pPr>
        <w:keepNext/>
        <w:spacing w:after="0"/>
        <w:jc w:val="left"/>
        <w:rPr>
          <w:b/>
          <w:szCs w:val="24"/>
        </w:rPr>
      </w:pPr>
    </w:p>
    <w:p w14:paraId="2D583944" w14:textId="4F89D8EE" w:rsidR="00A82EEC" w:rsidRPr="00A82EEC" w:rsidRDefault="00A82EEC" w:rsidP="00A82EEC">
      <w:pPr>
        <w:keepNext/>
        <w:spacing w:after="0"/>
        <w:jc w:val="left"/>
        <w:rPr>
          <w:b/>
          <w:szCs w:val="24"/>
          <w:highlight w:val="yellow"/>
        </w:rPr>
      </w:pPr>
      <w:r w:rsidRPr="00A82EEC">
        <w:rPr>
          <w:b/>
          <w:szCs w:val="24"/>
          <w:highlight w:val="yellow"/>
        </w:rPr>
        <w:t>3.7 Controls, Endogeneity, and Model Comparison</w:t>
      </w:r>
    </w:p>
    <w:p w14:paraId="208C2EEE" w14:textId="39FA1C62" w:rsidR="00A82EEC" w:rsidRPr="00A82EEC" w:rsidRDefault="00A82EEC" w:rsidP="00A82EEC">
      <w:pPr>
        <w:keepNext/>
        <w:spacing w:after="0"/>
        <w:rPr>
          <w:bCs/>
          <w:szCs w:val="24"/>
          <w:highlight w:val="yellow"/>
        </w:rPr>
      </w:pPr>
      <w:r w:rsidRPr="00A82EEC">
        <w:rPr>
          <w:bCs/>
          <w:szCs w:val="24"/>
          <w:highlight w:val="yellow"/>
        </w:rPr>
        <w:t>Four controls were added to the structural model</w:t>
      </w:r>
      <w:r>
        <w:rPr>
          <w:bCs/>
          <w:szCs w:val="24"/>
          <w:highlight w:val="yellow"/>
        </w:rPr>
        <w:t xml:space="preserve">; </w:t>
      </w:r>
      <w:r w:rsidRPr="00A82EEC">
        <w:rPr>
          <w:bCs/>
          <w:szCs w:val="24"/>
          <w:highlight w:val="yellow"/>
        </w:rPr>
        <w:t>Firm size, industry sector, and respondent experience were specified as predictors of top management commitment and green logistics performance, absorbing variance linked to organisational scale, sectoral regulatory intensity, and respondent tenure. A fourth control recorded whether the firm held a certified environmental management system. Firms with an established environmental orientation may both monitor regulation more closely and commit more strongly to green logistics, and this control separates that orientation from the regulatory mechanism. Estimates are reported with and without controls.</w:t>
      </w:r>
    </w:p>
    <w:p w14:paraId="0B5F6448" w14:textId="4795D1FA" w:rsidR="00A82EEC" w:rsidRPr="00A82EEC" w:rsidRDefault="00A82EEC" w:rsidP="00A82EEC">
      <w:pPr>
        <w:keepNext/>
        <w:spacing w:after="0"/>
        <w:rPr>
          <w:bCs/>
          <w:szCs w:val="24"/>
          <w:highlight w:val="yellow"/>
        </w:rPr>
      </w:pPr>
      <w:r w:rsidRPr="00A82EEC">
        <w:rPr>
          <w:bCs/>
          <w:szCs w:val="24"/>
          <w:highlight w:val="yellow"/>
        </w:rPr>
        <w:t xml:space="preserve">Endogeneity was assessed using the Gaussian copula approach, which detects correlation between a predictor and the structural error term without an instrumental variable (Park &amp; Gupta, 2012; Hult et al., 2018). The approach requires non-normally distributed predictors, so the Kolmogorov–Smirnov statistic was examined for each construct score before copula terms </w:t>
      </w:r>
      <w:r w:rsidRPr="00A82EEC">
        <w:rPr>
          <w:bCs/>
          <w:szCs w:val="24"/>
          <w:highlight w:val="yellow"/>
        </w:rPr>
        <w:lastRenderedPageBreak/>
        <w:t>were specified, following current guidance on finite-sample behaviour and intercept specification (Becker et al., 2022). Copula terms were entered individually and then jointly, with significance obtained by bootstrapping 5,000 subsamples.</w:t>
      </w:r>
    </w:p>
    <w:p w14:paraId="7DBBB88B" w14:textId="6596C976" w:rsidR="00A82EEC" w:rsidRPr="00A82EEC" w:rsidRDefault="00A82EEC" w:rsidP="00A82EEC">
      <w:pPr>
        <w:keepNext/>
        <w:spacing w:after="0"/>
        <w:rPr>
          <w:bCs/>
          <w:szCs w:val="24"/>
        </w:rPr>
      </w:pPr>
      <w:r w:rsidRPr="00A82EEC">
        <w:rPr>
          <w:bCs/>
          <w:szCs w:val="24"/>
          <w:highlight w:val="yellow"/>
        </w:rPr>
        <w:t>Two alternative specifications were estimated on the same data and the same indicators. In Model 2, top management commitment predicts regulatory and policy pressure, and green logistics performance predicts green supply chain integration. Model 3 reverses the regulatory path only. Partial least squares path modelling admits recursive models alone, so rival recursive specifications form the basis for comparison. The cross-validated predictive ability test was applied across all endogenous indicators, which avoids dependence on a single target construct, and average out-of-sample prediction loss is reported for each comparison (Liengaard et al., 2021). Bayesian information criterion values are reported only where the endogenous construct is unchanged, since the criterion is defined for one endogenous construct at a time (Sharma et al., 2021).</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lastRenderedPageBreak/>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 xml:space="preserve">Two illustrative respondent profiles bring the descriptive patterns to life and anchor the quantitative results in the lived experience of logistics decision-makers. The first, a logistics manager at a mid-sized manufacturing firm in a developing economy, conveyed a cautious, </w:t>
      </w:r>
      <w:r w:rsidRPr="00205C71">
        <w:rPr>
          <w:szCs w:val="24"/>
        </w:rPr>
        <w:lastRenderedPageBreak/>
        <w:t>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5000" w:type="pct"/>
        <w:jc w:val="center"/>
        <w:tblLook w:val="04A0" w:firstRow="1" w:lastRow="0" w:firstColumn="1" w:lastColumn="0" w:noHBand="0" w:noVBand="1"/>
      </w:tblPr>
      <w:tblGrid>
        <w:gridCol w:w="2301"/>
        <w:gridCol w:w="1569"/>
        <w:gridCol w:w="2330"/>
        <w:gridCol w:w="1410"/>
        <w:gridCol w:w="1406"/>
      </w:tblGrid>
      <w:tr w:rsidR="00F7430B" w:rsidRPr="00F7430B" w14:paraId="55192BEC" w14:textId="77777777" w:rsidTr="00F306A5">
        <w:trPr>
          <w:jc w:val="center"/>
        </w:trPr>
        <w:tc>
          <w:tcPr>
            <w:tcW w:w="1276" w:type="pct"/>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870" w:type="pct"/>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292" w:type="pct"/>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82" w:type="pct"/>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80" w:type="pct"/>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306A5">
        <w:trPr>
          <w:jc w:val="center"/>
        </w:trPr>
        <w:tc>
          <w:tcPr>
            <w:tcW w:w="1276" w:type="pct"/>
          </w:tcPr>
          <w:p w14:paraId="41B6CD48" w14:textId="77777777" w:rsidR="00990F18" w:rsidRPr="00F7430B" w:rsidRDefault="00BD2F70" w:rsidP="00F7430B">
            <w:pPr>
              <w:spacing w:after="0" w:line="240" w:lineRule="auto"/>
              <w:jc w:val="left"/>
              <w:rPr>
                <w:sz w:val="22"/>
              </w:rPr>
            </w:pPr>
            <w:r w:rsidRPr="00F7430B">
              <w:rPr>
                <w:sz w:val="22"/>
              </w:rPr>
              <w:t>GSCI</w:t>
            </w:r>
          </w:p>
        </w:tc>
        <w:tc>
          <w:tcPr>
            <w:tcW w:w="870" w:type="pct"/>
          </w:tcPr>
          <w:p w14:paraId="1CEE271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82" w:type="pct"/>
          </w:tcPr>
          <w:p w14:paraId="1C946B55"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306A5">
        <w:trPr>
          <w:jc w:val="center"/>
        </w:trPr>
        <w:tc>
          <w:tcPr>
            <w:tcW w:w="1276" w:type="pct"/>
          </w:tcPr>
          <w:p w14:paraId="25575973" w14:textId="77777777" w:rsidR="00990F18" w:rsidRPr="00F7430B" w:rsidRDefault="00BD2F70" w:rsidP="00F7430B">
            <w:pPr>
              <w:spacing w:after="0" w:line="240" w:lineRule="auto"/>
              <w:jc w:val="left"/>
              <w:rPr>
                <w:sz w:val="22"/>
              </w:rPr>
            </w:pPr>
            <w:r w:rsidRPr="00F7430B">
              <w:rPr>
                <w:sz w:val="22"/>
              </w:rPr>
              <w:t>RP</w:t>
            </w:r>
          </w:p>
        </w:tc>
        <w:tc>
          <w:tcPr>
            <w:tcW w:w="870" w:type="pct"/>
          </w:tcPr>
          <w:p w14:paraId="230F6200"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82" w:type="pct"/>
          </w:tcPr>
          <w:p w14:paraId="56E65780" w14:textId="77777777" w:rsidR="00990F18" w:rsidRPr="00F7430B" w:rsidRDefault="00BD2F70" w:rsidP="00F7430B">
            <w:pPr>
              <w:spacing w:after="0" w:line="240" w:lineRule="auto"/>
              <w:jc w:val="center"/>
              <w:rPr>
                <w:sz w:val="22"/>
              </w:rPr>
            </w:pPr>
            <w:r w:rsidRPr="00F7430B">
              <w:rPr>
                <w:sz w:val="22"/>
              </w:rPr>
              <w:t>0.88</w:t>
            </w:r>
          </w:p>
        </w:tc>
        <w:tc>
          <w:tcPr>
            <w:tcW w:w="780" w:type="pct"/>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306A5">
        <w:trPr>
          <w:jc w:val="center"/>
        </w:trPr>
        <w:tc>
          <w:tcPr>
            <w:tcW w:w="1276" w:type="pct"/>
          </w:tcPr>
          <w:p w14:paraId="3461A30A" w14:textId="77777777" w:rsidR="00990F18" w:rsidRPr="00F7430B" w:rsidRDefault="00BD2F70" w:rsidP="00F7430B">
            <w:pPr>
              <w:spacing w:after="0" w:line="240" w:lineRule="auto"/>
              <w:jc w:val="left"/>
              <w:rPr>
                <w:sz w:val="22"/>
              </w:rPr>
            </w:pPr>
            <w:r w:rsidRPr="00F7430B">
              <w:rPr>
                <w:sz w:val="22"/>
              </w:rPr>
              <w:t>DI</w:t>
            </w:r>
          </w:p>
        </w:tc>
        <w:tc>
          <w:tcPr>
            <w:tcW w:w="870" w:type="pct"/>
          </w:tcPr>
          <w:p w14:paraId="20B87FFD" w14:textId="77777777" w:rsidR="00990F18" w:rsidRPr="00F7430B" w:rsidRDefault="00BD2F70" w:rsidP="00F7430B">
            <w:pPr>
              <w:spacing w:after="0" w:line="240" w:lineRule="auto"/>
              <w:jc w:val="center"/>
              <w:rPr>
                <w:sz w:val="22"/>
              </w:rPr>
            </w:pPr>
            <w:r w:rsidRPr="00F7430B">
              <w:rPr>
                <w:sz w:val="22"/>
              </w:rPr>
              <w:t>5</w:t>
            </w:r>
          </w:p>
        </w:tc>
        <w:tc>
          <w:tcPr>
            <w:tcW w:w="1292" w:type="pct"/>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82" w:type="pct"/>
          </w:tcPr>
          <w:p w14:paraId="2C2B50EF"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306A5">
        <w:trPr>
          <w:jc w:val="center"/>
        </w:trPr>
        <w:tc>
          <w:tcPr>
            <w:tcW w:w="1276" w:type="pct"/>
          </w:tcPr>
          <w:p w14:paraId="65AF119B" w14:textId="77777777" w:rsidR="00990F18" w:rsidRPr="00F7430B" w:rsidRDefault="00BD2F70" w:rsidP="00F7430B">
            <w:pPr>
              <w:spacing w:after="0" w:line="240" w:lineRule="auto"/>
              <w:jc w:val="left"/>
              <w:rPr>
                <w:sz w:val="22"/>
              </w:rPr>
            </w:pPr>
            <w:r w:rsidRPr="00F7430B">
              <w:rPr>
                <w:sz w:val="22"/>
              </w:rPr>
              <w:t>TMC</w:t>
            </w:r>
          </w:p>
        </w:tc>
        <w:tc>
          <w:tcPr>
            <w:tcW w:w="870" w:type="pct"/>
          </w:tcPr>
          <w:p w14:paraId="08435216"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82" w:type="pct"/>
          </w:tcPr>
          <w:p w14:paraId="2D3F3D00" w14:textId="77777777" w:rsidR="00990F18" w:rsidRPr="00F7430B" w:rsidRDefault="00BD2F70" w:rsidP="00F7430B">
            <w:pPr>
              <w:spacing w:after="0" w:line="240" w:lineRule="auto"/>
              <w:jc w:val="center"/>
              <w:rPr>
                <w:sz w:val="22"/>
              </w:rPr>
            </w:pPr>
            <w:r w:rsidRPr="00F7430B">
              <w:rPr>
                <w:sz w:val="22"/>
              </w:rPr>
              <w:t>0.90</w:t>
            </w:r>
          </w:p>
        </w:tc>
        <w:tc>
          <w:tcPr>
            <w:tcW w:w="780" w:type="pct"/>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306A5">
        <w:trPr>
          <w:jc w:val="center"/>
        </w:trPr>
        <w:tc>
          <w:tcPr>
            <w:tcW w:w="1276" w:type="pct"/>
          </w:tcPr>
          <w:p w14:paraId="3F923E1D" w14:textId="77777777" w:rsidR="00990F18" w:rsidRPr="00F7430B" w:rsidRDefault="00BD2F70" w:rsidP="00F7430B">
            <w:pPr>
              <w:spacing w:after="0" w:line="240" w:lineRule="auto"/>
              <w:jc w:val="left"/>
              <w:rPr>
                <w:sz w:val="22"/>
              </w:rPr>
            </w:pPr>
            <w:r w:rsidRPr="00F7430B">
              <w:rPr>
                <w:sz w:val="22"/>
              </w:rPr>
              <w:t>SP</w:t>
            </w:r>
          </w:p>
        </w:tc>
        <w:tc>
          <w:tcPr>
            <w:tcW w:w="870" w:type="pct"/>
          </w:tcPr>
          <w:p w14:paraId="6865C7BB"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82" w:type="pct"/>
          </w:tcPr>
          <w:p w14:paraId="24D3FBD6" w14:textId="77777777" w:rsidR="00990F18" w:rsidRPr="00F7430B" w:rsidRDefault="00BD2F70" w:rsidP="00F7430B">
            <w:pPr>
              <w:spacing w:after="0" w:line="240" w:lineRule="auto"/>
              <w:jc w:val="center"/>
              <w:rPr>
                <w:sz w:val="22"/>
              </w:rPr>
            </w:pPr>
            <w:r w:rsidRPr="00F7430B">
              <w:rPr>
                <w:sz w:val="22"/>
              </w:rPr>
              <w:t>0.86</w:t>
            </w:r>
          </w:p>
        </w:tc>
        <w:tc>
          <w:tcPr>
            <w:tcW w:w="780" w:type="pct"/>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306A5">
        <w:trPr>
          <w:jc w:val="center"/>
        </w:trPr>
        <w:tc>
          <w:tcPr>
            <w:tcW w:w="1276" w:type="pct"/>
          </w:tcPr>
          <w:p w14:paraId="6211B9B3" w14:textId="77777777" w:rsidR="00990F18" w:rsidRPr="00F7430B" w:rsidRDefault="00BD2F70" w:rsidP="00F7430B">
            <w:pPr>
              <w:spacing w:after="0" w:line="240" w:lineRule="auto"/>
              <w:jc w:val="left"/>
              <w:rPr>
                <w:sz w:val="22"/>
              </w:rPr>
            </w:pPr>
            <w:r w:rsidRPr="00F7430B">
              <w:rPr>
                <w:sz w:val="22"/>
              </w:rPr>
              <w:t>CBI</w:t>
            </w:r>
          </w:p>
        </w:tc>
        <w:tc>
          <w:tcPr>
            <w:tcW w:w="870" w:type="pct"/>
          </w:tcPr>
          <w:p w14:paraId="5D0DE948"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82" w:type="pct"/>
          </w:tcPr>
          <w:p w14:paraId="2558BD5B" w14:textId="77777777" w:rsidR="00990F18" w:rsidRPr="00F7430B" w:rsidRDefault="00BD2F70" w:rsidP="00F7430B">
            <w:pPr>
              <w:spacing w:after="0" w:line="240" w:lineRule="auto"/>
              <w:jc w:val="center"/>
              <w:rPr>
                <w:sz w:val="22"/>
              </w:rPr>
            </w:pPr>
            <w:r w:rsidRPr="00F7430B">
              <w:rPr>
                <w:sz w:val="22"/>
              </w:rPr>
              <w:t>0.87</w:t>
            </w:r>
          </w:p>
        </w:tc>
        <w:tc>
          <w:tcPr>
            <w:tcW w:w="780" w:type="pct"/>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306A5">
        <w:trPr>
          <w:jc w:val="center"/>
        </w:trPr>
        <w:tc>
          <w:tcPr>
            <w:tcW w:w="1276" w:type="pct"/>
          </w:tcPr>
          <w:p w14:paraId="1784F745" w14:textId="77777777" w:rsidR="00990F18" w:rsidRPr="00F7430B" w:rsidRDefault="00BD2F70" w:rsidP="00F7430B">
            <w:pPr>
              <w:spacing w:after="0" w:line="240" w:lineRule="auto"/>
              <w:jc w:val="left"/>
              <w:rPr>
                <w:sz w:val="22"/>
              </w:rPr>
            </w:pPr>
            <w:r w:rsidRPr="00F7430B">
              <w:rPr>
                <w:sz w:val="22"/>
              </w:rPr>
              <w:t>KSR</w:t>
            </w:r>
          </w:p>
        </w:tc>
        <w:tc>
          <w:tcPr>
            <w:tcW w:w="870" w:type="pct"/>
          </w:tcPr>
          <w:p w14:paraId="630EC637"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82" w:type="pct"/>
          </w:tcPr>
          <w:p w14:paraId="7E73FF06" w14:textId="77777777" w:rsidR="00990F18" w:rsidRPr="00F7430B" w:rsidRDefault="00BD2F70" w:rsidP="00F7430B">
            <w:pPr>
              <w:spacing w:after="0" w:line="240" w:lineRule="auto"/>
              <w:jc w:val="center"/>
              <w:rPr>
                <w:sz w:val="22"/>
              </w:rPr>
            </w:pPr>
            <w:r w:rsidRPr="00F7430B">
              <w:rPr>
                <w:sz w:val="22"/>
              </w:rPr>
              <w:t>0.89</w:t>
            </w:r>
          </w:p>
        </w:tc>
        <w:tc>
          <w:tcPr>
            <w:tcW w:w="780" w:type="pct"/>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306A5">
        <w:trPr>
          <w:jc w:val="center"/>
        </w:trPr>
        <w:tc>
          <w:tcPr>
            <w:tcW w:w="1276" w:type="pct"/>
          </w:tcPr>
          <w:p w14:paraId="063024B9" w14:textId="77777777" w:rsidR="00990F18" w:rsidRPr="00F7430B" w:rsidRDefault="00BD2F70" w:rsidP="00F7430B">
            <w:pPr>
              <w:spacing w:after="0" w:line="240" w:lineRule="auto"/>
              <w:jc w:val="left"/>
              <w:rPr>
                <w:sz w:val="22"/>
              </w:rPr>
            </w:pPr>
            <w:r w:rsidRPr="00F7430B">
              <w:rPr>
                <w:sz w:val="22"/>
              </w:rPr>
              <w:t>GLP</w:t>
            </w:r>
          </w:p>
        </w:tc>
        <w:tc>
          <w:tcPr>
            <w:tcW w:w="870" w:type="pct"/>
          </w:tcPr>
          <w:p w14:paraId="7FFD6E19" w14:textId="77777777" w:rsidR="00990F18" w:rsidRPr="00F7430B" w:rsidRDefault="00BD2F70" w:rsidP="00F7430B">
            <w:pPr>
              <w:spacing w:after="0" w:line="240" w:lineRule="auto"/>
              <w:jc w:val="center"/>
              <w:rPr>
                <w:sz w:val="22"/>
              </w:rPr>
            </w:pPr>
            <w:r w:rsidRPr="00F7430B">
              <w:rPr>
                <w:sz w:val="22"/>
              </w:rPr>
              <w:t>4</w:t>
            </w:r>
          </w:p>
        </w:tc>
        <w:tc>
          <w:tcPr>
            <w:tcW w:w="1292" w:type="pct"/>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82" w:type="pct"/>
          </w:tcPr>
          <w:p w14:paraId="153A3465" w14:textId="77777777" w:rsidR="00990F18" w:rsidRPr="00F7430B" w:rsidRDefault="00BD2F70" w:rsidP="00F7430B">
            <w:pPr>
              <w:spacing w:after="0" w:line="240" w:lineRule="auto"/>
              <w:jc w:val="center"/>
              <w:rPr>
                <w:sz w:val="22"/>
              </w:rPr>
            </w:pPr>
            <w:r w:rsidRPr="00F7430B">
              <w:rPr>
                <w:sz w:val="22"/>
              </w:rPr>
              <w:t>0.91</w:t>
            </w:r>
          </w:p>
        </w:tc>
        <w:tc>
          <w:tcPr>
            <w:tcW w:w="780" w:type="pct"/>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lastRenderedPageBreak/>
        <w:t>Discriminant validity was confirmed on both criteria. Under the Fornell-Larcker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w:t>
      </w:r>
      <w:proofErr w:type="spellStart"/>
      <w:r w:rsidR="00BD2F70" w:rsidRPr="00F7430B">
        <w:rPr>
          <w:szCs w:val="24"/>
        </w:rPr>
        <w:t>hete</w:t>
      </w:r>
      <w:r>
        <w:rPr>
          <w:szCs w:val="24"/>
        </w:rPr>
        <w:t>rotrait-monotrait</w:t>
      </w:r>
      <w:proofErr w:type="spellEnd"/>
      <w:r>
        <w:rPr>
          <w:szCs w:val="24"/>
        </w:rPr>
        <w:t xml:space="preserve">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lastRenderedPageBreak/>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 xml:space="preserve">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w:t>
      </w:r>
      <w:r w:rsidRPr="00205C71">
        <w:rPr>
          <w:szCs w:val="24"/>
        </w:rPr>
        <w:lastRenderedPageBreak/>
        <w:t>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lastRenderedPageBreak/>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(Eme.)</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(Eme.)</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Pr="00205C71" w:rsidRDefault="00BD2F70" w:rsidP="001E2F0E">
      <w:pPr>
        <w:spacing w:after="0"/>
        <w:rPr>
          <w:szCs w:val="24"/>
        </w:rPr>
      </w:pPr>
      <w:r w:rsidRPr="00205C71">
        <w:rPr>
          <w:szCs w:val="24"/>
        </w:rPr>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lastRenderedPageBreak/>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3E718AB7"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developing-economy group and three in the emerging-economy group. Each configuration exceeded the consistency threshold of 0.82</w:t>
      </w:r>
      <w:r w:rsidR="00C25BF1">
        <w:rPr>
          <w:szCs w:val="24"/>
        </w:rPr>
        <w:t>,</w:t>
      </w:r>
      <w:r w:rsidRPr="00205C71">
        <w:rPr>
          <w:szCs w:val="24"/>
        </w:rPr>
        <w:t xml:space="preserve">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lastRenderedPageBreak/>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w:t>
      </w:r>
      <w:r w:rsidRPr="00842AB8">
        <w:rPr>
          <w:szCs w:val="24"/>
        </w:rPr>
        <w:lastRenderedPageBreak/>
        <w:t>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lastRenderedPageBreak/>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B103F4B" w14:textId="2D71E19D" w:rsidR="00C528B7" w:rsidRPr="00C528B7" w:rsidRDefault="00C528B7" w:rsidP="00C528B7">
      <w:pPr>
        <w:keepNext/>
        <w:spacing w:after="0"/>
        <w:jc w:val="left"/>
        <w:rPr>
          <w:b/>
          <w:szCs w:val="24"/>
        </w:rPr>
      </w:pPr>
      <w:r w:rsidRPr="00C528B7">
        <w:rPr>
          <w:b/>
          <w:szCs w:val="24"/>
        </w:rPr>
        <w:t xml:space="preserve">4.6 Robustness </w:t>
      </w:r>
    </w:p>
    <w:p w14:paraId="2C4BA6D6" w14:textId="5F80F557" w:rsidR="00C528B7" w:rsidRPr="00C528B7" w:rsidRDefault="00C528B7" w:rsidP="00C528B7">
      <w:pPr>
        <w:keepNext/>
        <w:spacing w:after="0"/>
        <w:rPr>
          <w:bCs/>
          <w:szCs w:val="24"/>
          <w:highlight w:val="yellow"/>
        </w:rPr>
      </w:pPr>
      <w:r w:rsidRPr="00C528B7">
        <w:rPr>
          <w:bCs/>
          <w:szCs w:val="24"/>
          <w:highlight w:val="yellow"/>
        </w:rPr>
        <w:t>Three checks were applied to the specified model, addressing the stability of the estimates, the possibility of endogeneity, and the direction of the hypothesised paths.</w:t>
      </w:r>
      <w:r w:rsidRPr="00C528B7">
        <w:rPr>
          <w:bCs/>
          <w:szCs w:val="24"/>
          <w:highlight w:val="yellow"/>
        </w:rPr>
        <w:t xml:space="preserve"> </w:t>
      </w:r>
      <w:r w:rsidRPr="00C528B7">
        <w:rPr>
          <w:bCs/>
          <w:szCs w:val="24"/>
          <w:highlight w:val="yellow"/>
        </w:rPr>
        <w:t>Firm size, industry sector, respondent experience, and possession of a certified environmental management system were added as predictors of top management commitment and green logistics performance. The estimates proved stable. No path changed its significance status, every coefficient retained its sign, and the largest change in any standardised coefficient across the model was 0.014. The relationship between regulatory pressure and top management commitment was among the least affected, which indicates that it is not an artefact of organisational scale, sectoral regulatory intensity, respondent tenure, or a pre-existing environmental orientation among firms that already hold certification.</w:t>
      </w:r>
      <w:r w:rsidRPr="00C528B7">
        <w:rPr>
          <w:bCs/>
          <w:szCs w:val="24"/>
          <w:highlight w:val="yellow"/>
        </w:rPr>
        <w:t xml:space="preserve"> </w:t>
      </w:r>
      <w:r w:rsidRPr="00C528B7">
        <w:rPr>
          <w:bCs/>
          <w:szCs w:val="24"/>
          <w:highlight w:val="yellow"/>
        </w:rPr>
        <w:t xml:space="preserve">Endogeneity was assessed through the Gaussian copula approach, which detects correlation between a predictor and the structural error term without recourse to an instrumental variable (Park &amp; Gupta, 2012; Hult et al., 2018). Identification requires the predictor to depart from normality. The Kolmogorov–Smirnov statistic rejected normality for regulatory and policy pressure (p = 0.048), digital infrastructure readiness (p = 0.005), top management commitment (p &lt; 0.001), knowledge and skill readiness (p = 0.024) and green logistics performance (p = 0.017), so copula terms are identified for five of the eight structural paths. Four of those five terms were non-significant. The term for regulatory and policy pressure returned t = −0.15 with p = 0.882, indicating no detectable endogeneity in the </w:t>
      </w:r>
      <w:r w:rsidRPr="00C528B7">
        <w:rPr>
          <w:bCs/>
          <w:szCs w:val="24"/>
          <w:highlight w:val="yellow"/>
        </w:rPr>
        <w:lastRenderedPageBreak/>
        <w:t xml:space="preserve">path from external regulation to managerial commitment, and terms for digital infrastructure readiness on integration (p = 0.125), knowledge and skill readiness on digital readiness (p = 0.413) and managerial commitment on performance (p = 0.718) were likewise non-significant. The single significant term, for managerial commitment as a predictor of integration (p = 0.025), produced a corrected coefficient that reverses sign, an implausible outcome pointing to instability in the correction rather than a dependable estimate of bias, as documented for the procedure in finite samples (Becker et al., 2022). That path is accordingly reported in uncorrected form and read with corresponding caution. Because stakeholder and customer pressure, cost barrier inversion and green supply chain integration </w:t>
      </w:r>
      <w:proofErr w:type="gramStart"/>
      <w:r w:rsidRPr="00C528B7">
        <w:rPr>
          <w:bCs/>
          <w:szCs w:val="24"/>
          <w:highlight w:val="yellow"/>
        </w:rPr>
        <w:t>do</w:t>
      </w:r>
      <w:proofErr w:type="gramEnd"/>
      <w:r w:rsidRPr="00C528B7">
        <w:rPr>
          <w:bCs/>
          <w:szCs w:val="24"/>
          <w:highlight w:val="yellow"/>
        </w:rPr>
        <w:t xml:space="preserve"> not depart significantly from normality, the copula cannot be identified where they act as predictors, and no claim about endogeneity is advanced for those three relationships.</w:t>
      </w:r>
    </w:p>
    <w:p w14:paraId="18F2F89A" w14:textId="1F63E526" w:rsidR="00C528B7" w:rsidRDefault="00C528B7" w:rsidP="00C528B7">
      <w:pPr>
        <w:keepNext/>
        <w:spacing w:after="0"/>
        <w:rPr>
          <w:bCs/>
          <w:szCs w:val="24"/>
        </w:rPr>
      </w:pPr>
      <w:r w:rsidRPr="00C528B7">
        <w:rPr>
          <w:bCs/>
          <w:szCs w:val="24"/>
          <w:highlight w:val="yellow"/>
        </w:rPr>
        <w:t>Whether the specified direction outperforms its reverse was tested by estimating an alternative specification in which top management commitment predicts regulatory and policy pressure, using the same data and the same indicators. Because partial least squares path modelling admits recursive models only, comparison across rival recursive specifications provides the available means of judging directional plausibility, and the cross-validated predictive ability test was applied across all endogenous indicators under ten-fold cross-validation so that the result does not rest on a single target construct (Liengaard et al., 2021). Average out-of-sample prediction loss was 0.714 for the specified model and 0.751 for the reversed specification, a difference of 0.037 that is significant at t = 3.06 and p = 0.003. Reversing the regulatory path therefore degrades predictive accuracy, which supports the ordering advanced in H1. Specifications that additionally reverse the integration-performance path were not used as comparators, since removing the structural prediction of performance leaves its indicators unpredicted out of sample and the resulting loss is not comparable across models.</w:t>
      </w:r>
    </w:p>
    <w:p w14:paraId="4C5DA147" w14:textId="77777777" w:rsidR="00C528B7" w:rsidRPr="00C528B7" w:rsidRDefault="00C528B7" w:rsidP="00C528B7">
      <w:pPr>
        <w:keepNext/>
        <w:spacing w:after="0"/>
        <w:rPr>
          <w:bCs/>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Default="00BD2F70" w:rsidP="00C732DC">
      <w:pPr>
        <w:spacing w:after="0"/>
        <w:rPr>
          <w:szCs w:val="24"/>
        </w:rPr>
      </w:pPr>
      <w:r w:rsidRPr="00205C71">
        <w:rPr>
          <w:szCs w:val="24"/>
        </w:rPr>
        <w:t xml:space="preserve">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w:t>
      </w:r>
      <w:r w:rsidRPr="00205C71">
        <w:rPr>
          <w:szCs w:val="24"/>
        </w:rPr>
        <w:lastRenderedPageBreak/>
        <w:t>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7DCF90AD" w14:textId="696EFE5A" w:rsidR="00184EAD" w:rsidRPr="00205C71" w:rsidRDefault="00184EAD" w:rsidP="00C732DC">
      <w:pPr>
        <w:spacing w:after="0"/>
        <w:rPr>
          <w:szCs w:val="24"/>
        </w:rPr>
      </w:pPr>
      <w:r w:rsidRPr="00184EAD">
        <w:rPr>
          <w:szCs w:val="24"/>
          <w:highlight w:val="yellow"/>
        </w:rPr>
        <w:t>These results align with and extend prior findings on integration. Studies that trace integration to human resource systems and to managerial environmental values report the same pivotal position for the construct, with upstream conditions acting through it rather than around it (Chang et al., 2026; Ren et al., 2026). The present evidence reproduces that structure using a different class of antecedents, which suggests the mediating role of integration is not specific to the internal conditions previously examined. Where the accounts diverge is in the stability of the antecedent mix. Configurational work on the conditions prompting integration has shown that several routes lead to it within a single setting (Feng &amp; Sheng, 2023), and the comparison undertaken here indicates that the composition of those routes shifts with the institutional context, so that equifinality operates not only within an economy but across economies.</w:t>
      </w:r>
    </w:p>
    <w:p w14:paraId="19B7150D" w14:textId="77777777" w:rsidR="00990F18" w:rsidRPr="00205C71" w:rsidRDefault="00BD2F70" w:rsidP="00C732DC">
      <w:pPr>
        <w:spacing w:after="0"/>
        <w:rPr>
          <w:szCs w:val="24"/>
        </w:rPr>
      </w:pPr>
      <w:r w:rsidRPr="00205C71">
        <w:rPr>
          <w:szCs w:val="24"/>
        </w:rPr>
        <w:t>The non-significant pooled path from cost barrier inversion to integration is best understood through the configurational results. Cost barrier inversion is not inert; it features as a core condition in one of the developing-economy configurations. Its average net effect is diluted because its contribution is contingent: it matters where it combines with regulatory pressure and managerial commitment in resource-constrained settings, but it is largely irrelevant in the emerging-economy recipes that lead instead with digital capability. This is precisely the kind of relationship that a symmetric model obscures and a configurational model reveals, and it illustrates why the two methods are complementary rather than redundant. The fsQCA results demonstrate equifinality, with multiple distinct recipes leading to high performance, and causal asymmetry, since the presence of a condition in a successful recipe does not imply that its absence produces failure. Neither property is visible in the path estimates alone.</w:t>
      </w:r>
    </w:p>
    <w:p w14:paraId="1FAF4434" w14:textId="28C34B0F" w:rsidR="00990F18" w:rsidRPr="00205C71" w:rsidRDefault="00BD2F70" w:rsidP="00C732DC">
      <w:pPr>
        <w:spacing w:after="0"/>
        <w:rPr>
          <w:szCs w:val="24"/>
        </w:rPr>
      </w:pPr>
      <w:r w:rsidRPr="00205C71">
        <w:rPr>
          <w:szCs w:val="24"/>
        </w:rPr>
        <w:t xml:space="preserve">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t>
      </w:r>
      <w:r w:rsidRPr="00205C71">
        <w:rPr>
          <w:szCs w:val="24"/>
        </w:rPr>
        <w:lastRenderedPageBreak/>
        <w:t>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43D39D00" w:rsidR="00990F18" w:rsidRPr="00205C71" w:rsidRDefault="00A82EEC" w:rsidP="00C732DC">
      <w:pPr>
        <w:spacing w:after="0"/>
        <w:rPr>
          <w:szCs w:val="24"/>
        </w:rPr>
      </w:pPr>
      <w:r w:rsidRPr="00A82EEC">
        <w:rPr>
          <w:szCs w:val="24"/>
          <w:highlight w:val="yellow"/>
        </w:rPr>
        <w:t>These mechanisms operate within relationships that run in both directions over longer horizons. Regulation raises green logistics on the leadership agenda, and leaders who have absorbed environmental goals monitor policy more closely and help shape it. Integration improves measured performance, and demonstrated performance strengthens the case for extending it. The model comparisons show that the specified directions dominate in these data, and the regulatory path holds once prior environmental certification is controlled for, which places the coercive mechanism ahead of a general environmental orientation as the driver of managerial commitment in resource-constrained settings. How these relationships accumulate is a different question. Enablement develops over years, and the order in which regulation, commitment, capability, and performance build on one another lies outside what a single survey can show.</w:t>
      </w:r>
      <w:r>
        <w:rPr>
          <w:szCs w:val="24"/>
        </w:rPr>
        <w:t xml:space="preserve"> </w:t>
      </w:r>
      <w:r w:rsidR="00BD2F70"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00BD2F70"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42D14D93" w14:textId="5BDFD826" w:rsidR="00990F18" w:rsidRPr="00205C71" w:rsidRDefault="00BD2F70" w:rsidP="00C732DC">
      <w:pPr>
        <w:spacing w:after="0"/>
        <w:rPr>
          <w:szCs w:val="24"/>
        </w:rPr>
      </w:pPr>
      <w:r w:rsidRPr="00205C71">
        <w:rPr>
          <w:szCs w:val="24"/>
        </w:rPr>
        <w:t xml:space="preserve">The study makes three explicit theoretical contributions. </w:t>
      </w:r>
      <w:r w:rsidR="00BE3611" w:rsidRPr="00BE3611">
        <w:rPr>
          <w:szCs w:val="24"/>
          <w:highlight w:val="yellow"/>
        </w:rPr>
        <w:t xml:space="preserve">First, the study extends the green supply chain integration literature by widening the class of antecedents that feed the integrative capability and by testing whether its conversion function travels across institutional settings. Existing work has established integration as the mechanism through which upstream conditions become environmental outcomes, tracing that route from green human resource systems by way of ambidextrous environmental strategy (Chang et al., 2026), from managerial environmental passion by way of sustainable decision tradeoffs (Ren et al., 2026), and from </w:t>
      </w:r>
      <w:r w:rsidR="00BE3611" w:rsidRPr="00BE3611">
        <w:rPr>
          <w:szCs w:val="24"/>
          <w:highlight w:val="yellow"/>
        </w:rPr>
        <w:lastRenderedPageBreak/>
        <w:t>several equifinal bundles of enabling conditions (Feng &amp; Sheng, 2023). Those antecedents are internal and attitudinal, and the evidence rests largely on single national samples. The present findings add institutional and technological antecedents to that account and qualify it in a specific way. Integration converts into measured performance at comparable strength in both economic settings, whereas what feeds integration does not, since regulatory pressure carries more weight where institutions substitute for market pull and digital readiness carries more weight where the technological base is mature. The integrative capability therefore operates as a stable conduit whose inputs are context-dependent, a more precise claim than the prevailing treatment of integration as uniformly beneficial.</w:t>
      </w:r>
      <w:r w:rsidR="00BE3611">
        <w:rPr>
          <w:szCs w:val="24"/>
        </w:rPr>
        <w:t xml:space="preserve"> </w:t>
      </w: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77777777" w:rsidR="00990F18" w:rsidRPr="00205C71" w:rsidRDefault="00BD2F70" w:rsidP="00C732DC">
      <w:pPr>
        <w:spacing w:after="0"/>
        <w:rPr>
          <w:szCs w:val="24"/>
        </w:rPr>
      </w:pPr>
      <w:r w:rsidRPr="00205C71">
        <w:rPr>
          <w:szCs w:val="24"/>
        </w:rPr>
        <w:t>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5C009E1" w14:textId="3D4E3301" w:rsidR="000841FA" w:rsidRDefault="000841FA" w:rsidP="00C732DC">
      <w:pPr>
        <w:spacing w:after="0"/>
        <w:rPr>
          <w:szCs w:val="24"/>
        </w:rPr>
      </w:pPr>
      <w:r w:rsidRPr="000841FA">
        <w:rPr>
          <w:szCs w:val="24"/>
        </w:rPr>
        <w:t xml:space="preserve">Several limitations qualify the findings and point to future research. </w:t>
      </w:r>
      <w:r w:rsidR="00E36B38">
        <w:rPr>
          <w:szCs w:val="24"/>
        </w:rPr>
        <w:t xml:space="preserve"> </w:t>
      </w:r>
      <w:r w:rsidR="00E36B38" w:rsidRPr="00E36B38">
        <w:rPr>
          <w:szCs w:val="24"/>
          <w:highlight w:val="yellow"/>
        </w:rPr>
        <w:t>The design observes each firm once, while enablement accumulates. Digital readiness, workforce capability, and inter-</w:t>
      </w:r>
      <w:r w:rsidR="00E36B38" w:rsidRPr="00E36B38">
        <w:rPr>
          <w:szCs w:val="24"/>
          <w:highlight w:val="yellow"/>
        </w:rPr>
        <w:lastRenderedPageBreak/>
        <w:t xml:space="preserve">organisational integration develop over years, so a single observation catches firms at different and unrecorded stages, and each coefficient averages across them. The configurations carry the same constraint, since a sufficient configuration may describe conditions that arose in sequence or conditions present together, and set-theoretic sufficiency does not separate the two. Three designs would address this. A multi-wave panel estimated as a random-intercept cross-lagged model would distinguish change within firms from stable differences between them. A staggered difference-in-differences design </w:t>
      </w:r>
      <w:proofErr w:type="spellStart"/>
      <w:r w:rsidR="00E36B38" w:rsidRPr="00E36B38">
        <w:rPr>
          <w:szCs w:val="24"/>
          <w:highlight w:val="yellow"/>
        </w:rPr>
        <w:t>organised</w:t>
      </w:r>
      <w:proofErr w:type="spellEnd"/>
      <w:r w:rsidR="00E36B38" w:rsidRPr="00E36B38">
        <w:rPr>
          <w:szCs w:val="24"/>
          <w:highlight w:val="yellow"/>
        </w:rPr>
        <w:t xml:space="preserve"> around the introduction of a freight-emissions or fuel-efficiency standard would identify the regulatory mechanism through an external shock rather than a perceptual measure. Calibrating conditions at one wave and outcomes at a later one would allow equifinal pathways to be read as developmental routes rather than static bundles, extending recent configurational work on green supply chain integration.</w:t>
      </w:r>
      <w:r w:rsidR="00F4632E">
        <w:rPr>
          <w:szCs w:val="24"/>
        </w:rPr>
        <w:t xml:space="preserve"> </w:t>
      </w:r>
      <w:r w:rsidR="00F4632E" w:rsidRPr="00F4632E">
        <w:rPr>
          <w:rFonts w:eastAsia="Times New Roman"/>
          <w:szCs w:val="24"/>
          <w:highlight w:val="yellow"/>
          <w:lang w:val="en-IN" w:eastAsia="en-GB"/>
        </w:rPr>
        <w:t>T</w:t>
      </w:r>
      <w:r w:rsidR="00F4632E" w:rsidRPr="00F4632E">
        <w:rPr>
          <w:rFonts w:eastAsia="Times New Roman"/>
          <w:szCs w:val="24"/>
          <w:highlight w:val="yellow"/>
          <w:lang w:val="en-IN" w:eastAsia="en-GB"/>
        </w:rPr>
        <w:t>he cross-sectional design captures associations at a single point in time</w:t>
      </w:r>
      <w:r w:rsidR="00F4632E">
        <w:rPr>
          <w:rFonts w:eastAsia="Times New Roman"/>
          <w:szCs w:val="24"/>
          <w:highlight w:val="yellow"/>
          <w:lang w:val="en-IN" w:eastAsia="en-GB"/>
        </w:rPr>
        <w:t xml:space="preserve">, as given is section 4.6 </w:t>
      </w:r>
      <w:r w:rsidR="00F4632E" w:rsidRPr="00F4632E">
        <w:rPr>
          <w:rFonts w:eastAsia="Times New Roman"/>
          <w:szCs w:val="24"/>
          <w:highlight w:val="yellow"/>
          <w:lang w:val="en-IN" w:eastAsia="en-GB"/>
        </w:rPr>
        <w:t>that the specified ordering predicts better out of sample than its reverse and that the regulatory path is not attributable to prior environmental certification, yet neither result substitutes for genuine separation in time, and several of the modelled relationships are likely to run in both directions over longer horizons. Longitudinal designs that track firms as regulation tightens or digital infrastructure matures would allow the mechanisms to be observed in motion.</w:t>
      </w:r>
      <w:r w:rsidR="000E0E19">
        <w:rPr>
          <w:szCs w:val="24"/>
        </w:rPr>
        <w:t xml:space="preserve"> </w:t>
      </w:r>
      <w:r w:rsidRPr="000841FA">
        <w:rPr>
          <w:szCs w:val="24"/>
        </w:rPr>
        <w:t>The reliance on self-reported, single-source data introduces the possibility of common method bias, which procedural and statistical remedies suggest is limited but cannot wholly eliminate; future studies could incorporate objective performance data such as audited emissions figures. The classification of firms into two econom</w:t>
      </w:r>
      <w:r w:rsidR="00C25BF1">
        <w:rPr>
          <w:szCs w:val="24"/>
        </w:rPr>
        <w:t>ic</w:t>
      </w:r>
      <w:r w:rsidRPr="000841FA">
        <w:rPr>
          <w:szCs w:val="24"/>
        </w:rPr>
        <w:t xml:space="preserve"> groups, while theoretically motivated, simplifies a continuum, and the generalisability of the configurations beyond the sampled contexts should be tested. 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r w:rsidRPr="009D494B">
        <w:rPr>
          <w:szCs w:val="24"/>
        </w:rPr>
        <w:t>Abdulrahman, M. D., Gunasekaran,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E., Nana Agyemang, A., Agnikpe,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lastRenderedPageBreak/>
        <w:t>Ali, S. S., Kaur, R., Persis, D. J., Saha, R., Pattusamy, M., &amp; Sreedharan,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Dhamija,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Nand,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M., Govindan,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Dubey, R., Gunasekaran, A., Papadopoulos, T., Childe, S. J., Shibin, K. T., &amp; Wamba,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Gunasekaran, A., Childe, S. J., Papadopoulos, T., Luo, Z., Wamba,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r w:rsidRPr="009D494B">
        <w:rPr>
          <w:szCs w:val="24"/>
        </w:rPr>
        <w:t>Fiss,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M., Tang, S. H., Zulkifli, N., &amp; Ariffin,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r w:rsidRPr="009D494B">
        <w:rPr>
          <w:szCs w:val="24"/>
        </w:rPr>
        <w:t xml:space="preserve">Govindan,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Hair, J. F., Hult, G. T. M., Ringle, C. M., &amp; Sarstedt, M. (2017). A primer on partial least squares structural equation modeling (PLS-SEM) (2nd ed.). Sage.</w:t>
      </w:r>
    </w:p>
    <w:p w14:paraId="606488A4" w14:textId="77777777" w:rsidR="00C732DC" w:rsidRPr="009D494B" w:rsidRDefault="00C732DC" w:rsidP="00C732DC">
      <w:pPr>
        <w:spacing w:after="0" w:line="240" w:lineRule="auto"/>
        <w:rPr>
          <w:szCs w:val="24"/>
        </w:rPr>
      </w:pPr>
      <w:proofErr w:type="spellStart"/>
      <w:r w:rsidRPr="009D494B">
        <w:rPr>
          <w:szCs w:val="24"/>
        </w:rPr>
        <w:t>Hervani</w:t>
      </w:r>
      <w:proofErr w:type="spellEnd"/>
      <w:r w:rsidRPr="009D494B">
        <w:rPr>
          <w:szCs w:val="24"/>
        </w:rPr>
        <w:t>, A. A., Nandi, S., Helms, M. M., &amp; Sarkis,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r w:rsidRPr="009D494B">
        <w:rPr>
          <w:szCs w:val="24"/>
        </w:rPr>
        <w:t xml:space="preserve">Jabbour, C. J. C., Fiorini, P. D. C., Ndubisi, N. O., Queiroz,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lastRenderedPageBreak/>
        <w:t>Jum'a</w:t>
      </w:r>
      <w:proofErr w:type="spellEnd"/>
      <w:r w:rsidRPr="009D494B">
        <w:rPr>
          <w:szCs w:val="24"/>
        </w:rPr>
        <w:t xml:space="preserve">, L., Zimon, D., Ikram,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M. A., &amp; Kabir, G. (2021). Improving supply chain sustainability in the context of COVID-19 pandemic in an emerging 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H., Sharif, A., &amp; Mardani,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Khan, S. A. R., Razzaq,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Mangla,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Kumar, S., Raut, R. D., Nayal, K., Kraus, S., Yadav, V. S., &amp; Narkhede,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Liu, J., Feng, Y., Zhu, Q., &amp; Sarkis,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r w:rsidRPr="009D494B">
        <w:rPr>
          <w:szCs w:val="24"/>
        </w:rPr>
        <w:t>Luthra,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r w:rsidRPr="009D494B">
        <w:rPr>
          <w:szCs w:val="24"/>
        </w:rPr>
        <w:t xml:space="preserve">Luthra, S., Mangla,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r w:rsidRPr="009D494B">
        <w:rPr>
          <w:szCs w:val="24"/>
        </w:rPr>
        <w:t>Mangla, S. K., Kumar, P., &amp; Barua,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r w:rsidRPr="009D494B">
        <w:rPr>
          <w:szCs w:val="24"/>
        </w:rPr>
        <w:t>Mangla, S. K., Luthra, S., Mishra, N., Singh, A., Rana, N. P., Dora, M., &amp; Dwivedi,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r w:rsidRPr="009D494B">
        <w:rPr>
          <w:szCs w:val="24"/>
        </w:rPr>
        <w:t xml:space="preserve">Mardani,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r w:rsidRPr="009D494B">
        <w:rPr>
          <w:szCs w:val="24"/>
        </w:rPr>
        <w:t xml:space="preserve">Maric,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r w:rsidRPr="009D494B">
        <w:rPr>
          <w:szCs w:val="24"/>
        </w:rPr>
        <w:t xml:space="preserve">Mubarik, M. S., </w:t>
      </w:r>
      <w:proofErr w:type="spellStart"/>
      <w:r w:rsidRPr="009D494B">
        <w:rPr>
          <w:szCs w:val="24"/>
        </w:rPr>
        <w:t>Naghavi</w:t>
      </w:r>
      <w:proofErr w:type="spellEnd"/>
      <w:r w:rsidRPr="009D494B">
        <w:rPr>
          <w:szCs w:val="24"/>
        </w:rPr>
        <w:t>, N., Mubarik, M., Kusi-Sarpong, S., Khan, S. A., Zaman, S. I., &amp; Kazmi,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S., Upadhyay,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lastRenderedPageBreak/>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r w:rsidRPr="009D494B">
        <w:rPr>
          <w:szCs w:val="24"/>
        </w:rPr>
        <w:t>Patwa, N., Sivarajah, U., Seetharaman, A., Sarkar, S., Maiti, K., &amp; Hingorani,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r w:rsidRPr="009D494B">
        <w:rPr>
          <w:szCs w:val="24"/>
        </w:rPr>
        <w:t>Queiroz, M. M., Telles, R., &amp; Bonilla, S. H. (2020). Blockchain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r w:rsidRPr="009D494B">
        <w:rPr>
          <w:szCs w:val="24"/>
        </w:rPr>
        <w:t>Raghuvanshi,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Rajeev, A., Pati, R. K., Padhi, S. S., &amp; Govindan,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r w:rsidRPr="009D494B">
        <w:rPr>
          <w:szCs w:val="24"/>
        </w:rPr>
        <w:t xml:space="preserve">Raut, R. D., Mangla, S. K., </w:t>
      </w:r>
      <w:proofErr w:type="spellStart"/>
      <w:r w:rsidRPr="009D494B">
        <w:rPr>
          <w:szCs w:val="24"/>
        </w:rPr>
        <w:t>Narwane</w:t>
      </w:r>
      <w:proofErr w:type="spellEnd"/>
      <w:r w:rsidRPr="009D494B">
        <w:rPr>
          <w:szCs w:val="24"/>
        </w:rPr>
        <w:t xml:space="preserve">, V. S., Gardas, B. B., </w:t>
      </w:r>
      <w:proofErr w:type="spellStart"/>
      <w:r w:rsidRPr="009D494B">
        <w:rPr>
          <w:szCs w:val="24"/>
        </w:rPr>
        <w:t>Priyadarshinee</w:t>
      </w:r>
      <w:proofErr w:type="spellEnd"/>
      <w:r w:rsidRPr="009D494B">
        <w:rPr>
          <w:szCs w:val="24"/>
        </w:rPr>
        <w:t>, P., &amp; Narkhede,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r w:rsidRPr="009D494B">
        <w:rPr>
          <w:szCs w:val="24"/>
        </w:rPr>
        <w:t>Sarkis,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Sharma, M., Joshi, S., Kannan, D., Govindan, K., Singh, R., &amp; Purohit, H. C. (2020). Internet of Things (IoT)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Tseng, M. L., Islam, M. S., Karia, N., Fauzi,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r w:rsidRPr="009D494B">
        <w:rPr>
          <w:szCs w:val="24"/>
        </w:rPr>
        <w:t>Vachon, S., &amp; Klassen,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lastRenderedPageBreak/>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Yadav, G., Luthra, S., Jakhar, S. K., Mangla,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Zaid, A. A., Jaaron,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Zhu, Q., Sarkis, J., &amp; Lai, K. H. (2013). Institutional-based antecedents and performance outcomes of internal and external green supply chain management practices. Journal of Purchasing and Supply Management, 19(2), 106-117.</w:t>
      </w:r>
    </w:p>
    <w:p w14:paraId="758019B8" w14:textId="0561CD7E" w:rsidR="008B57DA" w:rsidRDefault="00C732DC" w:rsidP="008B57DA">
      <w:pPr>
        <w:spacing w:after="0" w:line="240" w:lineRule="auto"/>
        <w:rPr>
          <w:szCs w:val="24"/>
        </w:rPr>
      </w:pPr>
      <w:r w:rsidRPr="009D494B">
        <w:rPr>
          <w:szCs w:val="24"/>
        </w:rPr>
        <w:t>Zimon, D., Tyan, J., &amp; Sroufe, R. (2020). Drivers of sustainable supply chain management: Practices to alignment with UN sustainable development goals. International Journal for Quality Research, 14(1), 219-236.</w:t>
      </w:r>
    </w:p>
    <w:p w14:paraId="04EAB4C8" w14:textId="77777777" w:rsidR="008B57DA" w:rsidRDefault="008B57DA" w:rsidP="008B57DA">
      <w:pPr>
        <w:spacing w:after="0" w:line="240" w:lineRule="auto"/>
        <w:rPr>
          <w:szCs w:val="24"/>
        </w:rPr>
      </w:pPr>
    </w:p>
    <w:p w14:paraId="1B2FE382" w14:textId="77777777" w:rsidR="008B57DA" w:rsidRPr="008B57DA" w:rsidRDefault="008B57DA" w:rsidP="008B57DA">
      <w:pPr>
        <w:spacing w:after="0" w:line="240" w:lineRule="auto"/>
        <w:rPr>
          <w:szCs w:val="24"/>
          <w:highlight w:val="yellow"/>
        </w:rPr>
      </w:pPr>
      <w:r w:rsidRPr="008B57DA">
        <w:rPr>
          <w:szCs w:val="24"/>
          <w:highlight w:val="yellow"/>
        </w:rPr>
        <w:t>Becker, J.-M., Proksch, D., &amp; Ringle, C. M. (2022). Revisiting Gaussian copulas to handle endogenous regressors. Journal of the Academy of Marketing Science, 50(1), 46–66. https://doi.org/10.1007/s11747-021-00805-y</w:t>
      </w:r>
    </w:p>
    <w:p w14:paraId="1737AABA" w14:textId="77777777" w:rsidR="008B57DA" w:rsidRPr="008B57DA" w:rsidRDefault="008B57DA" w:rsidP="008B57DA">
      <w:pPr>
        <w:spacing w:after="0" w:line="240" w:lineRule="auto"/>
        <w:rPr>
          <w:szCs w:val="24"/>
          <w:highlight w:val="yellow"/>
        </w:rPr>
      </w:pPr>
    </w:p>
    <w:p w14:paraId="4D9D5366" w14:textId="77777777" w:rsidR="008B57DA" w:rsidRPr="008B57DA" w:rsidRDefault="008B57DA" w:rsidP="008B57DA">
      <w:pPr>
        <w:spacing w:after="0" w:line="240" w:lineRule="auto"/>
        <w:rPr>
          <w:szCs w:val="24"/>
          <w:highlight w:val="yellow"/>
        </w:rPr>
      </w:pPr>
      <w:r w:rsidRPr="008B57DA">
        <w:rPr>
          <w:szCs w:val="24"/>
          <w:highlight w:val="yellow"/>
        </w:rPr>
        <w:t xml:space="preserve">Hult, G. T. M., Hair, J. F., Proksch, D., Sarstedt, M., </w:t>
      </w:r>
      <w:proofErr w:type="spellStart"/>
      <w:r w:rsidRPr="008B57DA">
        <w:rPr>
          <w:szCs w:val="24"/>
          <w:highlight w:val="yellow"/>
        </w:rPr>
        <w:t>Pinkwart</w:t>
      </w:r>
      <w:proofErr w:type="spellEnd"/>
      <w:r w:rsidRPr="008B57DA">
        <w:rPr>
          <w:szCs w:val="24"/>
          <w:highlight w:val="yellow"/>
        </w:rPr>
        <w:t>, A., &amp; Ringle, C. M. (2018). Addressing endogeneity in international marketing applications of partial least squares structural equation modeling. Journal of International Marketing, 26(3), 1–21. https://doi.org/10.1509/jim.17.0151</w:t>
      </w:r>
    </w:p>
    <w:p w14:paraId="279541E1" w14:textId="77777777" w:rsidR="008B57DA" w:rsidRPr="008B57DA" w:rsidRDefault="008B57DA" w:rsidP="008B57DA">
      <w:pPr>
        <w:spacing w:after="0" w:line="240" w:lineRule="auto"/>
        <w:rPr>
          <w:szCs w:val="24"/>
          <w:highlight w:val="yellow"/>
        </w:rPr>
      </w:pPr>
    </w:p>
    <w:p w14:paraId="240D15B4" w14:textId="77777777" w:rsidR="008B57DA" w:rsidRPr="008B57DA" w:rsidRDefault="008B57DA" w:rsidP="008B57DA">
      <w:pPr>
        <w:spacing w:after="0" w:line="240" w:lineRule="auto"/>
        <w:rPr>
          <w:szCs w:val="24"/>
          <w:highlight w:val="yellow"/>
        </w:rPr>
      </w:pPr>
      <w:r w:rsidRPr="008B57DA">
        <w:rPr>
          <w:szCs w:val="24"/>
          <w:highlight w:val="yellow"/>
        </w:rPr>
        <w:t>Liengaard, B. D., Sharma, P. N., Hult, G. T. M., Jensen, M. B., Sarstedt, M., Hair, J. F., &amp; Ringle, C. M. (2021). Prediction: Coveted, yet forsaken? Introducing a cross-validated predictive ability test in partial least squares path modeling. Decision Sciences, 52(2), 362–392. https://doi.org/10.1111/deci.12445</w:t>
      </w:r>
    </w:p>
    <w:p w14:paraId="25066060" w14:textId="77777777" w:rsidR="008B57DA" w:rsidRPr="008B57DA" w:rsidRDefault="008B57DA" w:rsidP="008B57DA">
      <w:pPr>
        <w:spacing w:after="0" w:line="240" w:lineRule="auto"/>
        <w:rPr>
          <w:szCs w:val="24"/>
          <w:highlight w:val="yellow"/>
        </w:rPr>
      </w:pPr>
    </w:p>
    <w:p w14:paraId="47F4059B" w14:textId="10282DDC" w:rsidR="008B57DA" w:rsidRDefault="008B57DA" w:rsidP="008B57DA">
      <w:pPr>
        <w:spacing w:after="0" w:line="240" w:lineRule="auto"/>
        <w:rPr>
          <w:szCs w:val="24"/>
        </w:rPr>
      </w:pPr>
      <w:r w:rsidRPr="008B57DA">
        <w:rPr>
          <w:szCs w:val="24"/>
          <w:highlight w:val="yellow"/>
        </w:rPr>
        <w:t xml:space="preserve">Park, S., &amp; Gupta, S. (2012). Handling endogenous regressors by joint estimation using copulas. Marketing Science, 31(4), 567–586. </w:t>
      </w:r>
      <w:hyperlink r:id="rId14" w:history="1">
        <w:r w:rsidR="00CC3B73" w:rsidRPr="0023749F">
          <w:rPr>
            <w:rStyle w:val="Hyperlink"/>
            <w:szCs w:val="24"/>
            <w:highlight w:val="yellow"/>
          </w:rPr>
          <w:t>https://doi.org/10.1287/mksc.1120.0718</w:t>
        </w:r>
      </w:hyperlink>
    </w:p>
    <w:p w14:paraId="2CF71DD7" w14:textId="77777777" w:rsidR="00CC3B73" w:rsidRDefault="00CC3B73" w:rsidP="008B57DA">
      <w:pPr>
        <w:spacing w:after="0" w:line="240" w:lineRule="auto"/>
        <w:rPr>
          <w:szCs w:val="24"/>
        </w:rPr>
      </w:pPr>
    </w:p>
    <w:p w14:paraId="1BB88FFA" w14:textId="62B48836" w:rsidR="00CC3B73" w:rsidRPr="00CC3B73" w:rsidRDefault="00CC3B73" w:rsidP="008B57DA">
      <w:pPr>
        <w:spacing w:after="0" w:line="240" w:lineRule="auto"/>
        <w:rPr>
          <w:szCs w:val="24"/>
          <w:highlight w:val="yellow"/>
        </w:rPr>
      </w:pPr>
      <w:r w:rsidRPr="00CC3B73">
        <w:rPr>
          <w:szCs w:val="24"/>
          <w:highlight w:val="yellow"/>
        </w:rPr>
        <w:t xml:space="preserve">Chang, Y., Feng, T., Tan, J., &amp; Xian, F. (2026). Green human resource management and green supply chain integration: The mediating role of ambidextrous environmental strategy. The International Journal of Human Resource Management, 37(6), 950–987. </w:t>
      </w:r>
      <w:hyperlink r:id="rId15" w:history="1">
        <w:r w:rsidRPr="00CC3B73">
          <w:rPr>
            <w:rStyle w:val="Hyperlink"/>
            <w:szCs w:val="24"/>
            <w:highlight w:val="yellow"/>
          </w:rPr>
          <w:t>https://doi.org/10.1080/09585192.2026.2672582</w:t>
        </w:r>
      </w:hyperlink>
    </w:p>
    <w:p w14:paraId="49EFF601" w14:textId="77777777" w:rsidR="00CC3B73" w:rsidRPr="00CC3B73" w:rsidRDefault="00CC3B73" w:rsidP="008B57DA">
      <w:pPr>
        <w:spacing w:after="0" w:line="240" w:lineRule="auto"/>
        <w:rPr>
          <w:szCs w:val="24"/>
          <w:highlight w:val="yellow"/>
        </w:rPr>
      </w:pPr>
    </w:p>
    <w:p w14:paraId="6B72B878" w14:textId="40C7F6B0" w:rsidR="00CC3B73" w:rsidRPr="00CC3B73" w:rsidRDefault="00CC3B73" w:rsidP="008B57DA">
      <w:pPr>
        <w:spacing w:after="0" w:line="240" w:lineRule="auto"/>
        <w:rPr>
          <w:szCs w:val="24"/>
          <w:highlight w:val="yellow"/>
        </w:rPr>
      </w:pPr>
      <w:r w:rsidRPr="00CC3B73">
        <w:rPr>
          <w:szCs w:val="24"/>
          <w:highlight w:val="yellow"/>
        </w:rPr>
        <w:t xml:space="preserve">Feng, T., &amp; Sheng, H. (2023). Identifying the equifinal configurations of prompting green supply chain integration and subsequent performance outcome. Business Strategy and the Environment, 32(8), 5234–5251. </w:t>
      </w:r>
      <w:hyperlink r:id="rId16" w:history="1">
        <w:r w:rsidRPr="00CC3B73">
          <w:rPr>
            <w:rStyle w:val="Hyperlink"/>
            <w:szCs w:val="24"/>
            <w:highlight w:val="yellow"/>
          </w:rPr>
          <w:t>https://doi.org/10.1002/bse.3414</w:t>
        </w:r>
      </w:hyperlink>
    </w:p>
    <w:p w14:paraId="1A5B5F04" w14:textId="51557AEA" w:rsidR="00CC3B73" w:rsidRPr="00205C71" w:rsidRDefault="00CC3B73" w:rsidP="008B57DA">
      <w:pPr>
        <w:spacing w:after="0" w:line="240" w:lineRule="auto"/>
        <w:rPr>
          <w:szCs w:val="24"/>
        </w:rPr>
      </w:pPr>
      <w:r w:rsidRPr="00CC3B73">
        <w:rPr>
          <w:szCs w:val="24"/>
          <w:highlight w:val="yellow"/>
        </w:rPr>
        <w:lastRenderedPageBreak/>
        <w:t>Ren, J., Shi, H., Feng, T., &amp; Li, J. (2026). Translating environmental passion into green supply chain integration: The mediating role of sustainable decision tradeoffs. Humanities and Social Sciences Communications, 13, 1253. https://doi.org/10.1057/s41599-026-07627-9</w:t>
      </w:r>
    </w:p>
    <w:sectPr w:rsidR="00CC3B73"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4536351">
    <w:abstractNumId w:val="8"/>
  </w:num>
  <w:num w:numId="2" w16cid:durableId="1590120824">
    <w:abstractNumId w:val="6"/>
  </w:num>
  <w:num w:numId="3" w16cid:durableId="526018562">
    <w:abstractNumId w:val="5"/>
  </w:num>
  <w:num w:numId="4" w16cid:durableId="1390302693">
    <w:abstractNumId w:val="4"/>
  </w:num>
  <w:num w:numId="5" w16cid:durableId="583564622">
    <w:abstractNumId w:val="7"/>
  </w:num>
  <w:num w:numId="6" w16cid:durableId="1607814147">
    <w:abstractNumId w:val="3"/>
  </w:num>
  <w:num w:numId="7" w16cid:durableId="1207647563">
    <w:abstractNumId w:val="2"/>
  </w:num>
  <w:num w:numId="8" w16cid:durableId="1114904288">
    <w:abstractNumId w:val="1"/>
  </w:num>
  <w:num w:numId="9" w16cid:durableId="18858649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34616"/>
    <w:rsid w:val="0006063C"/>
    <w:rsid w:val="000841FA"/>
    <w:rsid w:val="000B262A"/>
    <w:rsid w:val="000E0E19"/>
    <w:rsid w:val="000E15DC"/>
    <w:rsid w:val="0015074B"/>
    <w:rsid w:val="001633D4"/>
    <w:rsid w:val="00184EAD"/>
    <w:rsid w:val="001E2F0E"/>
    <w:rsid w:val="00205C71"/>
    <w:rsid w:val="00236227"/>
    <w:rsid w:val="00270F3F"/>
    <w:rsid w:val="002838C4"/>
    <w:rsid w:val="0029639D"/>
    <w:rsid w:val="002A7908"/>
    <w:rsid w:val="00326F90"/>
    <w:rsid w:val="003B1B79"/>
    <w:rsid w:val="003D69AB"/>
    <w:rsid w:val="004451D7"/>
    <w:rsid w:val="00462766"/>
    <w:rsid w:val="00490516"/>
    <w:rsid w:val="004B5364"/>
    <w:rsid w:val="004D50F4"/>
    <w:rsid w:val="004E2AAB"/>
    <w:rsid w:val="00573A3A"/>
    <w:rsid w:val="0058052A"/>
    <w:rsid w:val="005F13F0"/>
    <w:rsid w:val="005F2D05"/>
    <w:rsid w:val="006306B7"/>
    <w:rsid w:val="00637AFA"/>
    <w:rsid w:val="006E13B5"/>
    <w:rsid w:val="0076128A"/>
    <w:rsid w:val="00761DDF"/>
    <w:rsid w:val="00842AB8"/>
    <w:rsid w:val="00853369"/>
    <w:rsid w:val="008B57DA"/>
    <w:rsid w:val="00942DF3"/>
    <w:rsid w:val="00990F18"/>
    <w:rsid w:val="009C18EE"/>
    <w:rsid w:val="00A17973"/>
    <w:rsid w:val="00A6652D"/>
    <w:rsid w:val="00A82EEC"/>
    <w:rsid w:val="00AA1D8D"/>
    <w:rsid w:val="00B33318"/>
    <w:rsid w:val="00B36CE8"/>
    <w:rsid w:val="00B40E7A"/>
    <w:rsid w:val="00B42E34"/>
    <w:rsid w:val="00B47730"/>
    <w:rsid w:val="00B94496"/>
    <w:rsid w:val="00BD2F70"/>
    <w:rsid w:val="00BD735A"/>
    <w:rsid w:val="00BE3611"/>
    <w:rsid w:val="00C01D6A"/>
    <w:rsid w:val="00C25BF1"/>
    <w:rsid w:val="00C528B7"/>
    <w:rsid w:val="00C6401F"/>
    <w:rsid w:val="00C732DC"/>
    <w:rsid w:val="00CB0664"/>
    <w:rsid w:val="00CC3B73"/>
    <w:rsid w:val="00CD0F28"/>
    <w:rsid w:val="00D262DC"/>
    <w:rsid w:val="00D538C7"/>
    <w:rsid w:val="00D741A5"/>
    <w:rsid w:val="00DE24EB"/>
    <w:rsid w:val="00E36B38"/>
    <w:rsid w:val="00E50BF7"/>
    <w:rsid w:val="00EC4470"/>
    <w:rsid w:val="00EF129D"/>
    <w:rsid w:val="00F306A5"/>
    <w:rsid w:val="00F4632E"/>
    <w:rsid w:val="00F7430B"/>
    <w:rsid w:val="00FA6E3F"/>
    <w:rsid w:val="00FC693F"/>
    <w:rsid w:val="00FE247B"/>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6401F"/>
    <w:pPr>
      <w:spacing w:before="100" w:beforeAutospacing="1" w:after="100" w:afterAutospacing="1" w:line="240" w:lineRule="auto"/>
      <w:jc w:val="left"/>
    </w:pPr>
    <w:rPr>
      <w:rFonts w:eastAsia="Times New Roman"/>
      <w:szCs w:val="24"/>
      <w:lang w:val="en-IN" w:eastAsia="en-GB"/>
    </w:rPr>
  </w:style>
  <w:style w:type="character" w:styleId="Hyperlink">
    <w:name w:val="Hyperlink"/>
    <w:basedOn w:val="DefaultParagraphFont"/>
    <w:uiPriority w:val="99"/>
    <w:unhideWhenUsed/>
    <w:rsid w:val="00CC3B73"/>
    <w:rPr>
      <w:color w:val="0000FF" w:themeColor="hyperlink"/>
      <w:u w:val="single"/>
    </w:rPr>
  </w:style>
  <w:style w:type="character" w:styleId="UnresolvedMention">
    <w:name w:val="Unresolved Mention"/>
    <w:basedOn w:val="DefaultParagraphFont"/>
    <w:uiPriority w:val="99"/>
    <w:semiHidden/>
    <w:unhideWhenUsed/>
    <w:rsid w:val="00CC3B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02/bse.3414"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1080/09585192.2026.2672582"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287/mksc.1120.07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38</Pages>
  <Words>13744</Words>
  <Characters>78344</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Mohit Gundwal</cp:lastModifiedBy>
  <cp:revision>41</cp:revision>
  <dcterms:created xsi:type="dcterms:W3CDTF">2026-06-13T17:43:00Z</dcterms:created>
  <dcterms:modified xsi:type="dcterms:W3CDTF">2026-08-17T03:28:00Z</dcterms:modified>
  <cp:category/>
</cp:coreProperties>
</file>