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8"/>
        </w:rPr>
        <w:t>Chapter 1  Introduction</w:t>
      </w:r>
    </w:p>
    <w:p/>
    <w:p>
      <w:pPr>
        <w:jc w:val="center"/>
      </w:pPr>
      <w:r>
        <w:rPr>
          <w:i/>
        </w:rPr>
        <w:t>"I imagine an independent Garhwal in independent India"</w:t>
      </w:r>
    </w:p>
    <w:p>
      <w:pPr>
        <w:jc w:val="center"/>
      </w:pPr>
      <w:r>
        <w:rPr>
          <w:i/>
        </w:rPr>
        <w:t>Veer Chandra Singh Garhwali (as cited in Rawat, 2019)</w:t>
      </w:r>
    </w:p>
    <w:p>
      <w:pPr>
        <w:spacing w:after="200" w:line="360" w:lineRule="auto"/>
        <w:jc w:val="both"/>
      </w:pPr>
      <w:r>
        <w:t>The vision that Veer Chandra Singh Garhwali articulated — the Royal Garhwal Rifles soldier who in 1930 refused to fire on unarmed protesters at Peshawar — went well beyond politics. At its core it concerned the dignity, self-reliance and economic emancipation of the hill people of Garhwal (Guha, 2000; Rawat, 2019). Almost a century on, that same aspiration surfaces in a very ordinary struggle: the smallholder Malta (Citrus sinensis) growers of the Garhwal Himalaya, whose sweet oranges ripen in abundance every winter and yet, too often, hand back only a thin slice of the consumer rupee because the distribution channels they depend on are long, fragmented and controlled by contractors (Negi and Anand, 2015; Government of Uttarakhand, 2024). This study sits inside that tension — between what hill horticulture can produce and the lopsided way its returns are shared — and it treats the optimisation of Malta’s distribution channels as its central concern.</w:t>
      </w:r>
    </w:p>
    <w:p>
      <w:r>
        <w:rPr>
          <w:b/>
          <w:i/>
          <w:sz w:val="24"/>
        </w:rPr>
        <w:t>1.1  Background of the Study</w:t>
      </w:r>
    </w:p>
    <w:p>
      <w:pPr>
        <w:spacing w:after="200" w:line="360" w:lineRule="auto"/>
        <w:ind w:firstLine="576"/>
        <w:jc w:val="both"/>
      </w:pPr>
      <w:r>
        <w:t>Horticulture has become one of the most dynamic and remunerative parts of Indian agriculture, and over the past three decades its steady growth has reshaped the country’s agrarian economy. India now ranks as the world’s second-largest producer of fruits and vegetables. Horticultural output has stayed ahead of foodgrain production every year since 2012–13, and recent estimates put it at roughly 355 million tonnes (Government of India, Ministry of Agriculture and Farmers Welfare [MoAandFW], 2023; National Horticulture Board [NHB], 2023). Behind this shift lies a broader recognition, shared globally, that high-value, nutrition-rich crops raise farm incomes, diversify rural livelihoods and strengthen food security more effectively than cereal monocultures on their own (Food and Agriculture Organization [FAO], 2021; NITI Aayog, 2023). Citrus carries particular economic weight within this fruit basket. It ranks among India’s top three fruit groups by both area and value, and it anchors livelihoods across a range of agro-climatic zones (Ladaniya, 2008; NHB, 2023).</w:t>
      </w:r>
    </w:p>
    <w:p>
      <w:pPr>
        <w:spacing w:after="200" w:line="360" w:lineRule="auto"/>
        <w:ind w:firstLine="576"/>
        <w:jc w:val="both"/>
      </w:pPr>
      <w:r>
        <w:t>Production alone does not deliver on horticulture’s economic promise. That promise depends on marketing and distribution systems efficient enough to link scattered producers to distant consumers without bleeding value on the way. Much research has shown that in India the gains from rising horticultural output are often lost to inefficient supply chains — chains marked by too many intermediaries, heavy post-harvest losses and weak producer bargaining power (Negi and Anand, 2015; Shukla and Jharkharia, 2013; Murthy, Gajanana, Sudha, and Dakshinamoorthy, 2009). Post-harvest losses for Indian fruit are estimated at between 6% and 18%. Perishable citrus sits near the top of that range, since the fruit bruises easily, loses moisture and is prone to microbial decay during handling and transit (Gardas, Raut, and Narkhede, 2018; Balaji and Arshinder, 2016). These losses are not simply technical failures. They amount to a steady transfer of value away from primary producers — the very concern at the centre of agricultural marketing scholarship (Acharya and Agarwal, 2011; Halder and Pati, 2011).</w:t>
      </w:r>
    </w:p>
    <w:p>
      <w:pPr>
        <w:spacing w:after="200" w:line="360" w:lineRule="auto"/>
        <w:ind w:firstLine="576"/>
        <w:jc w:val="both"/>
      </w:pPr>
      <w:r>
        <w:t>Uttarakhand is a particularly instructive place to study these dynamics. Carved out of Uttar Pradesh in 2000, the State is mostly mountainous: roughly 86% of its area is hilly and about 65% lies under forest cover, which leaves only a narrow, highly fragmented and rain-dependent base of cultivable land (Government of Uttarakhand, 2023; NITI Aayog, 2023). Within those limits horticulture is no side activity — it is a livelihood mainstay. The State’s agro-ecological gradient runs from sub-tropical valleys to temperate higher reaches, and it supports an unusually wide fruit portfolio: apple, pear, peach, plum, walnut, kiwi and several citrus species (Directorate of Horticulture and Food Processing, Uttarakhand, 2023; Kumar and Bisht, 2020). Relative to the land it takes up, horticulture returns a disproportionately large share of agricultural income, and policymakers increasingly see it as the most credible way to slow the distress out-migration that has emptied out large parts of the hill districts (Government of Uttarakhand, 2023; NITI Aayog, 2023). Horticulture’s national rise, the persistent leakage of value in fruit supply chains, and Uttarakhand’s heavy dependence on hill horticulture — together these give the case of Malta its scholarly and policy relevance.</w:t>
      </w:r>
    </w:p>
    <w:p>
      <w:pPr>
        <w:spacing w:before="120"/>
      </w:pPr>
      <w:r>
        <w:rPr>
          <w:b/>
          <w:i/>
        </w:rPr>
        <w:t xml:space="preserve">Table 1.1. </w:t>
      </w:r>
      <w:r>
        <w:rPr>
          <w:i/>
        </w:rPr>
        <w:t>Area, Production and Productivity of Citrus (Including Malta) in Uttarakhand, Selected Years (2008–09 to 2022–23).</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i/>
                <w:sz w:val="20"/>
              </w:rPr>
              <w:t>Year</w:t>
            </w:r>
          </w:p>
        </w:tc>
        <w:tc>
          <w:tcPr>
            <w:tcW w:type="dxa" w:w="2160"/>
          </w:tcPr>
          <w:p>
            <w:r>
              <w:rPr>
                <w:b/>
                <w:i/>
                <w:sz w:val="20"/>
              </w:rPr>
              <w:t>Area (’000 ha)</w:t>
            </w:r>
          </w:p>
        </w:tc>
        <w:tc>
          <w:tcPr>
            <w:tcW w:type="dxa" w:w="2160"/>
          </w:tcPr>
          <w:p>
            <w:r>
              <w:rPr>
                <w:b/>
                <w:i/>
                <w:sz w:val="20"/>
              </w:rPr>
              <w:t>Production (’000 MT)</w:t>
            </w:r>
          </w:p>
        </w:tc>
        <w:tc>
          <w:tcPr>
            <w:tcW w:type="dxa" w:w="2160"/>
          </w:tcPr>
          <w:p>
            <w:r>
              <w:rPr>
                <w:b/>
                <w:i/>
                <w:sz w:val="20"/>
              </w:rPr>
              <w:t>Productivity (MT/ha)</w:t>
            </w:r>
          </w:p>
        </w:tc>
      </w:tr>
      <w:tr>
        <w:tc>
          <w:tcPr>
            <w:tcW w:type="dxa" w:w="2160"/>
          </w:tcPr>
          <w:p>
            <w:r>
              <w:rPr>
                <w:sz w:val="20"/>
              </w:rPr>
              <w:t>2008–09</w:t>
            </w:r>
          </w:p>
        </w:tc>
        <w:tc>
          <w:tcPr>
            <w:tcW w:type="dxa" w:w="2160"/>
          </w:tcPr>
          <w:p>
            <w:r>
              <w:rPr>
                <w:sz w:val="20"/>
              </w:rPr>
              <w:t>22.1</w:t>
            </w:r>
          </w:p>
        </w:tc>
        <w:tc>
          <w:tcPr>
            <w:tcW w:type="dxa" w:w="2160"/>
          </w:tcPr>
          <w:p>
            <w:r>
              <w:rPr>
                <w:sz w:val="20"/>
              </w:rPr>
              <w:t>118.4</w:t>
            </w:r>
          </w:p>
        </w:tc>
        <w:tc>
          <w:tcPr>
            <w:tcW w:type="dxa" w:w="2160"/>
          </w:tcPr>
          <w:p>
            <w:r>
              <w:rPr>
                <w:sz w:val="20"/>
              </w:rPr>
              <w:t>5.36</w:t>
            </w:r>
          </w:p>
        </w:tc>
      </w:tr>
      <w:tr>
        <w:tc>
          <w:tcPr>
            <w:tcW w:type="dxa" w:w="2160"/>
          </w:tcPr>
          <w:p>
            <w:r>
              <w:rPr>
                <w:sz w:val="20"/>
              </w:rPr>
              <w:t>2011–12</w:t>
            </w:r>
          </w:p>
        </w:tc>
        <w:tc>
          <w:tcPr>
            <w:tcW w:type="dxa" w:w="2160"/>
          </w:tcPr>
          <w:p>
            <w:r>
              <w:rPr>
                <w:sz w:val="20"/>
              </w:rPr>
              <w:t>24.6</w:t>
            </w:r>
          </w:p>
        </w:tc>
        <w:tc>
          <w:tcPr>
            <w:tcW w:type="dxa" w:w="2160"/>
          </w:tcPr>
          <w:p>
            <w:r>
              <w:rPr>
                <w:sz w:val="20"/>
              </w:rPr>
              <w:t>132.7</w:t>
            </w:r>
          </w:p>
        </w:tc>
        <w:tc>
          <w:tcPr>
            <w:tcW w:type="dxa" w:w="2160"/>
          </w:tcPr>
          <w:p>
            <w:r>
              <w:rPr>
                <w:sz w:val="20"/>
              </w:rPr>
              <w:t>5.39</w:t>
            </w:r>
          </w:p>
        </w:tc>
      </w:tr>
      <w:tr>
        <w:tc>
          <w:tcPr>
            <w:tcW w:type="dxa" w:w="2160"/>
          </w:tcPr>
          <w:p>
            <w:r>
              <w:rPr>
                <w:sz w:val="20"/>
              </w:rPr>
              <w:t>2014–15</w:t>
            </w:r>
          </w:p>
        </w:tc>
        <w:tc>
          <w:tcPr>
            <w:tcW w:type="dxa" w:w="2160"/>
          </w:tcPr>
          <w:p>
            <w:r>
              <w:rPr>
                <w:sz w:val="20"/>
              </w:rPr>
              <w:t>26.9</w:t>
            </w:r>
          </w:p>
        </w:tc>
        <w:tc>
          <w:tcPr>
            <w:tcW w:type="dxa" w:w="2160"/>
          </w:tcPr>
          <w:p>
            <w:r>
              <w:rPr>
                <w:sz w:val="20"/>
              </w:rPr>
              <w:t>146.2</w:t>
            </w:r>
          </w:p>
        </w:tc>
        <w:tc>
          <w:tcPr>
            <w:tcW w:type="dxa" w:w="2160"/>
          </w:tcPr>
          <w:p>
            <w:r>
              <w:rPr>
                <w:sz w:val="20"/>
              </w:rPr>
              <w:t>5.43</w:t>
            </w:r>
          </w:p>
        </w:tc>
      </w:tr>
      <w:tr>
        <w:tc>
          <w:tcPr>
            <w:tcW w:type="dxa" w:w="2160"/>
          </w:tcPr>
          <w:p>
            <w:r>
              <w:rPr>
                <w:sz w:val="20"/>
              </w:rPr>
              <w:t>2017–18</w:t>
            </w:r>
          </w:p>
        </w:tc>
        <w:tc>
          <w:tcPr>
            <w:tcW w:type="dxa" w:w="2160"/>
          </w:tcPr>
          <w:p>
            <w:r>
              <w:rPr>
                <w:sz w:val="20"/>
              </w:rPr>
              <w:t>28.4</w:t>
            </w:r>
          </w:p>
        </w:tc>
        <w:tc>
          <w:tcPr>
            <w:tcW w:type="dxa" w:w="2160"/>
          </w:tcPr>
          <w:p>
            <w:r>
              <w:rPr>
                <w:sz w:val="20"/>
              </w:rPr>
              <w:t>151.9</w:t>
            </w:r>
          </w:p>
        </w:tc>
        <w:tc>
          <w:tcPr>
            <w:tcW w:type="dxa" w:w="2160"/>
          </w:tcPr>
          <w:p>
            <w:r>
              <w:rPr>
                <w:sz w:val="20"/>
              </w:rPr>
              <w:t>5.35</w:t>
            </w:r>
          </w:p>
        </w:tc>
      </w:tr>
      <w:tr>
        <w:tc>
          <w:tcPr>
            <w:tcW w:type="dxa" w:w="2160"/>
          </w:tcPr>
          <w:p>
            <w:r>
              <w:rPr>
                <w:sz w:val="20"/>
              </w:rPr>
              <w:t>2019–20</w:t>
            </w:r>
          </w:p>
        </w:tc>
        <w:tc>
          <w:tcPr>
            <w:tcW w:type="dxa" w:w="2160"/>
          </w:tcPr>
          <w:p>
            <w:r>
              <w:rPr>
                <w:sz w:val="20"/>
              </w:rPr>
              <w:t>29.7</w:t>
            </w:r>
          </w:p>
        </w:tc>
        <w:tc>
          <w:tcPr>
            <w:tcW w:type="dxa" w:w="2160"/>
          </w:tcPr>
          <w:p>
            <w:r>
              <w:rPr>
                <w:sz w:val="20"/>
              </w:rPr>
              <w:t>158.6</w:t>
            </w:r>
          </w:p>
        </w:tc>
        <w:tc>
          <w:tcPr>
            <w:tcW w:type="dxa" w:w="2160"/>
          </w:tcPr>
          <w:p>
            <w:r>
              <w:rPr>
                <w:sz w:val="20"/>
              </w:rPr>
              <w:t>5.34</w:t>
            </w:r>
          </w:p>
        </w:tc>
      </w:tr>
      <w:tr>
        <w:tc>
          <w:tcPr>
            <w:tcW w:type="dxa" w:w="2160"/>
          </w:tcPr>
          <w:p>
            <w:r>
              <w:rPr>
                <w:sz w:val="20"/>
              </w:rPr>
              <w:t>2021–22</w:t>
            </w:r>
          </w:p>
        </w:tc>
        <w:tc>
          <w:tcPr>
            <w:tcW w:type="dxa" w:w="2160"/>
          </w:tcPr>
          <w:p>
            <w:r>
              <w:rPr>
                <w:sz w:val="20"/>
              </w:rPr>
              <w:t>30.8</w:t>
            </w:r>
          </w:p>
        </w:tc>
        <w:tc>
          <w:tcPr>
            <w:tcW w:type="dxa" w:w="2160"/>
          </w:tcPr>
          <w:p>
            <w:r>
              <w:rPr>
                <w:sz w:val="20"/>
              </w:rPr>
              <w:t>163.4</w:t>
            </w:r>
          </w:p>
        </w:tc>
        <w:tc>
          <w:tcPr>
            <w:tcW w:type="dxa" w:w="2160"/>
          </w:tcPr>
          <w:p>
            <w:r>
              <w:rPr>
                <w:sz w:val="20"/>
              </w:rPr>
              <w:t>5.31</w:t>
            </w:r>
          </w:p>
        </w:tc>
      </w:tr>
      <w:tr>
        <w:tc>
          <w:tcPr>
            <w:tcW w:type="dxa" w:w="2160"/>
          </w:tcPr>
          <w:p>
            <w:r>
              <w:rPr>
                <w:sz w:val="20"/>
              </w:rPr>
              <w:t>2022–23</w:t>
            </w:r>
          </w:p>
        </w:tc>
        <w:tc>
          <w:tcPr>
            <w:tcW w:type="dxa" w:w="2160"/>
          </w:tcPr>
          <w:p>
            <w:r>
              <w:rPr>
                <w:sz w:val="20"/>
              </w:rPr>
              <w:t>31.5</w:t>
            </w:r>
          </w:p>
        </w:tc>
        <w:tc>
          <w:tcPr>
            <w:tcW w:type="dxa" w:w="2160"/>
          </w:tcPr>
          <w:p>
            <w:r>
              <w:rPr>
                <w:sz w:val="20"/>
              </w:rPr>
              <w:t>167.1</w:t>
            </w:r>
          </w:p>
        </w:tc>
        <w:tc>
          <w:tcPr>
            <w:tcW w:type="dxa" w:w="2160"/>
          </w:tcPr>
          <w:p>
            <w:r>
              <w:rPr>
                <w:sz w:val="20"/>
              </w:rPr>
              <w:t>5.30</w:t>
            </w:r>
          </w:p>
        </w:tc>
      </w:tr>
    </w:tbl>
    <w:p>
      <w:r>
        <w:rPr>
          <w:i/>
          <w:sz w:val="20"/>
        </w:rPr>
        <w:t xml:space="preserve">Source: </w:t>
      </w:r>
      <w:r>
        <w:rPr>
          <w:i/>
          <w:sz w:val="20"/>
        </w:rPr>
        <w:t>Compiled by author from Directorate of Horticulture and Food Processing, Uttarakhand (2023); National Horticulture Board (2023); and Government of India, MoAandFW (2023). Figures for Malta are subsumed within the citrus group and are indicative.</w:t>
      </w:r>
    </w:p>
    <w:p>
      <w:pPr>
        <w:spacing w:after="200" w:line="360" w:lineRule="auto"/>
        <w:ind w:firstLine="576"/>
        <w:jc w:val="both"/>
      </w:pPr>
      <w:r>
        <w:t>The trend in Table 1.1 captures the central paradox behind this thesis. The area under citrus in Uttarakhand has grown steadily, from about 22,000 hectares in 2008–09 to more than 31,000 hectares by 2022–23, yet productivity has stalled at roughly 5.3 metric tonnes per hectare — well below the national citrus average and far short of what the crop can biologically yield (NHB, 2023; Directorate of Horticulture and Food Processing, Uttarakhand, 2023). The more troubling point is that the modest rise in production has not brought growers a matching rise in income, because the value created in the orchard is later lost to handling, transport and a string of intermediaries (Negi and Anand, 2015; Goswami and Sharma, 2020). This gap between production performance and distribution outcomes is where the study begins.</w:t>
      </w:r>
    </w:p>
    <w:p>
      <w:r>
        <w:rPr>
          <w:b/>
          <w:i/>
          <w:sz w:val="24"/>
        </w:rPr>
        <w:t>1.2  Malta (Citrus sinensis) and the Garhwal Region</w:t>
      </w:r>
    </w:p>
    <w:p>
      <w:pPr>
        <w:spacing w:after="200" w:line="360" w:lineRule="auto"/>
        <w:ind w:firstLine="576"/>
        <w:jc w:val="both"/>
      </w:pPr>
      <w:r>
        <w:t>Malta is the local name that the Uttarakhand hills give to certain blood-red and sweet-orange cultivars of Citrus sinensis (L.) Osbeck, a member of the Rutaceae family grown around the world as the sweet orange (Ladaniya, 2008; Kumar and Bisht, 2020). In the Garhwal Himalaya the crop does best in the mid-hill zone, roughly 800 to 1,800 metres above mean sea level, where a warm-temperate to sub-tropical climate, well-drained sandy-loam soils and moderate winter chilling together yield fruit with a distinctive colour, aroma and juice content (Kumar and Bisht, 2020; Kumar, Rana, and Negi, 2019). The trees are usually rain-fed, need relatively little external input, and start bearing commercially in their sixth to eighth year; after that a mature orchard can stay productive for decades. Harvest falls in the winter months, broadly late November to January. That timing puts Malta in direct seasonal competition with the flush of plains-grown oranges and, at the same time, saddles it with the logistics of moving a perishable crop out of the hills in the coldest weeks of the year (Ladaniya, 2008; Negi and Anand, 2015).</w:t>
      </w:r>
    </w:p>
    <w:p>
      <w:pPr>
        <w:spacing w:after="200" w:line="360" w:lineRule="auto"/>
        <w:ind w:firstLine="576"/>
        <w:jc w:val="both"/>
      </w:pPr>
      <w:r>
        <w:t>What sets Garhwal Malta apart is the meeting of terroir and tradition. Fruit from Pauri Garhwal, Tehri Garhwal, Chamoli and Rudraprayag is widely held to strike a superior balance of sweetness and acidity, and it has grown closely tied to the regional identity and diet of the hill population (Kumar and Bisht, 2020; Government of Uttarakhand, 2023). Apple and kiwi have been pushed through commercial nurseries and modern orchards; Malta has not. It has long been a “backyard” and boundary-planting crop, propagated informally and folded into mixed hill-farming systems rather than raised as a dedicated monoculture (Kumar and Bisht, 2020; Saxena and Singh, 2015). Figure 1.1 places the four study districts within the Garhwal division of Uttarakhand — together, the principal Malta-growing belt this thesis examines.</w:t>
      </w:r>
    </w:p>
    <w:p>
      <w:pPr>
        <w:spacing w:before="120"/>
      </w:pPr>
      <w:r>
        <w:rPr>
          <w:b/>
          <w:i/>
        </w:rPr>
        <w:t xml:space="preserve">Figure 1.1. </w:t>
      </w:r>
      <w:r>
        <w:rPr>
          <w:i/>
        </w:rPr>
        <w:t>Study region — the Garhwal districts of Uttarakhand covered in the study (Pauri Garhwal, Tehri Garhwal, Chamoli and Rudraprayag).</w:t>
      </w:r>
    </w:p>
    <w:p>
      <w:r>
        <w:rPr>
          <w:i/>
          <w:sz w:val="20"/>
        </w:rPr>
        <w:t xml:space="preserve">Source: </w:t>
      </w:r>
      <w:r>
        <w:rPr>
          <w:i/>
          <w:sz w:val="20"/>
        </w:rPr>
        <w:t>Author (stylised administrative schematic; not to geographical scale).</w:t>
      </w:r>
    </w:p>
    <w:p>
      <w:pPr>
        <w:spacing w:after="200" w:line="360" w:lineRule="auto"/>
        <w:ind w:firstLine="576"/>
        <w:jc w:val="both"/>
      </w:pPr>
      <w:r>
        <w:t>District-level data confirm how concentrated the crop is in this belt. A large share of the Garhwal division’s citrus area is under Malta and close relatives such as galgal (hill lemon), and the crop is estimated to support the livelihoods of well over one hundred thousand smallholder households across the study districts — most of them farming less than a hectare (Directorate of Horticulture and Food Processing, Uttarakhand, 2023; Government of Uttarakhand, 2024). For these households Malta works as a low-input, seasonal source of cash that arrives when little else is marketable, helping smooth consumption and pay for winter expenses (Goswami and Sharma, 2020; Kumar et al., 2019). It is this deep hold on the household economy — not the crop’s absolute share of State output — that makes the efficiency of its distribution channels a real welfare question.</w:t>
      </w:r>
    </w:p>
    <w:p>
      <w:r>
        <w:rPr>
          <w:b/>
          <w:i/>
          <w:sz w:val="24"/>
        </w:rPr>
        <w:t>1.3  Economic, Social and Cultural Importance of Malta in Uttarakhand</w:t>
      </w:r>
    </w:p>
    <w:p>
      <w:pPr>
        <w:spacing w:after="200" w:line="360" w:lineRule="auto"/>
        <w:ind w:firstLine="576"/>
        <w:jc w:val="both"/>
      </w:pPr>
      <w:r>
        <w:t>Malta’s economic importance only makes sense against the fragile, cash-scarce economy of the Uttarakhand hills. Because the crop is harvested in winter and needs almost no purchased inputs, nearly all of the income it generates accrues as net returns to land and family labour — which makes it one of the few dependably remunerative options open to marginal hill farmers (Goswami and Sharma, 2020; Saxena and Singh, 2015). For a typical smallholder, seasonal Malta sales can make up a meaningful share of annual farm cash income; in a good year the crop pays for education, health and the next season’s agricultural inputs (Kumar et al., 2019; Government of Uttarakhand, 2024). The crop’s resilience deepens this income-stabilising role. As a hardy, rain-fed perennial, it copes with the hills’ climatic swings better than many annual crops and offers some insurance against the region’s rising incidence of erratic rainfall and hailstorms (FAO, 2021; NITI Aayog, 2023).</w:t>
      </w:r>
    </w:p>
    <w:p>
      <w:pPr>
        <w:spacing w:after="200" w:line="360" w:lineRule="auto"/>
        <w:ind w:firstLine="576"/>
        <w:jc w:val="both"/>
      </w:pPr>
      <w:r>
        <w:t>Socially, Malta has become bound up with the rural labour economy and, more and more, with the empowerment of hill women. As men have left the Garhwal hills in search of work, agriculture and horticulture have been substantially feminised, and women now handle most orchard maintenance, harvesting, grading and local sale (Guha, 2000; NITI Aayog, 2023). Women’s self-help groups (SHGs) and, more recently, farmer producer organisations (FPOs) have started to aggregate Malta, take up simple value addition — juice, squash, jam, candy — and bargain with buyers as a group, turning a traditional subsistence fruit into a source of rural employment and micro-enterprise (Government of Uttarakhand, 2023; Rais and Sheoran, 2015). These collective bodies matter directly to this study, since they are an emerging alternative to the contractor-dominated channels that have long governed Malta marketing.</w:t>
      </w:r>
    </w:p>
    <w:p>
      <w:pPr>
        <w:spacing w:after="200" w:line="360" w:lineRule="auto"/>
        <w:ind w:firstLine="576"/>
        <w:jc w:val="both"/>
      </w:pPr>
      <w:r>
        <w:t>Culturally, the fruit carries a value well beyond its price. It is a fixture of winter households across Garhwal, passed around as a gesture of hospitality, and in recent years it has anchored dedicated festivals that celebrate hill produce and try to build consumer markets. Malta festivals inside Uttarakhand, and promotional Malta events held in Delhi to showcase hill horticulture, have drawn media coverage; the State has used them deliberately to recast the crop as a mark of regional pride and a branded, health-oriented product (Hindustan Times, 2023; Amar Ujala, 2023). This cultural push is not a sideshow to the marketing question. Work on agri-food value chains suggests that identity-based branding and geographical association can materially lift the price that niche hill produce fetches (Cadilhon, Fearne, Tam, Moustier, and Poole, 2006; Chatterjee, Chaudhuri, and Vrontis, 2023).</w:t>
      </w:r>
    </w:p>
    <w:p>
      <w:r>
        <w:rPr>
          <w:b/>
          <w:i/>
          <w:sz w:val="24"/>
        </w:rPr>
        <w:t>1.4  Distribution Channels for Malta: Current Patterns and Challenges</w:t>
      </w:r>
    </w:p>
    <w:p>
      <w:pPr>
        <w:spacing w:after="200" w:line="360" w:lineRule="auto"/>
        <w:ind w:firstLine="576"/>
        <w:jc w:val="both"/>
      </w:pPr>
      <w:r>
        <w:t>In the classical marketing account, a distribution channel is the set of interdependent organisations that make a product available for use or consumption, and its efficiency turns on how well it handles assembly, transport, storage, financing and risk-bearing while keeping the gap between producer and consumer prices as small as possible (Stern, El-Ansary, and Coughlan, 1996; Kotler and Keller, 2016; Acharya and Agarwal, 2011). For Malta in Garhwal, field studies and secondary evidence point to several parallel channels running side by side, differing in length and governance — from direct farm-gate sale all the way to elaborate contractor- and mandi-based arrangements (Negi and Anand, 2015; Halder and Pati, 2011). Figure 1.2 sketches the six main channels through which Malta usually reaches the consumer.</w:t>
      </w:r>
    </w:p>
    <w:p>
      <w:pPr>
        <w:spacing w:before="120"/>
      </w:pPr>
      <w:r>
        <w:rPr>
          <w:b/>
          <w:i/>
        </w:rPr>
        <w:t xml:space="preserve">Figure 1.2. </w:t>
      </w:r>
      <w:r>
        <w:rPr>
          <w:i/>
        </w:rPr>
        <w:t>Schematic of the existing Malta distribution channels from farm to consumer (Channel I to Channel VI).</w:t>
      </w:r>
    </w:p>
    <w:p>
      <w:r>
        <w:rPr>
          <w:i/>
          <w:sz w:val="20"/>
        </w:rPr>
        <w:t xml:space="preserve">Source: </w:t>
      </w:r>
      <w:r>
        <w:rPr>
          <w:i/>
          <w:sz w:val="20"/>
        </w:rPr>
        <w:t>Author, synthesised from field-level marketing studies of hill citrus (Negi and Anand, 2015; Halder and Pati, 2011; Kumar et al., 2019).</w:t>
      </w:r>
    </w:p>
    <w:p>
      <w:pPr>
        <w:spacing w:after="200" w:line="360" w:lineRule="auto"/>
        <w:ind w:firstLine="576"/>
        <w:jc w:val="both"/>
      </w:pPr>
      <w:r>
        <w:t>The channels diverge sharply in what they mean for producer welfare. The shortest ones — direct farm-gate sale to consumers (Channel I) and sale through a local retailer (Channel II) — let growers keep the largest share of the consumer rupee, but low volumes, thin local demand and the fruit’s perishability hold them back (Kumar et al., 2019; Shukla and Jharkharia, 2013). What dominates in practice are the longer, contractor-mediated channels (Channels III and IV): pre-harvest contractors buy the standing crop, or village aggregators route the fruit through commission agents in distant mandis before it reaches retailers and consumers (Negi and Anand, 2015; Goswami and Sharma, 2020). Both arrangements pass risk and a large part of the final value to intermediaries. The cooperative and FPO-based channels now emerging (Channels V and VI) — which link growers to processors, institutional buyers and organised or government retail outlets — hold the most promise for a fairer split of value, but they remain small in scale (Government of Uttarakhand, 2023; Rais and Sheoran, 2015).</w:t>
      </w:r>
    </w:p>
    <w:p>
      <w:pPr>
        <w:spacing w:before="120"/>
      </w:pPr>
      <w:r>
        <w:rPr>
          <w:b/>
          <w:i/>
        </w:rPr>
        <w:t xml:space="preserve">Table 1.3. </w:t>
      </w:r>
      <w:r>
        <w:rPr>
          <w:i/>
        </w:rPr>
        <w:t>Indicative Share of Marketed Malta Handled by Each Type of Distribution Channel and Approximate Producer’s Share of Consumer Price.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i/>
                <w:sz w:val="20"/>
              </w:rPr>
              <w:t>Channel</w:t>
            </w:r>
          </w:p>
        </w:tc>
        <w:tc>
          <w:tcPr>
            <w:tcW w:type="dxa" w:w="2160"/>
          </w:tcPr>
          <w:p>
            <w:r>
              <w:rPr>
                <w:b/>
                <w:i/>
                <w:sz w:val="20"/>
              </w:rPr>
              <w:t>Description</w:t>
            </w:r>
          </w:p>
        </w:tc>
        <w:tc>
          <w:tcPr>
            <w:tcW w:type="dxa" w:w="2160"/>
          </w:tcPr>
          <w:p>
            <w:r>
              <w:rPr>
                <w:b/>
                <w:i/>
                <w:sz w:val="20"/>
              </w:rPr>
              <w:t>Approx. share of marketed volume (%)</w:t>
            </w:r>
          </w:p>
        </w:tc>
        <w:tc>
          <w:tcPr>
            <w:tcW w:type="dxa" w:w="2160"/>
          </w:tcPr>
          <w:p>
            <w:r>
              <w:rPr>
                <w:b/>
                <w:i/>
                <w:sz w:val="20"/>
              </w:rPr>
              <w:t>Producer’s share of consumer price (%)</w:t>
            </w:r>
          </w:p>
        </w:tc>
      </w:tr>
      <w:tr>
        <w:tc>
          <w:tcPr>
            <w:tcW w:type="dxa" w:w="2160"/>
          </w:tcPr>
          <w:p>
            <w:r>
              <w:rPr>
                <w:sz w:val="20"/>
              </w:rPr>
              <w:t>I</w:t>
            </w:r>
          </w:p>
        </w:tc>
        <w:tc>
          <w:tcPr>
            <w:tcW w:type="dxa" w:w="2160"/>
          </w:tcPr>
          <w:p>
            <w:r>
              <w:rPr>
                <w:sz w:val="20"/>
              </w:rPr>
              <w:t>Direct farm-gate sale to consumer</w:t>
            </w:r>
          </w:p>
        </w:tc>
        <w:tc>
          <w:tcPr>
            <w:tcW w:type="dxa" w:w="2160"/>
          </w:tcPr>
          <w:p>
            <w:r>
              <w:rPr>
                <w:sz w:val="20"/>
              </w:rPr>
              <w:t>6</w:t>
            </w:r>
          </w:p>
        </w:tc>
        <w:tc>
          <w:tcPr>
            <w:tcW w:type="dxa" w:w="2160"/>
          </w:tcPr>
          <w:p>
            <w:r>
              <w:rPr>
                <w:sz w:val="20"/>
              </w:rPr>
              <w:t>88</w:t>
            </w:r>
          </w:p>
        </w:tc>
      </w:tr>
      <w:tr>
        <w:tc>
          <w:tcPr>
            <w:tcW w:type="dxa" w:w="2160"/>
          </w:tcPr>
          <w:p>
            <w:r>
              <w:rPr>
                <w:sz w:val="20"/>
              </w:rPr>
              <w:t>II</w:t>
            </w:r>
          </w:p>
        </w:tc>
        <w:tc>
          <w:tcPr>
            <w:tcW w:type="dxa" w:w="2160"/>
          </w:tcPr>
          <w:p>
            <w:r>
              <w:rPr>
                <w:sz w:val="20"/>
              </w:rPr>
              <w:t>Grower – local retailer – consumer</w:t>
            </w:r>
          </w:p>
        </w:tc>
        <w:tc>
          <w:tcPr>
            <w:tcW w:type="dxa" w:w="2160"/>
          </w:tcPr>
          <w:p>
            <w:r>
              <w:rPr>
                <w:sz w:val="20"/>
              </w:rPr>
              <w:t>11</w:t>
            </w:r>
          </w:p>
        </w:tc>
        <w:tc>
          <w:tcPr>
            <w:tcW w:type="dxa" w:w="2160"/>
          </w:tcPr>
          <w:p>
            <w:r>
              <w:rPr>
                <w:sz w:val="20"/>
              </w:rPr>
              <w:t>72</w:t>
            </w:r>
          </w:p>
        </w:tc>
      </w:tr>
      <w:tr>
        <w:tc>
          <w:tcPr>
            <w:tcW w:type="dxa" w:w="2160"/>
          </w:tcPr>
          <w:p>
            <w:r>
              <w:rPr>
                <w:sz w:val="20"/>
              </w:rPr>
              <w:t>III</w:t>
            </w:r>
          </w:p>
        </w:tc>
        <w:tc>
          <w:tcPr>
            <w:tcW w:type="dxa" w:w="2160"/>
          </w:tcPr>
          <w:p>
            <w:r>
              <w:rPr>
                <w:sz w:val="20"/>
              </w:rPr>
              <w:t>Grower – pre-harvest contractor – wholesaler – retailer</w:t>
            </w:r>
          </w:p>
        </w:tc>
        <w:tc>
          <w:tcPr>
            <w:tcW w:type="dxa" w:w="2160"/>
          </w:tcPr>
          <w:p>
            <w:r>
              <w:rPr>
                <w:sz w:val="20"/>
              </w:rPr>
              <w:t>42</w:t>
            </w:r>
          </w:p>
        </w:tc>
        <w:tc>
          <w:tcPr>
            <w:tcW w:type="dxa" w:w="2160"/>
          </w:tcPr>
          <w:p>
            <w:r>
              <w:rPr>
                <w:sz w:val="20"/>
              </w:rPr>
              <w:t>38</w:t>
            </w:r>
          </w:p>
        </w:tc>
      </w:tr>
      <w:tr>
        <w:tc>
          <w:tcPr>
            <w:tcW w:type="dxa" w:w="2160"/>
          </w:tcPr>
          <w:p>
            <w:r>
              <w:rPr>
                <w:sz w:val="20"/>
              </w:rPr>
              <w:t>IV</w:t>
            </w:r>
          </w:p>
        </w:tc>
        <w:tc>
          <w:tcPr>
            <w:tcW w:type="dxa" w:w="2160"/>
          </w:tcPr>
          <w:p>
            <w:r>
              <w:rPr>
                <w:sz w:val="20"/>
              </w:rPr>
              <w:t>Grower – aggregator – commission agent – retailer</w:t>
            </w:r>
          </w:p>
        </w:tc>
        <w:tc>
          <w:tcPr>
            <w:tcW w:type="dxa" w:w="2160"/>
          </w:tcPr>
          <w:p>
            <w:r>
              <w:rPr>
                <w:sz w:val="20"/>
              </w:rPr>
              <w:t>27</w:t>
            </w:r>
          </w:p>
        </w:tc>
        <w:tc>
          <w:tcPr>
            <w:tcW w:type="dxa" w:w="2160"/>
          </w:tcPr>
          <w:p>
            <w:r>
              <w:rPr>
                <w:sz w:val="20"/>
              </w:rPr>
              <w:t>45</w:t>
            </w:r>
          </w:p>
        </w:tc>
      </w:tr>
      <w:tr>
        <w:tc>
          <w:tcPr>
            <w:tcW w:type="dxa" w:w="2160"/>
          </w:tcPr>
          <w:p>
            <w:r>
              <w:rPr>
                <w:sz w:val="20"/>
              </w:rPr>
              <w:t>V</w:t>
            </w:r>
          </w:p>
        </w:tc>
        <w:tc>
          <w:tcPr>
            <w:tcW w:type="dxa" w:w="2160"/>
          </w:tcPr>
          <w:p>
            <w:r>
              <w:rPr>
                <w:sz w:val="20"/>
              </w:rPr>
              <w:t>Grower – FPO/co-op – processor/institutional</w:t>
            </w:r>
          </w:p>
        </w:tc>
        <w:tc>
          <w:tcPr>
            <w:tcW w:type="dxa" w:w="2160"/>
          </w:tcPr>
          <w:p>
            <w:r>
              <w:rPr>
                <w:sz w:val="20"/>
              </w:rPr>
              <w:t>9</w:t>
            </w:r>
          </w:p>
        </w:tc>
        <w:tc>
          <w:tcPr>
            <w:tcW w:type="dxa" w:w="2160"/>
          </w:tcPr>
          <w:p>
            <w:r>
              <w:rPr>
                <w:sz w:val="20"/>
              </w:rPr>
              <w:t>64</w:t>
            </w:r>
          </w:p>
        </w:tc>
      </w:tr>
      <w:tr>
        <w:tc>
          <w:tcPr>
            <w:tcW w:type="dxa" w:w="2160"/>
          </w:tcPr>
          <w:p>
            <w:r>
              <w:rPr>
                <w:sz w:val="20"/>
              </w:rPr>
              <w:t>VI</w:t>
            </w:r>
          </w:p>
        </w:tc>
        <w:tc>
          <w:tcPr>
            <w:tcW w:type="dxa" w:w="2160"/>
          </w:tcPr>
          <w:p>
            <w:r>
              <w:rPr>
                <w:sz w:val="20"/>
              </w:rPr>
              <w:t>Grower – FPO/co-op – organised/govt. retail</w:t>
            </w:r>
          </w:p>
        </w:tc>
        <w:tc>
          <w:tcPr>
            <w:tcW w:type="dxa" w:w="2160"/>
          </w:tcPr>
          <w:p>
            <w:r>
              <w:rPr>
                <w:sz w:val="20"/>
              </w:rPr>
              <w:t>5</w:t>
            </w:r>
          </w:p>
        </w:tc>
        <w:tc>
          <w:tcPr>
            <w:tcW w:type="dxa" w:w="2160"/>
          </w:tcPr>
          <w:p>
            <w:r>
              <w:rPr>
                <w:sz w:val="20"/>
              </w:rPr>
              <w:t>70</w:t>
            </w:r>
          </w:p>
        </w:tc>
      </w:tr>
    </w:tbl>
    <w:p>
      <w:r>
        <w:rPr>
          <w:i/>
          <w:sz w:val="20"/>
        </w:rPr>
        <w:t xml:space="preserve">Source: </w:t>
      </w:r>
      <w:r>
        <w:rPr>
          <w:i/>
          <w:sz w:val="20"/>
        </w:rPr>
        <w:t>Compiled by author from Negi and Anand (2015), Goswami and Sharma (2020), Kumar et al. (2019) and field-based marketing studies of sweet orange in Rudraprayag district; figures are indicative and rounded.</w:t>
      </w:r>
    </w:p>
    <w:p>
      <w:pPr>
        <w:spacing w:after="200" w:line="360" w:lineRule="auto"/>
        <w:ind w:firstLine="576"/>
        <w:jc w:val="both"/>
      </w:pPr>
      <w:r>
        <w:t>Table 1.3 brings the core problem into focus. Channels III and IV, the contractor- and mandi-dominated ones, together move close to seventy per cent of the marketed crop and yet hand the producer well under half of what consumers finally pay; the shorter and collective channels that leave far more with the grower move only a small fraction of the volume (Negi and Anand, 2015; Goswami and Sharma, 2020). Field research on sweet-orange marketing in Rudraprayag found much the same — the shortest channel returned the highest producer’s share of the consumer rupee, on the order of seventy per cent, while longer channels pushed it down sharply — which confirms that channel length is a primary determinant of marketing efficiency for hill citrus (Kumar et al., 2019; Halder and Pati, 2011). Why do the inefficient channels persist despite their obvious welfare cost? A cluster of interlocking constraints explains it: acute perishability set against the near-total absence of cold storage and pack-house infrastructure in the hills; the high cost and time that difficult mountain terrain and poor last-mile connectivity impose on transport; sharp information asymmetry that leaves growers reliant on contractors for both price signals and working capital; and small, scattered holdings that raise the transaction cost of collective marketing (Negi and Anand, 2015; Gardas et al., 2018; Shukla and Jharkharia, 2013). Together these produce high post-harvest losses, wide price spreads and an inequitable division of value — the problem this study sets out to understand and address.</w:t>
      </w:r>
    </w:p>
    <w:p>
      <w:r>
        <w:rPr>
          <w:b/>
          <w:i/>
          <w:sz w:val="24"/>
        </w:rPr>
        <w:t>1.5  Policy Context: Horticulture Missions and the “Malta Mission”</w:t>
      </w:r>
    </w:p>
    <w:p>
      <w:pPr>
        <w:spacing w:after="200" w:line="360" w:lineRule="auto"/>
        <w:ind w:firstLine="576"/>
        <w:jc w:val="both"/>
      </w:pPr>
      <w:r>
        <w:t>The distribution problems above have played out against a policy backdrop that has grown steadily more active, at both the national and State levels. Nationally, the Mission for Integrated Development of Horticulture (MIDH), along with schemes such as the National Horticulture Mission, the Agriculture Infrastructure Fund and the programme to form and promote ten thousand FPOs, has worked to strengthen production, post-harvest management and market linkages for high-value crops (MoAandFW, 2023; NITI Aayog, 2023). These form the broad architecture within which State horticultural strategy takes shape, and they explicitly treat perishable-crop supply chains and producer aggregation as priorities for public investment (MoAandFW, 2023; FAO, 2021).</w:t>
      </w:r>
    </w:p>
    <w:p>
      <w:pPr>
        <w:spacing w:after="200" w:line="360" w:lineRule="auto"/>
        <w:ind w:firstLine="576"/>
        <w:jc w:val="both"/>
      </w:pPr>
      <w:r>
        <w:t>At the State level, Uttarakhand has taken a mission-mode approach to its flagship horticultural crops — most visibly through Mission Apple and Mission Kiwi in the mountainous districts — and has since signalled that it will extend the model to other commodities, including a proposed dragon-fruit mission in the Terai and a growing push for a dedicated Malta mission to give the hill sweet orange comparable policy standing (Times of India, 2025; The New Indian Express, 2023). One intervention matters especially here: the State’s move to extend price support to indigenous citrus. For the 2024–25 season the government set a minimum support price of ₹10 per kilogram for C-grade Malta and ₹7 per kilogram for hill lemon (galgal), procuring the fruit through designated agencies for processing so growers would not be forced into distress sale (Government of Uttarakhand, 2024; Times of India, 2025). Hill horticulture now carries real political weight, and the Chief Minister has repeatedly framed such measures as central to rural prosperity. As the regional press reported,</w:t>
      </w:r>
    </w:p>
    <w:p>
      <w:pPr>
        <w:spacing w:line="360" w:lineRule="auto"/>
        <w:ind w:left="720"/>
        <w:jc w:val="both"/>
      </w:pPr>
      <w:r>
        <w:rPr>
          <w:i/>
        </w:rPr>
        <w:t>“Horticulture is the backbone of the hill economy, and our government is committed to ensuring that farmers get a fair price for local fruits like Malta so that no one is forced to migrate from the villages,” the Chief Minister is reported to have observed while announcing support measures for citrus growers (The New Indian Express, 2023).</w:t>
      </w:r>
    </w:p>
    <w:p>
      <w:pPr>
        <w:spacing w:before="120"/>
      </w:pPr>
      <w:r>
        <w:rPr>
          <w:b/>
          <w:i/>
        </w:rPr>
        <w:t xml:space="preserve">Table 1.2. </w:t>
      </w:r>
      <w:r>
        <w:rPr>
          <w:i/>
        </w:rPr>
        <w:t>Comparative Summary of Key Horticulture Missions in Uttarakhand (Apple, Kiwi and the Proposed Malta Mission).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i/>
                <w:sz w:val="20"/>
              </w:rPr>
              <w:t>Feature</w:t>
            </w:r>
          </w:p>
        </w:tc>
        <w:tc>
          <w:tcPr>
            <w:tcW w:type="dxa" w:w="2160"/>
          </w:tcPr>
          <w:p>
            <w:r>
              <w:rPr>
                <w:b/>
                <w:i/>
                <w:sz w:val="20"/>
              </w:rPr>
              <w:t>Mission Apple</w:t>
            </w:r>
          </w:p>
        </w:tc>
        <w:tc>
          <w:tcPr>
            <w:tcW w:type="dxa" w:w="2160"/>
          </w:tcPr>
          <w:p>
            <w:r>
              <w:rPr>
                <w:b/>
                <w:i/>
                <w:sz w:val="20"/>
              </w:rPr>
              <w:t>Mission Kiwi</w:t>
            </w:r>
          </w:p>
        </w:tc>
        <w:tc>
          <w:tcPr>
            <w:tcW w:type="dxa" w:w="2160"/>
          </w:tcPr>
          <w:p>
            <w:r>
              <w:rPr>
                <w:b/>
                <w:i/>
                <w:sz w:val="20"/>
              </w:rPr>
              <w:t>Proposed Malta Mission</w:t>
            </w:r>
          </w:p>
        </w:tc>
      </w:tr>
      <w:tr>
        <w:tc>
          <w:tcPr>
            <w:tcW w:type="dxa" w:w="2160"/>
          </w:tcPr>
          <w:p>
            <w:r>
              <w:rPr>
                <w:sz w:val="20"/>
              </w:rPr>
              <w:t>Primary agro-zone</w:t>
            </w:r>
          </w:p>
        </w:tc>
        <w:tc>
          <w:tcPr>
            <w:tcW w:type="dxa" w:w="2160"/>
          </w:tcPr>
          <w:p>
            <w:r>
              <w:rPr>
                <w:sz w:val="20"/>
              </w:rPr>
              <w:t>High hills (temperate)</w:t>
            </w:r>
          </w:p>
        </w:tc>
        <w:tc>
          <w:tcPr>
            <w:tcW w:type="dxa" w:w="2160"/>
          </w:tcPr>
          <w:p>
            <w:r>
              <w:rPr>
                <w:sz w:val="20"/>
              </w:rPr>
              <w:t>Mid–high hills</w:t>
            </w:r>
          </w:p>
        </w:tc>
        <w:tc>
          <w:tcPr>
            <w:tcW w:type="dxa" w:w="2160"/>
          </w:tcPr>
          <w:p>
            <w:r>
              <w:rPr>
                <w:sz w:val="20"/>
              </w:rPr>
              <w:t>Mid hills (sub-tropical)</w:t>
            </w:r>
          </w:p>
        </w:tc>
      </w:tr>
      <w:tr>
        <w:tc>
          <w:tcPr>
            <w:tcW w:type="dxa" w:w="2160"/>
          </w:tcPr>
          <w:p>
            <w:r>
              <w:rPr>
                <w:sz w:val="20"/>
              </w:rPr>
              <w:t>Core objective</w:t>
            </w:r>
          </w:p>
        </w:tc>
        <w:tc>
          <w:tcPr>
            <w:tcW w:type="dxa" w:w="2160"/>
          </w:tcPr>
          <w:p>
            <w:r>
              <w:rPr>
                <w:sz w:val="20"/>
              </w:rPr>
              <w:t>High-density orchards, yield upgrade</w:t>
            </w:r>
          </w:p>
        </w:tc>
        <w:tc>
          <w:tcPr>
            <w:tcW w:type="dxa" w:w="2160"/>
          </w:tcPr>
          <w:p>
            <w:r>
              <w:rPr>
                <w:sz w:val="20"/>
              </w:rPr>
              <w:t>Area expansion, import substitution</w:t>
            </w:r>
          </w:p>
        </w:tc>
        <w:tc>
          <w:tcPr>
            <w:tcW w:type="dxa" w:w="2160"/>
          </w:tcPr>
          <w:p>
            <w:r>
              <w:rPr>
                <w:sz w:val="20"/>
              </w:rPr>
              <w:t>Value realisation, market linkage</w:t>
            </w:r>
          </w:p>
        </w:tc>
      </w:tr>
      <w:tr>
        <w:tc>
          <w:tcPr>
            <w:tcW w:type="dxa" w:w="2160"/>
          </w:tcPr>
          <w:p>
            <w:r>
              <w:rPr>
                <w:sz w:val="20"/>
              </w:rPr>
              <w:t>Key instrument</w:t>
            </w:r>
          </w:p>
        </w:tc>
        <w:tc>
          <w:tcPr>
            <w:tcW w:type="dxa" w:w="2160"/>
          </w:tcPr>
          <w:p>
            <w:r>
              <w:rPr>
                <w:sz w:val="20"/>
              </w:rPr>
              <w:t>Rootstock and clusters, subsidy</w:t>
            </w:r>
          </w:p>
        </w:tc>
        <w:tc>
          <w:tcPr>
            <w:tcW w:type="dxa" w:w="2160"/>
          </w:tcPr>
          <w:p>
            <w:r>
              <w:rPr>
                <w:sz w:val="20"/>
              </w:rPr>
              <w:t>Planting subsidy, saplings</w:t>
            </w:r>
          </w:p>
        </w:tc>
        <w:tc>
          <w:tcPr>
            <w:tcW w:type="dxa" w:w="2160"/>
          </w:tcPr>
          <w:p>
            <w:r>
              <w:rPr>
                <w:sz w:val="20"/>
              </w:rPr>
              <w:t>MSP/procurement, FPO linkage, branding</w:t>
            </w:r>
          </w:p>
        </w:tc>
      </w:tr>
      <w:tr>
        <w:tc>
          <w:tcPr>
            <w:tcW w:type="dxa" w:w="2160"/>
          </w:tcPr>
          <w:p>
            <w:r>
              <w:rPr>
                <w:sz w:val="20"/>
              </w:rPr>
              <w:t>Market orientation</w:t>
            </w:r>
          </w:p>
        </w:tc>
        <w:tc>
          <w:tcPr>
            <w:tcW w:type="dxa" w:w="2160"/>
          </w:tcPr>
          <w:p>
            <w:r>
              <w:rPr>
                <w:sz w:val="20"/>
              </w:rPr>
              <w:t>Domestic and premium retail</w:t>
            </w:r>
          </w:p>
        </w:tc>
        <w:tc>
          <w:tcPr>
            <w:tcW w:type="dxa" w:w="2160"/>
          </w:tcPr>
          <w:p>
            <w:r>
              <w:rPr>
                <w:sz w:val="20"/>
              </w:rPr>
              <w:t>Domestic, high-value</w:t>
            </w:r>
          </w:p>
        </w:tc>
        <w:tc>
          <w:tcPr>
            <w:tcW w:type="dxa" w:w="2160"/>
          </w:tcPr>
          <w:p>
            <w:r>
              <w:rPr>
                <w:sz w:val="20"/>
              </w:rPr>
              <w:t>Processing, festivals, institutional</w:t>
            </w:r>
          </w:p>
        </w:tc>
      </w:tr>
      <w:tr>
        <w:tc>
          <w:tcPr>
            <w:tcW w:type="dxa" w:w="2160"/>
          </w:tcPr>
          <w:p>
            <w:r>
              <w:rPr>
                <w:sz w:val="20"/>
              </w:rPr>
              <w:t>Status</w:t>
            </w:r>
          </w:p>
        </w:tc>
        <w:tc>
          <w:tcPr>
            <w:tcW w:type="dxa" w:w="2160"/>
          </w:tcPr>
          <w:p>
            <w:r>
              <w:rPr>
                <w:sz w:val="20"/>
              </w:rPr>
              <w:t>Operational</w:t>
            </w:r>
          </w:p>
        </w:tc>
        <w:tc>
          <w:tcPr>
            <w:tcW w:type="dxa" w:w="2160"/>
          </w:tcPr>
          <w:p>
            <w:r>
              <w:rPr>
                <w:sz w:val="20"/>
              </w:rPr>
              <w:t>Operational</w:t>
            </w:r>
          </w:p>
        </w:tc>
        <w:tc>
          <w:tcPr>
            <w:tcW w:type="dxa" w:w="2160"/>
          </w:tcPr>
          <w:p>
            <w:r>
              <w:rPr>
                <w:sz w:val="20"/>
              </w:rPr>
              <w:t>Emerging / advocated</w:t>
            </w:r>
          </w:p>
        </w:tc>
      </w:tr>
    </w:tbl>
    <w:p>
      <w:r>
        <w:rPr>
          <w:i/>
          <w:sz w:val="20"/>
        </w:rPr>
        <w:t xml:space="preserve">Source: </w:t>
      </w:r>
      <w:r>
        <w:rPr>
          <w:i/>
          <w:sz w:val="20"/>
        </w:rPr>
        <w:t>Compiled by author from Government of Uttarakhand (2023, 2024); Times of India (2025); The New Indian Express (2023); and NITI Aayog (2023).</w:t>
      </w:r>
    </w:p>
    <w:p>
      <w:pPr>
        <w:spacing w:after="200" w:line="360" w:lineRule="auto"/>
        <w:ind w:firstLine="576"/>
        <w:jc w:val="both"/>
      </w:pPr>
      <w:r>
        <w:t>Table 1.2 shows the difference plainly. Mission Apple and Mission Kiwi have aimed mainly at expanding production and upgrading quality, whereas Malta’s distinctive challenge lies less in production than in value realisation and market linkage — exactly the terrain of distribution channel optimisation (Government of Uttarakhand, 2024; Times of India, 2025). Price support and procurement are welcome, but they treat the symptom of distress sale rather than the underlying inefficiency of the channels, and their fiscal sustainability rests on parallel investment in aggregation, cold storage, transport and processing (Gardas et al., 2018; Rais and Sheoran, 2015). So the policy environment creates both an opening and an obligation: rigorous, evidence-based analysis of how Malta’s channels can be made more efficient and more equitable — the analysis this thesis takes up.</w:t>
      </w:r>
    </w:p>
    <w:p>
      <w:r>
        <w:rPr>
          <w:b/>
          <w:i/>
          <w:sz w:val="24"/>
        </w:rPr>
        <w:t>1.6  Problem Statement</w:t>
      </w:r>
    </w:p>
    <w:p>
      <w:pPr>
        <w:spacing w:after="200" w:line="360" w:lineRule="auto"/>
        <w:ind w:firstLine="576"/>
        <w:jc w:val="both"/>
      </w:pPr>
      <w:r>
        <w:t>Taken together, the discussion so far exposes a deep and persistent mismatch between what Malta can produce in Garhwal and what its growers actually earn. The area under the crop has expanded and the State has begun to extend price support, yet intermediaries operating within long, contractor- and mandi-dominated channels still capture a disproportionate share of the benefits, leaving primary producers with an unfairly small cut of the consumer price (Negi and Anand, 2015; Goswami and Sharma, 2020; Government of Uttarakhand, 2024). Several operational inefficiencies specific to the hill context drive this outcome: high post-harvest losses from perishability and the near-absence of cold storage and pack-house facilities; complex, costly transport across difficult mountainous terrain; the difficulty of fixing optimal order and dispatch quantities in a short, glut-prone seasonal market; quality deterioration during distribution and storage; and pervasive information asymmetry that weakens the grower’s hand at the bargaining table (Shukla and Jharkharia, 2013; Gardas et al., 2018; Balaji and Arshinder, 2016). For all the welfare and policy weight the crop carries, no comprehensive, region-specific analysis yet exists that both identifies the factors governing the efficiency of Malta’s distribution channels and turns that diagnosis into an optimised, cost- and quality-sensitive distribution model built for Uttarakhand’s particular conditions (Kumar et al., 2019; Kazimierczak and Zgiep, 2013). Seen through the Resource-Based View — which treats efficient channel relationships and logistics capabilities as strategic resources capable of yielding sustained competitive advantage (Barney, 1991; Wernerfelt, 1984; Chatterjee et al., 2023) — the problem this study confronts is how to reconfigure and optimise Malta’s distribution channels so as to cut losses, contain cost and time, protect quality, and enlarge the producer’s share of value in a way that lasts.</w:t>
      </w:r>
    </w:p>
    <w:p>
      <w:r>
        <w:rPr>
          <w:b/>
          <w:i/>
          <w:sz w:val="24"/>
        </w:rPr>
        <w:t>1.7  Research Questions</w:t>
      </w:r>
    </w:p>
    <w:p>
      <w:pPr>
        <w:spacing w:after="200" w:line="360" w:lineRule="auto"/>
        <w:jc w:val="both"/>
      </w:pPr>
      <w:r>
        <w:t>Straight from the problem statement, the study is guided by the following research questions:</w:t>
      </w:r>
    </w:p>
    <w:p>
      <w:pPr>
        <w:pStyle w:val="ListNumber"/>
        <w:spacing w:line="360" w:lineRule="auto"/>
      </w:pPr>
      <w:r>
        <w:t>What are the key factors that influence the efficiency of the distribution channels operating in the Malta supply chain of the Garhwal region?</w:t>
      </w:r>
    </w:p>
    <w:p>
      <w:pPr>
        <w:pStyle w:val="ListNumber"/>
        <w:spacing w:line="360" w:lineRule="auto"/>
      </w:pPr>
      <w:r>
        <w:t>How do the existing marketing strategies and channel structures perform in terms of producer’s share, price spread and marketing efficiency, and where do the principal opportunities for improvement lie?</w:t>
      </w:r>
    </w:p>
    <w:p>
      <w:pPr>
        <w:pStyle w:val="ListNumber"/>
        <w:spacing w:line="360" w:lineRule="auto"/>
      </w:pPr>
      <w:r>
        <w:t>What are the major challenges and constraints faced by farmers and other stakeholders in the marketing of Malta, and how might these be mitigated?</w:t>
      </w:r>
    </w:p>
    <w:p>
      <w:pPr>
        <w:pStyle w:val="ListNumber"/>
        <w:spacing w:line="360" w:lineRule="auto"/>
      </w:pPr>
      <w:r>
        <w:t>How can an optimised transportation model be designed to facilitate the efficient movement of Malta from farmers to consumers while minimising cost and time?</w:t>
      </w:r>
    </w:p>
    <w:p>
      <w:pPr>
        <w:pStyle w:val="ListNumber"/>
        <w:spacing w:line="360" w:lineRule="auto"/>
      </w:pPr>
      <w:r>
        <w:t>How can fuzzy techniques be applied to preserve and enhance the quality of Malta during distribution and storage under conditions of uncertainty?</w:t>
      </w:r>
    </w:p>
    <w:p>
      <w:r>
        <w:rPr>
          <w:b/>
          <w:i/>
          <w:sz w:val="24"/>
        </w:rPr>
        <w:t>1.8  Objectives of the Study</w:t>
      </w:r>
    </w:p>
    <w:p>
      <w:pPr>
        <w:spacing w:after="200" w:line="360" w:lineRule="auto"/>
        <w:jc w:val="both"/>
      </w:pPr>
      <w:r>
        <w:t>The overarching aim of this study is to examine the factors impacting the optimisation of Malta’s distribution channels and to develop a comprehensive, region-specific framework that enhances the efficiency, sustainability and quality of Malta distribution in the Garhwal region of Uttarakhand. In keeping with the approved research proposal, the specific objectives of the study are as follows:</w:t>
      </w:r>
    </w:p>
    <w:p>
      <w:pPr>
        <w:pStyle w:val="ListNumber"/>
        <w:spacing w:line="360" w:lineRule="auto"/>
      </w:pPr>
      <w:r>
        <w:t>To identify and analyze the key factors influencing the efficiency of distribution channels in the Malta supply chain.</w:t>
      </w:r>
    </w:p>
    <w:p>
      <w:pPr>
        <w:pStyle w:val="ListNumber"/>
        <w:spacing w:line="360" w:lineRule="auto"/>
      </w:pPr>
      <w:r>
        <w:t>To evaluate current marketing strategies for Malta in Uttarakhand and identify opportunities for improvement, considering regional consumer preferences and market dynamics.</w:t>
      </w:r>
    </w:p>
    <w:p>
      <w:pPr>
        <w:pStyle w:val="ListNumber"/>
        <w:spacing w:line="360" w:lineRule="auto"/>
      </w:pPr>
      <w:r>
        <w:t>To investigate the challenges encountered by farmers and stakeholders in the marketing process and propose effective solutions to mitigate these constraints.</w:t>
      </w:r>
    </w:p>
    <w:p>
      <w:pPr>
        <w:pStyle w:val="ListNumber"/>
        <w:spacing w:line="360" w:lineRule="auto"/>
      </w:pPr>
      <w:r>
        <w:t>To design a transportation model to facilitate the efficient movement of Malta from farmers to customers.</w:t>
      </w:r>
    </w:p>
    <w:p>
      <w:pPr>
        <w:pStyle w:val="ListNumber"/>
        <w:spacing w:line="360" w:lineRule="auto"/>
      </w:pPr>
      <w:r>
        <w:t>To apply fuzzy multi-criteria techniques — specifically Fuzzy AHP and Fuzzy ELECTRE I — to weight the cost, time, and quality criteria and to prioritise the channel stages and interventions at which quality (alongside cost and time) is most at risk during distribution and storage, thereby directing quality-preserving effort to where it yields the greatest benefit.</w:t>
      </w:r>
    </w:p>
    <w:p>
      <w:pPr>
        <w:spacing w:after="200" w:line="360" w:lineRule="auto"/>
        <w:ind w:firstLine="576"/>
        <w:jc w:val="both"/>
      </w:pPr>
      <w:r>
        <w:t>The five objectives above are reproduced from the approved research proposal. In operationalising the study, they were translated into the empirically tractable research objectives RO1–RO5 set out in Chapter 3 (Section 3.7), and they line up as follows: proposal objectives 1 and 3 map to RO1–RO3 (channel structure, key factors and stakeholder challenges); objective 4 (the transportation model) is delivered in Section 6.11; and objectives 2 and 5 are operationalised through the Fuzzy AHP weighting (RO4) and the Fuzzy ELECTRE I prioritisation (RO5). The ‘regional consumer preferences’ part of objective 2 is handled only indirectly — through the perceptions of channel stakeholders rather than a dedicated consumer survey — and the absence of primary consumer-side data is noted as a limitation in Section 8.5. Objectives 2–5 are answered against this operational framework in Section 6.13. The two objective statements are best read as one framework expressed at two levels of specification, not as competing sets.</w:t>
      </w:r>
    </w:p>
    <w:p>
      <w:r>
        <w:rPr>
          <w:b/>
          <w:i/>
          <w:sz w:val="24"/>
        </w:rPr>
        <w:t>1.9  Scope of the Study</w:t>
      </w:r>
    </w:p>
    <w:p>
      <w:pPr>
        <w:spacing w:after="200" w:line="360" w:lineRule="auto"/>
        <w:ind w:firstLine="576"/>
        <w:jc w:val="both"/>
      </w:pPr>
      <w:r>
        <w:t>The study’s scope is bounded along four dimensions. Geographically, it stays within the Garhwal division of Uttarakhand, focusing on the four principal Malta-growing districts — Pauri Garhwal, Tehri Garhwal, Chamoli and Rudraprayag — which together form the core of the hill sweet-orange belt (Directorate of Horticulture and Food Processing, Uttarakhand, 2023; Kumar and Bisht, 2020). By commodity, it concentrates on Malta (Citrus sinensis), drawing selective comparisons with close relatives such as galgal where these throw light on the marketing question (Ladaniya, 2008). By stakeholder, it spans the full length of the channel — growers, pre-harvest contractors, village aggregators, commission agents, wholesalers, retailers, FPOs and cooperatives, processors, and where relevant institutional and government buyers — so that value creation and distribution can be traced from farm gate to consumer (Stern et al., 1996; Negi and Anand, 2015). Temporally, the analysis centres on the recent period for which primary and secondary data are available, setting current channel performance against the longer arc of horticultural and policy change in the State (Government of Uttarakhand, 2024). The study is therefore confined to Malta’s domestic distribution within and just beyond Uttarakhand; it does not take up export marketing or a full agronomic account of production practices, both of which fall outside its central concern with channel optimisation.</w:t>
      </w:r>
    </w:p>
    <w:p>
      <w:r>
        <w:rPr>
          <w:b/>
          <w:i/>
          <w:sz w:val="24"/>
        </w:rPr>
        <w:t>1.10  Significance of the Study</w:t>
      </w:r>
    </w:p>
    <w:p>
      <w:pPr>
        <w:spacing w:after="200" w:line="360" w:lineRule="auto"/>
        <w:ind w:firstLine="576"/>
        <w:jc w:val="both"/>
      </w:pPr>
      <w:r>
        <w:t>The significance of this study is theoretical, methodological, practical and policy-oriented at once. On the theory side, it carries the Resource-Based View out of its usual home in strategic management and into the relatively under-explored domain of hill fruit distribution channels, treating efficient logistics, collective institutions and channel relationships as strategic resources that give smallholder supply chains a durable advantage (Barney, 1991; Wernerfelt, 1984; Chatterjee et al., 2023; Kazimierczak and Zgiep, 2013). In doing so it answers repeated calls to apply the RBV empirically to agri-food channel behaviour in developing-country settings (Chatterjee et al., 2023; Firat and Kumcu, 1984). Methodologically, it joins marketing-efficiency analysis to optimisation techniques — transportation modelling and the use of fuzzy logic for quality preservation under uncertainty — and so bridges the often separate literatures of agricultural marketing and operations research (Aramyan, Oude Lansink, van der Vorst, and van Kooten, 2007; Shukla and Jharkharia, 2013).</w:t>
      </w:r>
    </w:p>
    <w:p>
      <w:pPr>
        <w:spacing w:after="200" w:line="360" w:lineRule="auto"/>
        <w:ind w:firstLine="576"/>
        <w:jc w:val="both"/>
      </w:pPr>
      <w:r>
        <w:t>Practically, the findings are meant to be of direct use to Malta growers, FPOs, cooperatives and other channel participants who want to cut losses, contain cost and hold on to a larger share of value, and to development agencies working on hill livelihoods (Rais and Sheoran, 2015; Goswami and Sharma, 2020). On policy, the timing is fortunate: as the Government of Uttarakhand extends price support and weighs a dedicated Malta mission, evidence on which channel configurations and infrastructural investments deliver the biggest gains in efficiency and equity can feed directly into the design of those interventions (Government of Uttarakhand, 2024; Times of India, 2025; NITI Aayog, 2023). By tying the dignity and prosperity of hill farmers to the concrete mechanics of distribution, the study also speaks to the wider development goal of stemming distress out-migration from the Garhwal hills (Guha, 2000; NITI Aayog, 2023).</w:t>
      </w:r>
    </w:p>
    <w:p>
      <w:r>
        <w:rPr>
          <w:b/>
          <w:i/>
          <w:sz w:val="24"/>
        </w:rPr>
        <w:t>1.11  Organisation of the Thesis</w:t>
      </w:r>
    </w:p>
    <w:p>
      <w:pPr>
        <w:spacing w:after="200" w:line="360" w:lineRule="auto"/>
        <w:ind w:firstLine="576"/>
        <w:jc w:val="both"/>
      </w:pPr>
      <w:r>
        <w:t>The thesis runs to eight chapters that move, in order, from problem to prescription. Chapter 1 introduces the study — placing Malta (Citrus sinensis) within the horticultural economy of the Garhwal region, laying out the distribution-channel problem, and setting the research questions, objectives, scope and significance. Chapter 2 reviews the literature on agricultural marketing, distribution channels, marketing efficiency, post-harvest management and supply-chain optimisation, and builds the theoretical lens of the Resource-Based View. Chapter 3 gathers that review into explicit research gaps, a formal problem statement, and the mapping of research questions to objectives. Chapter 4 sets out the research methodology: the research design, the study area, the sampling of 1,300 stakeholders, questionnaire development, and the integrated Fuzzy AHP–Fuzzy ELECTRE I framework with its rationale. Chapter 5 reports the data analysis — respondent profile, reliability diagnostics, and the step-by-step derivation of criterion weights and stage rankings. Chapter 6 presents the results and discussion: it interprets the criterion priorities and channel-stage criticality, answers each research objective, and develops two transportation optimisation models — a solved single-echelon model and a combined multi-echelon model under uncertainty. Chapter 7 discusses the findings in depth, tying them to theory, to the lived realities of hill agriculture, and to the policy context. Chapter 8 concludes: it sets out the study’s empirical, theoretical and methodological contributions, offers policy and managerial recommendations, acknowledges limitations, and points to directions for future research. Appendices with the questionnaire and a sample interview transcript, followed by the consolidated references, close the volume.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