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3AC80658" w14:textId="6C25D579" w:rsidR="00E86FED" w:rsidRPr="009A515A" w:rsidRDefault="00E86FED" w:rsidP="00382670">
      <w:pPr>
        <w:spacing w:line="360" w:lineRule="auto"/>
        <w:jc w:val="both"/>
      </w:pPr>
      <w:r w:rsidRPr="009A515A">
        <w:t>As brands increasingly establish a presence in immersive digital environments, understanding what sustains brand performance in the metaverse remains an under-theorised question. Drawing on Flow Theory and Self-Determination Theory (SDT), this study develops and empirically examines a configurational model linking user engagement (UE) and user experience (UX) to brand satisfaction (BSAT) and brand success (BSUC) in metaverse ecosystems. Using a mixed-method design combining partial least squares structural equation modelling (PLS-SEM) for measurement validation with fuzzy-set qualitative comparative analysis (fsQCA) for causal complexity, we analyse survey data from 312 active metaverse users in India, a strategically important yet under-represented emerging market. Neither engagement nor experience alone is sufficient for brand success; rather, specific configurations particularly the co-presence of brand satisfaction with either experience or engagement are associated with favourable outcomes. The fully triadic configuration (BSAT × UX × UE) yields the highest solution consistency, evidencing equifinality in metaverse branding. Theoretically, the study extends Flow Theory and SDT into co-creative, technology-mediated brand ecosystems. Managerially, its configurational logic offers strategists actionable guidance for designing identity-affirming, community-embedded virtual experiences that sustain engagement and competitive differentiation.</w:t>
      </w:r>
      <w:proofErr w:type="spellStart"/>
      <w:r w:rsidRPr="009A515A"/>
      <w:proofErr w:type="spellEnd"/>
      <w:r w:rsidRPr="009A515A"/>
      <w:r w:rsidR="009B694E"/>
      <w:r w:rsidRPr="009A515A"/>
      <w:r w:rsidR="009B694E"/>
      <w:r w:rsidRPr="009A515A"/>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w:t>
      </w:r>
      <w:r w:rsidRPr="009A515A">
        <w:rPr>
          <w:color w:val="000000" w:themeColor="text1"/>
        </w:rPr>
        <w:t xml:space="preserve"> </w:t>
      </w:r>
      <w:r w:rsidR="00931A14" w:rsidRPr="009A515A">
        <w:rPr>
          <w:color w:val="000000" w:themeColor="text1"/>
        </w:rPr>
        <w:t xml:space="preserve"> </w:t>
      </w:r>
      <w:r w:rsidR="00931A14" w:rsidRPr="009A515A">
        <w:rPr>
          <w:i/>
          <w:iCs/>
          <w:color w:val="000000" w:themeColor="text1"/>
        </w:rPr>
        <w:t xml:space="preserve">Metaverse; User engagement ;User experience ;Brand satisfaction ;Brand success; </w:t>
      </w:r>
      <w:proofErr w:type="spellStart"/>
      <w:r w:rsidR="00931A14" w:rsidRPr="009A515A">
        <w:rPr>
          <w:i/>
          <w:iCs/>
          <w:color w:val="000000" w:themeColor="text1"/>
        </w:rPr>
        <w:t>fsQCA</w:t>
      </w:r>
      <w:proofErr w:type="spellEnd"/>
    </w:p>
    <w:p w14:paraId="1D525ECE" w14:textId="77777777" w:rsidR="008779B8" w:rsidRPr="009A515A" w:rsidRDefault="008779B8" w:rsidP="00B64CB0">
      <w:pPr>
        <w:spacing w:line="360" w:lineRule="auto"/>
        <w:jc w:val="both"/>
        <w:rPr>
          <w:i/>
          <w:iCs/>
          <w:color w:val="000000" w:themeColor="text1"/>
        </w:rPr>
      </w:pPr>
    </w:p>
    <w:p w14:paraId="7C0BD455" w14:textId="77777777" w:rsidR="00522759" w:rsidRPr="009A515A" w:rsidRDefault="00522759" w:rsidP="00B64CB0">
      <w:pPr>
        <w:spacing w:line="360" w:lineRule="auto"/>
        <w:jc w:val="both"/>
        <w:rPr>
          <w:i/>
          <w:iCs/>
          <w:color w:val="000000" w:themeColor="text1"/>
        </w:rPr>
      </w:pPr>
    </w:p>
    <w:p w14:paraId="6CDDB65D" w14:textId="77777777" w:rsidR="00522759" w:rsidRPr="009A515A" w:rsidRDefault="00522759" w:rsidP="00B64CB0">
      <w:pPr>
        <w:spacing w:line="360" w:lineRule="auto"/>
        <w:jc w:val="both"/>
        <w:rPr>
          <w:i/>
          <w:iCs/>
          <w:color w:val="000000" w:themeColor="text1"/>
        </w:rPr>
      </w:pPr>
    </w:p>
    <w:p w14:paraId="10AA06CC" w14:textId="77777777" w:rsidR="00522759" w:rsidRPr="009A515A" w:rsidRDefault="00522759" w:rsidP="00B64CB0">
      <w:pPr>
        <w:spacing w:line="360" w:lineRule="auto"/>
        <w:jc w:val="both"/>
        <w:rPr>
          <w:i/>
          <w:iCs/>
          <w:color w:val="000000" w:themeColor="text1"/>
        </w:rPr>
      </w:pPr>
    </w:p>
    <w:p w14:paraId="65D38112" w14:textId="77777777" w:rsidR="00B64CB0" w:rsidRPr="009A515A" w:rsidRDefault="00B64CB0" w:rsidP="00B64CB0">
      <w:pPr>
        <w:spacing w:line="360" w:lineRule="auto"/>
        <w:jc w:val="both"/>
        <w:rPr>
          <w:i/>
          <w:iCs/>
          <w:color w:val="000000" w:themeColor="text1"/>
        </w:rPr>
      </w:pPr>
    </w:p>
    <w:p w14:paraId="246ADC47" w14:textId="77777777" w:rsidR="006514C8" w:rsidRDefault="006514C8" w:rsidP="00B64CB0">
      <w:pPr>
        <w:spacing w:line="360" w:lineRule="auto"/>
        <w:jc w:val="both"/>
        <w:rPr>
          <w:i/>
          <w:iCs/>
          <w:color w:val="000000" w:themeColor="text1"/>
        </w:rPr>
      </w:pPr>
    </w:p>
    <w:p w14:paraId="2AFA5878" w14:textId="77777777" w:rsidR="00495518" w:rsidRPr="009A515A" w:rsidRDefault="00495518" w:rsidP="00B64CB0">
      <w:pPr>
        <w:spacing w:line="360" w:lineRule="auto"/>
        <w:jc w:val="both"/>
        <w:rPr>
          <w:i/>
          <w:iCs/>
          <w:color w:val="000000" w:themeColor="text1"/>
        </w:rPr>
      </w:pPr>
    </w:p>
    <w:p w14:paraId="32915AA6" w14:textId="77777777" w:rsidR="00B3103D" w:rsidRPr="009A515A" w:rsidRDefault="00B3103D" w:rsidP="00B64CB0">
      <w:pPr>
        <w:spacing w:line="360" w:lineRule="auto"/>
        <w:jc w:val="both"/>
        <w:rPr>
          <w:i/>
          <w:iCs/>
          <w:color w:val="000000" w:themeColor="text1"/>
        </w:rPr>
      </w:pPr>
    </w:p>
    <w:p w14:paraId="0D4F5764" w14:textId="77777777" w:rsidR="0099454D" w:rsidRPr="009A515A" w:rsidRDefault="0099454D" w:rsidP="00B64CB0">
      <w:pPr>
        <w:spacing w:line="360" w:lineRule="auto"/>
        <w:jc w:val="both"/>
        <w:rPr>
          <w:i/>
          <w:iCs/>
          <w:color w:val="000000" w:themeColor="text1"/>
        </w:rPr>
      </w:pPr>
    </w:p>
    <w:p w14:paraId="37D85CF0" w14:textId="77777777" w:rsidR="00666412" w:rsidRPr="009A515A" w:rsidRDefault="00362481" w:rsidP="00666412">
      <w:pPr>
        <w:pStyle w:val="ListParagraph"/>
        <w:numPr>
          <w:ilvl w:val="0"/>
          <w:numId w:val="6"/>
        </w:numPr>
        <w:spacing w:after="0" w:line="360" w:lineRule="auto"/>
        <w:ind w:left="284" w:hanging="284"/>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Introduction:</w:t>
      </w:r>
      <w:r w:rsidR="00153E38" w:rsidRPr="009A515A">
        <w:rPr>
          <w:rFonts w:ascii="Times New Roman" w:hAnsi="Times New Roman" w:cs="Times New Roman"/>
          <w:b/>
          <w:bCs/>
          <w:color w:val="000000" w:themeColor="text1"/>
          <w:sz w:val="24"/>
          <w:szCs w:val="24"/>
        </w:rPr>
        <w:t xml:space="preserve"> </w:t>
      </w:r>
      <w:bookmarkEnd w:id="0"/>
    </w:p>
    <w:p w14:paraId="02723337" w14:textId="77777777" w:rsidR="00CB1B16" w:rsidRPr="009A515A" w:rsidRDefault="00666412" w:rsidP="00666412">
      <w:pPr>
        <w:spacing w:line="360" w:lineRule="auto"/>
        <w:jc w:val="both"/>
        <w:rPr>
          <w:color w:val="000000" w:themeColor="text1"/>
        </w:rPr>
      </w:pPr>
      <w:r w:rsidRPr="009A515A">
        <w:t>The metaverse is an immersive digital space, built on augmented and virtual reality (AR/VR), in which users interact with one another and with virtual objects, integrating digital information with the physical world (Arya et al., 2024a; Zallio and Clarkson, 2022). It is reshaping how brands engage consumers, prompting a shift from traditional marketing and enabling digital experiences that deliver measurable value (Arya et al., 2024a; Hennig-Thurau et al., 2023; Anderson et al., 2024).</w:t>
      </w:r>
      <w:proofErr w:type="spellStart"/>
      <w:r w:rsidRPr="009A515A"/>
      <w:proofErr w:type="spellEnd"/>
      <w:r w:rsidRPr="009A515A"/>
    </w:p>
    <w:p w14:paraId="55C572B2" w14:textId="46DF7292" w:rsidR="006B5016" w:rsidRPr="009A515A" w:rsidRDefault="00666412" w:rsidP="00495518">
      <w:pPr>
        <w:spacing w:line="360" w:lineRule="auto"/>
        <w:ind w:firstLine="426"/>
        <w:jc w:val="both"/>
        <w:rPr>
          <w:color w:val="000000" w:themeColor="text1"/>
        </w:rPr>
      </w:pPr>
      <w:r w:rsidRPr="009A515A">
        <w:t>Unlike conventional digital channels, the metaverse enables multisensory brand experiences that blur physical and digital boundaries and link individual engagement to wider social systems, requiring adaptive strategies to remain competitive (Kopalle et al., 2024; Marvi et al., 2024; Bilgihan et al., 2024; Hwang and Seo, 2025). Yet academic guidance on integrating it into business strategy remains limited (Eggenschwiler et al., 2024). Nike’s Nikeland on Roblox, for example, engages users through interactive mini-games and rewards, showing how virtual environments can redefine marketing (Kumar, 2024; Kozinets et al., 2023).</w:t>
      </w:r>
      <w:proofErr w:type="spellStart"/>
      <w:r w:rsidRPr="009A515A"/>
      <w:proofErr w:type="spellEnd"/>
      <w:r w:rsidRPr="009A515A"/>
      <w:proofErr w:type="spellStart"/>
      <w:r w:rsidRPr="009A515A"/>
      <w:proofErr w:type="spellEnd"/>
      <w:r w:rsidRPr="009A515A"/>
      <w:r w:rsidR="00495518">
        <w:rPr>
          <w:color w:val="000000" w:themeColor="text1"/>
        </w:rPr>
      </w:r>
      <w:r w:rsidR="006B5016" w:rsidRPr="009A515A">
        <w:rPr>
          <w:color w:val="000000" w:themeColor="text1"/>
        </w:rPr>
      </w:r>
      <w:r w:rsidR="005E0F58"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r w:rsidR="008B6A5E" w:rsidRPr="009A515A">
        <w:rPr>
          <w:color w:val="000000" w:themeColor="text1"/>
        </w:rPr>
      </w:r>
      <w:r w:rsidR="006B5016" w:rsidRPr="009A515A">
        <w:rPr>
          <w:color w:val="000000" w:themeColor="text1"/>
        </w:rPr>
      </w:r>
      <w:proofErr w:type="spellStart"/>
      <w:r w:rsidR="006B5016" w:rsidRPr="009A515A">
        <w:rPr>
          <w:color w:val="000000" w:themeColor="text1"/>
        </w:rPr>
      </w:r>
      <w:proofErr w:type="spellEnd"/>
      <w:r w:rsidR="006B5016" w:rsidRPr="009A515A">
        <w:rPr>
          <w:color w:val="000000" w:themeColor="text1"/>
        </w:rPr>
      </w:r>
    </w:p>
    <w:p w14:paraId="01A75581" w14:textId="77777777" w:rsidR="00651853" w:rsidRPr="009A515A" w:rsidRDefault="00000000" w:rsidP="00495518">
      <w:pPr>
        <w:spacing w:line="360" w:lineRule="auto"/>
        <w:jc w:val="both"/>
      </w:pPr>
      <w:r w:rsidRPr="009A515A">
        <w:t>Branding in the metaverse differs from website or app branding in four ways that motivate a configurational approach: environments are persistent, shared three-dimensional spaces; users act through avatars, fusing identity and embodiment with consumption; interaction is socially synchronous, creating co-presence with others and brands in real time; and value is frequently co-created. Because brand outcomes emerge from combinations of these features rather than any single attribute, we adopt a configurational lens asking which recipes of engagement, experience and satisfaction jointly produce brand success.</w:t>
      </w:r>
      <w:r w:rsidRPr="009A515A"/>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Building emotional connections is essential: emotional attachment correlates with stronger brand relationships (Bilgihan et al., 2024; Arya et al., 2022), and immersive, personalised interactions foster satisfaction, trust and brand identification (Shamim et al., 2025; Vo et al., 2025).</w:t>
      </w:r>
      <w:r w:rsidR="00666412" w:rsidRPr="009A515A">
        <w:rPr>
          <w:color w:val="000000" w:themeColor="text1"/>
        </w:rPr>
      </w:r>
      <w:r w:rsidR="005E0F58"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1B3556" w:rsidRPr="009A515A">
        <w:rPr>
          <w:color w:val="000000" w:themeColor="text1"/>
        </w:rPr>
      </w:r>
      <w:r w:rsidR="00666412" w:rsidRPr="009A515A">
        <w:rPr>
          <w:color w:val="000000" w:themeColor="text1"/>
        </w:rPr>
      </w:r>
      <w:r w:rsidR="00ED44A2" w:rsidRPr="009A515A">
        <w:rPr>
          <w:color w:val="000000" w:themeColor="text1"/>
        </w:rPr>
      </w:r>
      <w:r w:rsidR="00B94DE0">
        <w:rPr>
          <w:color w:val="000000" w:themeColor="text1"/>
        </w:rPr>
      </w:r>
      <w:r w:rsidR="00666412" w:rsidRPr="009A515A">
        <w:rPr>
          <w:color w:val="000000" w:themeColor="text1"/>
        </w:rPr>
      </w:r>
      <w:bookmarkStart w:id="1" w:name="_Hlk199322582"/>
      <w:proofErr w:type="spellStart"/>
      <w:r w:rsidR="00AD577C" w:rsidRPr="009A515A">
        <w:rPr>
          <w:color w:val="000000" w:themeColor="text1"/>
        </w:rPr>
      </w:r>
      <w:bookmarkEnd w:id="1"/>
      <w:proofErr w:type="spellEnd"/>
      <w:r w:rsidR="00AD577C" w:rsidRPr="009A515A">
        <w:rPr>
          <w:color w:val="000000" w:themeColor="text1"/>
        </w:rPr>
      </w:r>
      <w:r w:rsidR="00666412" w:rsidRPr="009A515A">
        <w:rPr>
          <w:color w:val="000000" w:themeColor="text1"/>
        </w:rPr>
      </w:r>
      <w:proofErr w:type="spellStart"/>
      <w:r w:rsidR="00666412" w:rsidRPr="009A515A">
        <w:rPr>
          <w:color w:val="000000" w:themeColor="text1"/>
        </w:rPr>
      </w:r>
      <w:proofErr w:type="spellEnd"/>
      <w:r w:rsidR="00666412" w:rsidRPr="009A515A">
        <w:rPr>
          <w:color w:val="000000" w:themeColor="text1"/>
        </w:rPr>
      </w:r>
      <w:r w:rsidR="00024B84" w:rsidRPr="009A515A"/>
      <w:r w:rsidR="00024B84" w:rsidRPr="009A515A">
        <w:rPr>
          <w:color w:val="000000" w:themeColor="text1"/>
        </w:rPr>
      </w:r>
      <w:r w:rsidR="00666412" w:rsidRPr="009A515A">
        <w:rPr>
          <w:color w:val="000000" w:themeColor="text1"/>
        </w:rPr>
      </w:r>
      <w:r w:rsidR="005E0F58" w:rsidRPr="009A515A">
        <w:rPr>
          <w:color w:val="000000" w:themeColor="text1"/>
        </w:rPr>
      </w:r>
      <w:r w:rsidR="00666412" w:rsidRPr="009A515A">
        <w:rPr>
          <w:color w:val="000000" w:themeColor="text1"/>
        </w:rPr>
      </w:r>
      <w:r w:rsidR="00416113" w:rsidRPr="009A515A"/>
      <w:r w:rsidR="00416113" w:rsidRPr="009A515A">
        <w:rPr>
          <w:color w:val="000000" w:themeColor="text1"/>
        </w:rPr>
      </w:r>
    </w:p>
    <w:p w14:paraId="003BABCC" w14:textId="475C3E67" w:rsidR="001B3556" w:rsidRPr="009A515A" w:rsidRDefault="00666412" w:rsidP="00B94DE0">
      <w:pPr>
        <w:spacing w:line="360" w:lineRule="auto"/>
        <w:ind w:firstLine="426"/>
        <w:jc w:val="both"/>
        <w:rPr>
          <w:color w:val="000000" w:themeColor="text1"/>
        </w:rPr>
      </w:pPr>
      <w:r w:rsidRPr="009A515A">
        <w:t>The metaverse also lets brands transcend physical limitations and reach global audiences, with personalisation strengthening perceptions and satisfaction (Dwivedi et al., 2023; Chandra et al., 2022). Building on this, the study asks: how do immersive, avatar-mediated interactions shape the configurations of user engagement, user experience and brand satisfaction that lead to brand success? Two sub-questions follow: (a) which combinations are sufficient for high brand success, and (b) what role does brand satisfaction play in linking engagement and experience to success?</w:t>
      </w:r>
      <w:r w:rsidR="00B94DE0">
        <w:rPr>
          <w:color w:val="000000" w:themeColor="text1"/>
        </w:rPr>
      </w:r>
      <w:r w:rsidRPr="009A515A"/>
    </w:p>
    <w:p w14:paraId="0C3A6470" w14:textId="578BFCC6" w:rsidR="005560D1" w:rsidRPr="009A515A" w:rsidRDefault="0045186A" w:rsidP="0045186A">
      <w:pPr>
        <w:spacing w:line="360" w:lineRule="auto"/>
        <w:ind w:firstLine="426"/>
        <w:jc w:val="both"/>
        <w:rPr>
          <w:color w:val="000000" w:themeColor="text1"/>
        </w:rPr>
      </w:pPr>
      <w:r w:rsidRPr="009A515A">
        <w:t>This study makes three contributions. First, rather than re-confirming that engagement, experience and satisfaction matter, it specifies how immersive, avatar-based environments change their configuration, theorising that equifinality the existence of multiple sufficient pathways to success is especially pronounced in the metaverse. Second, it integrates Flow Theory and SDT as complementary lenses explaining why immersive interactions sustain engagement and shape satisfaction. Third, using fsQCA, it identifies the specific combinations of engagement, experience and satisfaction associated with high brand success, offering configurational guidance for managers.</w:t>
      </w:r>
      <w:r w:rsidR="009B694E"/>
      <w:r w:rsidRPr="009A515A"/>
      <w:r w:rsidR="009B694E"/>
      <w:r w:rsidRPr="009A515A"/>
      <w:r w:rsidRPr="009A515A"/>
      <w:proofErr w:type="spellStart"/>
      <w:r w:rsidRPr="009A515A"/>
      <w:proofErr w:type="spellEnd"/>
      <w:r w:rsidRPr="009A515A"/>
    </w:p>
    <w:p w14:paraId="372BE06D" w14:textId="77777777" w:rsidR="009668F1" w:rsidRPr="009A515A" w:rsidRDefault="005560D1" w:rsidP="009668F1">
      <w:pPr>
        <w:tabs>
          <w:tab w:val="left" w:pos="426"/>
        </w:tabs>
        <w:spacing w:line="360" w:lineRule="auto"/>
        <w:jc w:val="both"/>
        <w:rPr>
          <w:color w:val="000000" w:themeColor="text1"/>
        </w:rPr>
      </w:pPr>
      <w:r w:rsidRPr="009A515A">
        <w:t>Accordingly, the study extends Flow Theory and SDT to immersive digital ecosystems (Fan et al., 2022).</w:t>
      </w:r>
    </w:p>
    <w:p w14:paraId="294D7F3F" w14:textId="77777777" w:rsidR="00F47684" w:rsidRPr="009A515A" w:rsidRDefault="00377169" w:rsidP="00E62169">
      <w:pPr>
        <w:spacing w:line="360" w:lineRule="auto"/>
        <w:ind w:firstLine="426"/>
        <w:jc w:val="both"/>
        <w:rPr>
          <w:color w:val="000000" w:themeColor="text1"/>
        </w:rPr>
      </w:pPr>
      <w:r w:rsidRPr="009A515A">
        <w:t>The study advances a configurational account in which user engagement (UE) and user experience (UX) act as antecedents of brand satisfaction (BSAT), which is in turn associated with brand success (BSUC), examining how these combine rather than treating them as isolated drivers.</w:t>
      </w:r>
    </w:p>
    <w:p w14:paraId="1D174D49" w14:textId="77777777" w:rsidR="00BC0CD1" w:rsidRPr="009A515A" w:rsidRDefault="00BC0CD1" w:rsidP="00BC0CD1">
      <w:pPr>
        <w:spacing w:line="360" w:lineRule="auto"/>
        <w:ind w:firstLine="720"/>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 xml:space="preserve">2. </w:t>
      </w:r>
      <w:r w:rsidR="009E4153" w:rsidRPr="009A515A">
        <w:rPr>
          <w:b/>
          <w:bCs/>
          <w:color w:val="000000" w:themeColor="text1"/>
        </w:rPr>
        <w:t xml:space="preserve">Literature </w:t>
      </w:r>
      <w:r w:rsidR="00233988" w:rsidRPr="009A515A">
        <w:rPr>
          <w:b/>
          <w:bCs/>
          <w:color w:val="000000" w:themeColor="text1"/>
        </w:rPr>
        <w:t>R</w:t>
      </w:r>
      <w:r w:rsidR="009E4153" w:rsidRPr="009A515A">
        <w:rPr>
          <w:b/>
          <w:bCs/>
          <w:color w:val="000000" w:themeColor="text1"/>
        </w:rPr>
        <w:t>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 xml:space="preserve">2.1. Immersive Environment </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enhance metaverse experiences through three components: immersiveness, sociability and ecological faithfulness (Arya et al., 2024a). Immersiveness captures mental absorption and sensory engagement, often described as “presence”, strengthening emotional engagement and connection and thereby user satisfaction and brand trust (Shamim et al., 2025; Daassi et al., 2021; Bilgihan et al.,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1BCE72DA" w14:textId="3BE84220" w:rsidR="0087626C" w:rsidRPr="009A515A" w:rsidRDefault="0087626C" w:rsidP="0087626C">
      <w:pPr>
        <w:spacing w:line="360" w:lineRule="auto"/>
        <w:ind w:firstLine="426"/>
        <w:jc w:val="both"/>
        <w:rPr>
          <w:color w:val="000000" w:themeColor="text1"/>
        </w:rPr>
      </w:pPr>
      <w:r w:rsidRPr="009A515A">
        <w:rPr>
          <w:color w:val="000000" w:themeColor="text1"/>
        </w:rPr>
        <w:t>Sociability the quality of social interaction enables collaboration, community building and emotional bonding, with social presence enhancing enjoyment and advocacy (Hennig-Thurau et al., 2023; Osborne et al., 2024). Ecological faithfulness, the authenticity of virtual environments, fosters trust among environmentally conscious consumers (Dwivedi et al., 2023).</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Pr="009A515A">
        <w:rPr>
          <w:color w:val="000000" w:themeColor="text1"/>
        </w:rPr>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Strategic integration of immersive storytelling, gamification and virtual product launches represents a critical growth avenue (Bilgihan et al., 2024; Blazquez, 2024; Lee and Shen, 2024). While such experiences foster loyalty (Rather et al., 2022), poorly executed designs may trigger frustration, overstimulation or escapism, underscoring the need for psychologically safe, user-centred strategies (Lavoie et al., 2021; Duong et al., 2025).</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r w:rsidR="00F30DAB"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0613466D" w14:textId="77777777" w:rsidR="0087626C" w:rsidRPr="009A515A" w:rsidRDefault="0087626C" w:rsidP="00B64CB0">
      <w:pPr>
        <w:spacing w:line="360" w:lineRule="auto"/>
        <w:jc w:val="both"/>
        <w:rPr>
          <w:b/>
          <w:bCs/>
          <w:color w:val="000000" w:themeColor="text1"/>
        </w:rPr>
      </w:pP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77777777" w:rsidR="0087626C" w:rsidRPr="009A515A" w:rsidRDefault="0087626C" w:rsidP="0087626C">
      <w:pPr>
        <w:spacing w:line="360" w:lineRule="auto"/>
        <w:jc w:val="both"/>
        <w:rPr>
          <w:color w:val="000000" w:themeColor="text1"/>
        </w:rPr>
      </w:pPr>
      <w:r w:rsidRPr="009A515A">
        <w:rPr>
          <w:color w:val="000000" w:themeColor="text1"/>
        </w:rPr>
        <w:t>Though no single definition exists, the metaverse is widely described as a three-dimensional virtual shared world powered by AR/VR that enables seamless movement between physical and virtual domains for work, interaction and socialisation (Buhalis et al., 2023; Koohang et al., 2023; Kozinets et al., 2023). Figure 1 illustrates the interplay between physical and virtual environments underpinning brand success.</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9D4C18C" w14:textId="77777777" w:rsidR="0087626C" w:rsidRPr="009A515A" w:rsidRDefault="0087626C" w:rsidP="0087626C">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via motivation, perceived value and satisfaction (Soltani et al., 2024; İlkan et al., 2023).</w:t>
      </w:r>
      <w:r w:rsidR="00D05FD0"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
    <w:p w14:paraId="52120E9F" w14:textId="77777777" w:rsidR="0087626C" w:rsidRPr="009A515A" w:rsidRDefault="0087626C" w:rsidP="0087626C">
      <w:pPr>
        <w:spacing w:line="360" w:lineRule="auto"/>
        <w:ind w:firstLine="426"/>
        <w:jc w:val="both"/>
        <w:rPr>
          <w:color w:val="000000" w:themeColor="text1"/>
        </w:rPr>
      </w:pPr>
      <w:r w:rsidRPr="009A515A">
        <w:rPr>
          <w:color w:val="000000" w:themeColor="text1"/>
        </w:rPr>
        <w:t>Others advanced holistic Quality of Experience conceptualisations (Lycett and Radwan, 2019), multi-instrumental approaches (Kyriakou et al., 2024) and extensions to e-government contexts (Li and Shang, 2023; Zhang et al., 2022), while Shin (2019) linked AR-game immersion with cognitive and motivational constructs.</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00CB0052" w:rsidRPr="009A515A">
        <w:rPr>
          <w:color w:val="000000" w:themeColor="text1"/>
        </w:rPr>
      </w:r>
      <w:r w:rsidRPr="009A515A">
        <w:rPr>
          <w:color w:val="000000" w:themeColor="text1"/>
        </w:rPr>
      </w:r>
    </w:p>
    <w:p w14:paraId="19C7BFC8" w14:textId="77777777" w:rsidR="0087626C" w:rsidRPr="009A515A" w:rsidRDefault="0087626C" w:rsidP="0087626C">
      <w:pPr>
        <w:rPr>
          <w:color w:val="000000" w:themeColor="text1"/>
        </w:rPr>
      </w:pPr>
    </w:p>
    <w:p w14:paraId="1F152337" w14:textId="77777777" w:rsidR="00624A1D" w:rsidRPr="009A515A" w:rsidRDefault="00624A1D" w:rsidP="00624A1D">
      <w:pPr>
        <w:rPr>
          <w:noProof/>
          <w:color w:val="000000" w:themeColor="text1"/>
        </w:rPr>
      </w:pPr>
      <w:r w:rsidRPr="009A515A">
        <w:rPr>
          <w:noProof/>
          <w:color w:val="000000" w:themeColor="text1"/>
        </w:rPr>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 xml:space="preserve"> Figure 1.</w:t>
      </w:r>
      <w:r w:rsidRPr="009A515A">
        <w:rPr>
          <w:i/>
          <w:iCs/>
          <w:color w:val="000000" w:themeColor="text1"/>
        </w:rPr>
        <w:t xml:space="preserve"> Depiction of Real and Virtual World Integration in the Metaverse.</w:t>
      </w:r>
      <w:r w:rsidRPr="009A515A">
        <w:rPr>
          <w:color w:val="000000" w:themeColor="text1"/>
        </w:rPr>
        <w:tab/>
      </w:r>
      <w:r w:rsidRPr="009A515A">
        <w:rPr>
          <w:b/>
          <w:bCs/>
          <w:i/>
          <w:iCs/>
          <w:color w:val="000000" w:themeColor="text1"/>
          <w:sz w:val="20"/>
          <w:szCs w:val="20"/>
        </w:rPr>
        <w:t>Source:</w:t>
      </w:r>
      <w:r w:rsidRPr="009A515A">
        <w:rPr>
          <w:i/>
          <w:iCs/>
          <w:color w:val="000000" w:themeColor="text1"/>
          <w:sz w:val="20"/>
          <w:szCs w:val="20"/>
        </w:rPr>
        <w:t xml:space="preserve"> Authors</w:t>
      </w:r>
    </w:p>
    <w:p w14:paraId="2F9E6345" w14:textId="77777777" w:rsidR="00200AEA" w:rsidRPr="009A515A" w:rsidRDefault="00200AEA" w:rsidP="00200AEA"/>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w:t>
      </w:r>
      <w:r w:rsidR="00233988" w:rsidRPr="009A515A">
        <w:rPr>
          <w:b/>
          <w:bCs/>
          <w:i/>
          <w:iCs/>
          <w:color w:val="000000" w:themeColor="text1"/>
        </w:rPr>
        <w:t>3</w:t>
      </w:r>
      <w:r w:rsidRPr="009A515A">
        <w:rPr>
          <w:b/>
          <w:bCs/>
          <w:i/>
          <w:iCs/>
          <w:color w:val="000000" w:themeColor="text1"/>
        </w:rPr>
        <w:t xml:space="preserve">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User behaviours purchasing NFTs, social interaction, attending virtual events and creating content are central to brand engagement in immersive ecosystems, shaping perceptions, fostering emotional bonds and driving loyalty (Shamim et al., 2025; Bilgihan et al., 2024; Lee and Shen, 2024).</w:t>
      </w:r>
      <w:r w:rsidR="009B694E">
        <w:rPr>
          <w:color w:val="000000" w:themeColor="text1"/>
        </w:rPr>
      </w:r>
      <w:r w:rsidRPr="009A515A">
        <w:rPr>
          <w:color w:val="000000" w:themeColor="text1"/>
        </w:rPr>
      </w:r>
      <w:r w:rsidR="009B694E">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enable digital self-expression, exclusivity and identity construction; owning unique avatars, wearables and collectibles strengthens emotional attachment (Xie and Muralidharan, 2023; Simonetti et al., 2025). Scarcity and perceived investment value further enhance brand attitudes, amplified by social-comparison dynamics (Wang et al., 2024; Chang et al., 2024; Xie et al., 2024).</w:t>
      </w:r>
      <w:r w:rsidR="001039BF" w:rsidRPr="009A515A">
        <w:rPr>
          <w:color w:val="000000" w:themeColor="text1"/>
        </w:rPr>
      </w:r>
      <w:r w:rsidRPr="009A515A">
        <w:rPr>
          <w:color w:val="000000" w:themeColor="text1"/>
        </w:rPr>
      </w:r>
    </w:p>
    <w:p w14:paraId="7DBEF095" w14:textId="699E9646" w:rsidR="00971E5E" w:rsidRPr="009A515A" w:rsidRDefault="00971E5E" w:rsidP="00971E5E">
      <w:pPr>
        <w:spacing w:line="360" w:lineRule="auto"/>
        <w:ind w:firstLine="426"/>
        <w:jc w:val="both"/>
        <w:rPr>
          <w:color w:val="000000" w:themeColor="text1"/>
        </w:rPr>
      </w:pPr>
      <w:r w:rsidRPr="009A515A">
        <w:t>Social interactions reinforce engagement, with brand communities fostering trust, knowledge-sharing and purchase intention, while avatar-based interactivity enhances belonging and loyalty (Agnihotri et al., 2024; Kumar and Shankar, 2024; Payal et al., 2024).</w:t>
      </w:r>
      <w:r w:rsidR="009B694E"/>
      <w:r w:rsidRPr="009A515A"/>
      <w:r w:rsidR="009B694E"/>
      <w:r w:rsidRPr="009A515A"/>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enhances ownership and advocacy (Bilgihan et al., 2024; Xu et al., 2024).</w:t>
      </w:r>
      <w:proofErr w:type="spellStart"/>
      <w:r w:rsidRPr="009A515A">
        <w:rPr>
          <w:color w:val="000000" w:themeColor="text1"/>
        </w:rPr>
      </w:r>
      <w:proofErr w:type="spellEnd"/>
      <w:r w:rsidRPr="009A515A">
        <w:rPr>
          <w:color w:val="000000" w:themeColor="text1"/>
        </w:rPr>
      </w:r>
      <w:r w:rsidRPr="009A515A">
        <w:rPr>
          <w:i/>
          <w:iCs/>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w:t>
      </w:r>
      <w:r w:rsidR="00233988" w:rsidRPr="009A515A">
        <w:rPr>
          <w:b/>
          <w:bCs/>
          <w:i/>
          <w:iCs/>
          <w:color w:val="000000" w:themeColor="text1"/>
        </w:rPr>
        <w:t>4</w:t>
      </w:r>
      <w:r w:rsidRPr="009A515A">
        <w:rPr>
          <w:b/>
          <w:bCs/>
          <w:i/>
          <w:iCs/>
          <w:color w:val="000000" w:themeColor="text1"/>
        </w:rPr>
        <w:t xml:space="preserve">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pivotal drivers of brand success. Wiertz and De Ruyter (2007) showed that contributions to firm-hosted online communities enhance brand success, with knowledge-sharing a critical engagement mechanism.</w:t>
      </w:r>
      <w:proofErr w:type="spellStart"/>
      <w:r w:rsidRPr="009A515A">
        <w:rPr>
          <w:color w:val="000000" w:themeColor="text1"/>
        </w:rPr>
      </w:r>
      <w:proofErr w:type="spellEnd"/>
      <w:r w:rsidRPr="009A515A">
        <w:rPr>
          <w:color w:val="000000" w:themeColor="text1"/>
        </w:rPr>
      </w:r>
    </w:p>
    <w:p w14:paraId="389C8F27" w14:textId="77777777" w:rsidR="00971E5E" w:rsidRPr="009A515A" w:rsidRDefault="00971E5E" w:rsidP="00971E5E">
      <w:pPr>
        <w:spacing w:line="360" w:lineRule="auto"/>
        <w:ind w:firstLine="426"/>
        <w:jc w:val="both"/>
        <w:rPr>
          <w:color w:val="000000" w:themeColor="text1"/>
        </w:rPr>
      </w:pPr>
      <w:r w:rsidRPr="009A515A">
        <w:t>Brands must actively facilitate interaction to elevate engagement (Huang and Benyoucef, 2013), and cultural dynamics matter: holistic thinkers evaluate brand extensions more favourably in virtual settings (Su et al., 2021).</w:t>
      </w:r>
    </w:p>
    <w:p w14:paraId="692C9E30" w14:textId="77777777" w:rsidR="00971E5E" w:rsidRPr="009A515A" w:rsidRDefault="00971E5E" w:rsidP="00971E5E">
      <w:pPr>
        <w:spacing w:line="360" w:lineRule="auto"/>
        <w:ind w:firstLine="426"/>
        <w:jc w:val="both"/>
        <w:rPr>
          <w:color w:val="000000" w:themeColor="text1"/>
        </w:rPr>
      </w:pPr>
      <w:r w:rsidRPr="009A515A">
        <w:rPr>
          <w:color w:val="000000" w:themeColor="text1"/>
        </w:rPr>
        <w:t>Social media is integral to engagement, with higher social identification and interactivity increasing engagement with branded content (Hsieh and Tsao, 2019).</w:t>
      </w:r>
      <w:r w:rsidR="00875A30" w:rsidRPr="009A515A">
        <w:rPr>
          <w:color w:val="000000" w:themeColor="text1"/>
        </w:rPr>
      </w:r>
      <w:r w:rsidRPr="009A515A">
        <w:rPr>
          <w:color w:val="000000" w:themeColor="text1"/>
        </w:rPr>
      </w:r>
    </w:p>
    <w:p w14:paraId="6FBD7B2A" w14:textId="77777777" w:rsidR="00971E5E" w:rsidRPr="009A515A" w:rsidRDefault="00971E5E" w:rsidP="00971E5E">
      <w:pPr>
        <w:spacing w:line="360" w:lineRule="auto"/>
        <w:ind w:firstLine="426"/>
        <w:jc w:val="both"/>
        <w:rPr>
          <w:color w:val="000000" w:themeColor="text1"/>
        </w:rPr>
      </w:pPr>
      <w:r w:rsidRPr="009A515A">
        <w:rPr>
          <w:color w:val="000000" w:themeColor="text1"/>
        </w:rPr>
        <w:t>Theoretically, Brodie et al. (2011) position engagement as active participation in brand experiences, and purchase intentions in virtual communities often serve social and self-identity fulfilment, framing engagement as a pathway to loyalty.</w:t>
      </w:r>
      <w:r w:rsidRPr="009A515A">
        <w:rPr>
          <w:color w:val="000000" w:themeColor="text1"/>
        </w:rPr>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pStyle w:val="ListParagraph"/>
        <w:numPr>
          <w:ilvl w:val="0"/>
          <w:numId w:val="29"/>
        </w:numPr>
        <w:spacing w:after="0" w:line="360" w:lineRule="auto"/>
        <w:ind w:left="284" w:hanging="284"/>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 xml:space="preserve">3.1 Flow theory </w:t>
      </w:r>
    </w:p>
    <w:p w14:paraId="71E0675E" w14:textId="77777777" w:rsidR="00324C73" w:rsidRPr="009A515A" w:rsidRDefault="00233988" w:rsidP="00324C73">
      <w:pPr>
        <w:shd w:val="clear" w:color="auto" w:fill="FFFFFF"/>
        <w:spacing w:line="360" w:lineRule="auto"/>
        <w:jc w:val="both"/>
        <w:rPr>
          <w:color w:val="000000" w:themeColor="text1"/>
        </w:rPr>
      </w:pPr>
      <w:r w:rsidRPr="009A515A">
        <w:rPr>
          <w:color w:val="000000" w:themeColor="text1"/>
        </w:rPr>
        <w:t>Flow Theory (Csikszentmihalyi, 1990) provides a valuable framework for assessing metaverse engagement. Flow is a state of deep immersion and focused attention marked by high intrinsic motivation and enjoyment, particularly relevant where engagement determines brand success. Recent work extends it to virtual and augmented reality: in game-based metaverses, perceived enjoyment enhances flow, contributing to satisfaction and continued use (Hyeon and Lee, 2025).</w:t>
      </w:r>
      <w:r w:rsidRPr="009A515A"/>
      <w:r w:rsidRPr="009A515A">
        <w:rPr>
          <w:color w:val="000000" w:themeColor="text1"/>
        </w:rPr>
      </w:r>
      <w:r w:rsidR="00324C73" w:rsidRPr="009A515A">
        <w:rPr>
          <w:color w:val="000000" w:themeColor="text1"/>
        </w:rPr>
      </w:r>
    </w:p>
    <w:p w14:paraId="48EA7763" w14:textId="77777777" w:rsidR="00233988" w:rsidRPr="009A515A" w:rsidRDefault="00324C73" w:rsidP="00455887">
      <w:pPr>
        <w:shd w:val="clear" w:color="auto" w:fill="FFFFFF"/>
        <w:spacing w:line="360" w:lineRule="auto"/>
        <w:jc w:val="both"/>
        <w:rPr>
          <w:color w:val="000000" w:themeColor="text1"/>
        </w:rPr>
      </w:pPr>
      <w:r w:rsidRPr="009A515A">
        <w:rPr>
          <w:color w:val="000000" w:themeColor="text1"/>
        </w:rPr>
        <w:t>Contemporary research links flow to virtual brand experiences: authenticity, interactivity and entertainment enhance flow in live streaming, with interactivity most influential (Wu et al., 2024); technological factors drive flow in emerging-market metaverse use (Liang et al., 2024); flow induces subjective time acceleration in VR (Rutrecht et al., 2021); and flow shapes participative and sharing behaviours (Lo and Lai, 2023). Accordingly, our survey incorporated flow elements clear goals, immediate feedback and challenge-skill balance, asking users to self-report flow during metaverse interactions.</w:t>
      </w:r>
      <w:r w:rsidR="00734627" w:rsidRPr="009A515A">
        <w:rPr>
          <w:color w:val="000000" w:themeColor="text1"/>
        </w:rPr>
      </w:r>
      <w:r w:rsidRPr="009A515A">
        <w:rPr>
          <w:color w:val="000000" w:themeColor="text1"/>
        </w:rPr>
      </w:r>
      <w:r w:rsidR="00C873B8" w:rsidRPr="009A515A">
        <w:rPr>
          <w:color w:val="000000" w:themeColor="text1"/>
        </w:rPr>
      </w:r>
      <w:r w:rsidRPr="009A515A">
        <w:rPr>
          <w:color w:val="000000" w:themeColor="text1"/>
        </w:rPr>
      </w:r>
      <w:proofErr w:type="spellStart"/>
      <w:r w:rsidR="00C873B8" w:rsidRPr="009A515A">
        <w:rPr>
          <w:color w:val="000000" w:themeColor="text1"/>
        </w:rPr>
      </w:r>
      <w:proofErr w:type="spellEnd"/>
      <w:r w:rsidR="00C873B8"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553FDC" w:rsidRPr="009A515A">
        <w:rPr>
          <w:color w:val="000000" w:themeColor="text1"/>
        </w:rPr>
      </w:r>
      <w:r w:rsidRPr="009A515A">
        <w:rPr>
          <w:color w:val="000000" w:themeColor="text1"/>
        </w:rPr>
      </w:r>
      <w:r w:rsidR="00BA76F2" w:rsidRPr="009A515A">
        <w:rPr>
          <w:color w:val="000000" w:themeColor="text1"/>
        </w:rPr>
      </w:r>
      <w:r w:rsidR="00233988" w:rsidRPr="009A515A">
        <w:rPr>
          <w:color w:val="000000" w:themeColor="text1"/>
        </w:rPr>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pStyle w:val="ListParagraph"/>
        <w:numPr>
          <w:ilvl w:val="1"/>
          <w:numId w:val="29"/>
        </w:numPr>
        <w:spacing w:after="0" w:line="360" w:lineRule="auto"/>
        <w:ind w:left="426"/>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 xml:space="preserve"> </w:t>
      </w:r>
      <w:r w:rsidR="00894734" w:rsidRPr="009A515A">
        <w:rPr>
          <w:rFonts w:ascii="Times New Roman" w:hAnsi="Times New Roman" w:cs="Times New Roman"/>
          <w:b/>
          <w:bCs/>
          <w:i/>
          <w:iCs/>
          <w:color w:val="000000" w:themeColor="text1"/>
          <w:sz w:val="24"/>
          <w:szCs w:val="24"/>
        </w:rPr>
        <w:t>Self-Determination Theory (SDT)</w:t>
      </w:r>
    </w:p>
    <w:p w14:paraId="16586765" w14:textId="77777777" w:rsidR="00894734" w:rsidRPr="009A515A" w:rsidRDefault="00894734" w:rsidP="00455887">
      <w:pPr>
        <w:spacing w:line="360" w:lineRule="auto"/>
        <w:jc w:val="both"/>
        <w:rPr>
          <w:color w:val="000000" w:themeColor="text1"/>
        </w:rPr>
      </w:pPr>
      <w:r w:rsidRPr="009A515A">
        <w:rPr>
          <w:color w:val="000000" w:themeColor="text1"/>
        </w:rPr>
        <w:t>Self-Determination Theory (SDT) holds that motivation and well-being are greatest when three innate needs are met: autonomy (volitional choice), competence (feeling effective) and relatedness (feeling connected) (Deci and Ryan, 2000). In digital environments, SDT explains how intrinsic motivation to explore, master and connect drives deeper engagement.</w:t>
      </w:r>
      <w:r w:rsidR="001039BF" w:rsidRPr="009A515A">
        <w:rPr>
          <w:color w:val="000000" w:themeColor="text1"/>
        </w:rPr>
      </w:r>
      <w:r w:rsidRPr="009A515A">
        <w:rPr>
          <w:color w:val="000000" w:themeColor="text1"/>
        </w:rPr>
      </w:r>
    </w:p>
    <w:p w14:paraId="58833B19" w14:textId="77777777" w:rsidR="00894734" w:rsidRPr="009A515A" w:rsidRDefault="00894734" w:rsidP="00455887">
      <w:pPr>
        <w:spacing w:line="360" w:lineRule="auto"/>
        <w:ind w:firstLine="426"/>
        <w:jc w:val="both"/>
        <w:rPr>
          <w:color w:val="000000" w:themeColor="text1"/>
        </w:rPr>
      </w:pPr>
      <w:r w:rsidRPr="009A515A">
        <w:rPr>
          <w:color w:val="000000" w:themeColor="text1"/>
        </w:rPr>
        <w:t>Flow Theory and SDT are complementary: flow captures moment-to-moment immersion when challenge-skill balance, clear goals and feedback align (Csikszentmihalyi, 1990), while SDT explains why users enter and remain in flow autonomy supports exploration, competence drives mastery, and relatedness sustains social interaction through avatars. Together they explain the immersion and need satisfaction underpinning engagement, satisfaction and loyalty.</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The study examines four constructs. User engagement (UE) is the cognitive, emotional and behavioural involvement a user has with a brand during metaverse interactions. User experience (UX) is the perceived quality of interaction, encompassing immersion, usability, enjoyment and presence. Brand satisfaction (BSAT) is the user’s overall evaluation of the brand from metaverse encounters. Brand success (BSUC) refers to brand-relevant outcomes: continuance intention, purchase intention, advocacy and word of mouth. The SDT needs and Flow dimensions are treated as underlying psychological mechanisms, not separately measured constructs.</w:t>
      </w:r>
    </w:p>
    <w:p w14:paraId="4AF2B904" w14:textId="77777777" w:rsidR="00651853" w:rsidRPr="009A515A" w:rsidRDefault="00000000" w:rsidP="00040F53">
      <w:pPr>
        <w:spacing w:line="360" w:lineRule="auto"/>
        <w:jc w:val="both"/>
      </w:pPr>
      <w:r w:rsidRPr="009A515A">
        <w:t>Flow Theory and SDT jointly imply that immersive, need-satisfying interactions raise engagement and experience, shaping satisfaction and brand outcomes. We therefore expect higher user engagement to be positively associated with brand success (H1) and higher user experience quality to be positively associated with brand success (H2). Because satisfaction summarises cumulative evaluations, we expect brand satisfaction to mediate the engagement/experience–success relationships (H3). Consistent with a configurational view, high brand success may arise from multiple sufficient configurations rather than any single necessary condition (P1).</w:t>
      </w:r>
      <w:r w:rsidRPr="009A515A"/>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w:t>
      </w:r>
      <w:r w:rsidR="00572B5C" w:rsidRPr="009A515A">
        <w:rPr>
          <w:b/>
          <w:bCs/>
          <w:color w:val="000000" w:themeColor="text1"/>
        </w:rPr>
        <w:t>.</w:t>
      </w:r>
      <w:r w:rsidR="00635725" w:rsidRPr="009A515A">
        <w:rPr>
          <w:b/>
          <w:bCs/>
          <w:color w:val="000000" w:themeColor="text1"/>
        </w:rPr>
        <w:t xml:space="preserve">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w:t>
      </w:r>
      <w:r w:rsidR="00DC0736" w:rsidRPr="009A515A">
        <w:rPr>
          <w:b/>
          <w:bCs/>
          <w:i/>
          <w:iCs/>
          <w:color w:val="000000" w:themeColor="text1"/>
        </w:rPr>
        <w:t>.1</w:t>
      </w:r>
      <w:r w:rsidRPr="009A515A">
        <w:rPr>
          <w:b/>
          <w:bCs/>
          <w:i/>
          <w:iCs/>
          <w:color w:val="000000" w:themeColor="text1"/>
        </w:rPr>
        <w:t xml:space="preserve"> F</w:t>
      </w:r>
      <w:r w:rsidR="00533546" w:rsidRPr="009A515A">
        <w:rPr>
          <w:b/>
          <w:bCs/>
          <w:i/>
          <w:iCs/>
          <w:color w:val="000000" w:themeColor="text1"/>
        </w:rPr>
        <w:t>uzzy set Qualitative Comparative Analysis and its Application to the study</w:t>
      </w:r>
    </w:p>
    <w:p w14:paraId="7F215E57" w14:textId="6A1A8370" w:rsidR="00DB7208" w:rsidRPr="009A515A" w:rsidRDefault="00DB7208" w:rsidP="00DB7208">
      <w:pPr>
        <w:spacing w:line="360" w:lineRule="auto"/>
        <w:jc w:val="both"/>
        <w:rPr>
          <w:color w:val="000000" w:themeColor="text1"/>
        </w:rPr>
      </w:pPr>
      <w:r w:rsidRPr="009A515A">
        <w:rPr>
          <w:color w:val="000000" w:themeColor="text1"/>
        </w:rPr>
        <w:t>Fuzzy-set Qualitative Comparative Analysis (fsQCA) offers a mixed-method framework for examining complex causal configurations in branding (Jia et al., 2022). Positioned between exploratory and hypothesis-testing strategies, it identifies how combinations of conditions present or absent jointly produce an outcome, highlighting equifinality (Schneider and Wagemann, 2012), and is valuable in small-N research (Ragin, 2008).</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1039BF" w:rsidRPr="009A515A">
        <w:rPr>
          <w:color w:val="000000" w:themeColor="text1"/>
        </w:rPr>
      </w:r>
      <w:r w:rsidRPr="009A515A">
        <w:rPr>
          <w:color w:val="000000" w:themeColor="text1"/>
        </w:rPr>
      </w:r>
      <w:proofErr w:type="spellStart"/>
      <w:r w:rsidR="00202EAC" w:rsidRPr="009A515A">
        <w:rPr>
          <w:color w:val="000000" w:themeColor="text1"/>
        </w:rPr>
      </w:r>
      <w:r w:rsidRPr="009A515A">
        <w:rPr>
          <w:color w:val="000000" w:themeColor="text1"/>
        </w:rPr>
      </w:r>
      <w:proofErr w:type="spellEnd"/>
      <w:r w:rsidRPr="009A515A">
        <w:rPr>
          <w:color w:val="000000" w:themeColor="text1"/>
        </w:rPr>
      </w:r>
    </w:p>
    <w:p w14:paraId="67D79B33" w14:textId="77777777" w:rsidR="00DB7208" w:rsidRPr="009A515A" w:rsidRDefault="00DB7208" w:rsidP="00DB7208">
      <w:pPr>
        <w:spacing w:line="360" w:lineRule="auto"/>
        <w:ind w:firstLine="426"/>
        <w:jc w:val="both"/>
        <w:rPr>
          <w:color w:val="000000" w:themeColor="text1"/>
        </w:rPr>
      </w:pPr>
      <w:r w:rsidRPr="009A515A">
        <w:rPr>
          <w:color w:val="000000" w:themeColor="text1"/>
        </w:rPr>
        <w:t>The fsQCA process comprises six stages: case selection, identification of causal conditions, calibration of membership scores, truth-table construction, logical minimisation, and robustness checks via consistency and coverage. Figure 2 illustrates this flow. Boolean minimisation derives minimal sufficient combinations, revealing causal complexity beyond single-variable effects.</w:t>
      </w:r>
      <w:proofErr w:type="spellStart"/>
      <w:r w:rsidR="00202EAC" w:rsidRPr="009A515A">
        <w:rPr>
          <w:color w:val="000000" w:themeColor="text1"/>
        </w:rPr>
      </w:r>
      <w:proofErr w:type="spellEnd"/>
      <w:r w:rsidRPr="009A515A">
        <w:rPr>
          <w:color w:val="000000" w:themeColor="text1"/>
        </w:rPr>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2</w:t>
      </w:r>
      <w:r w:rsidRPr="009A515A">
        <w:rPr>
          <w:i/>
          <w:iCs/>
          <w:color w:val="000000" w:themeColor="text1"/>
        </w:rPr>
        <w:t>. Flowchart illustrating the steps involved in the fuzzy set qualitative comparative analysis (</w:t>
      </w:r>
      <w:proofErr w:type="spellStart"/>
      <w:r w:rsidR="00202EAC" w:rsidRPr="009A515A">
        <w:rPr>
          <w:i/>
          <w:iCs/>
          <w:color w:val="000000" w:themeColor="text1"/>
        </w:rPr>
        <w:t>FsQCA</w:t>
      </w:r>
      <w:proofErr w:type="spellEnd"/>
      <w:r w:rsidRPr="009A515A">
        <w:rPr>
          <w:i/>
          <w:iCs/>
          <w:color w:val="000000" w:themeColor="text1"/>
        </w:rPr>
        <w:t>) methodology, from data calibration to the generation of final insights.</w:t>
      </w:r>
    </w:p>
    <w:p w14:paraId="51C0D7F6" w14:textId="77777777" w:rsidR="00ED44A2" w:rsidRPr="009A515A" w:rsidRDefault="00ED44A2" w:rsidP="005A1FB3">
      <w:pPr>
        <w:spacing w:line="360" w:lineRule="auto"/>
        <w:jc w:val="center"/>
        <w:rPr>
          <w:i/>
          <w:iCs/>
          <w:color w:val="000000" w:themeColor="text1"/>
        </w:rPr>
      </w:pP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2</w:t>
      </w:r>
      <w:r w:rsidRPr="009A515A">
        <w:rPr>
          <w:b/>
          <w:bCs/>
          <w:i/>
          <w:iCs/>
          <w:color w:val="000000" w:themeColor="text1"/>
        </w:rPr>
        <w:t xml:space="preserve"> Identification and selection of variables </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First, a literature review identified consistently validated variables satisfaction, interaction frequency, perceived brand impact, emotional connection and personalisation as core indicators (Cadet and Chainay, 2020; Lu and Lau, 2025).</w:t>
      </w:r>
      <w:r w:rsidRPr="009A515A">
        <w:rPr>
          <w:color w:val="000000" w:themeColor="text1"/>
        </w:rPr>
      </w:r>
      <w:r w:rsidR="001039BF" w:rsidRPr="009A515A">
        <w:rPr>
          <w:color w:val="000000" w:themeColor="text1"/>
        </w:rPr>
      </w:r>
      <w:r w:rsidRPr="009A515A">
        <w:rPr>
          <w:color w:val="000000" w:themeColor="text1"/>
        </w:rPr>
      </w:r>
      <w:proofErr w:type="spellStart"/>
      <w:r w:rsidRPr="009A515A">
        <w:rPr>
          <w:color w:val="000000" w:themeColor="text1"/>
        </w:rPr>
      </w:r>
      <w:proofErr w:type="spellEnd"/>
      <w:r w:rsidRPr="009A515A">
        <w:rPr>
          <w:color w:val="000000" w:themeColor="text1"/>
        </w:rPr>
      </w:r>
      <w:r w:rsidR="001039BF" w:rsidRPr="009A515A">
        <w:rPr>
          <w:color w:val="000000" w:themeColor="text1"/>
        </w:rPr>
      </w:r>
      <w:r w:rsidRPr="009A515A">
        <w:rPr>
          <w:color w:val="000000" w:themeColor="text1"/>
        </w:rPr>
      </w:r>
    </w:p>
    <w:p w14:paraId="6EF488BE" w14:textId="77777777" w:rsidR="00DB7208" w:rsidRPr="009A515A" w:rsidRDefault="00DB7208" w:rsidP="00DB7208">
      <w:pPr>
        <w:spacing w:line="360" w:lineRule="auto"/>
        <w:ind w:firstLine="426"/>
        <w:jc w:val="both"/>
        <w:rPr>
          <w:color w:val="000000" w:themeColor="text1"/>
        </w:rPr>
      </w:pPr>
      <w:r w:rsidRPr="009A515A">
        <w:t>Second, interviews and focus groups provided nuanced understanding of involvement, satisfaction drivers and brand-success perceptions, refining the variables. Third, surveys captured UE, UX, BSAT and BSUC (Table 2), with immersiveness measured via presence scales, sociability via social and co-presence, and ecological faithfulness via authenticity measures (Cadet and Chainay, 2020; Poeschl and Doering, 2015; Lu and Lau, 2025).</w:t>
      </w:r>
      <w:proofErr w:type="spellStart"/>
      <w:r w:rsidRPr="009A515A"/>
      <w:proofErr w:type="spellEnd"/>
      <w:r w:rsidRPr="009A515A"/>
      <w:proofErr w:type="spellStart"/>
      <w:r w:rsidRPr="009A515A"/>
      <w:proofErr w:type="spellEnd"/>
      <w:r w:rsidRPr="009A515A"/>
    </w:p>
    <w:p w14:paraId="362ED2FE" w14:textId="6C1290FD" w:rsidR="00DB7208" w:rsidRPr="009A515A" w:rsidRDefault="00DB7208" w:rsidP="00DB7208">
      <w:pPr>
        <w:spacing w:line="360" w:lineRule="auto"/>
        <w:ind w:firstLine="426"/>
        <w:jc w:val="both"/>
        <w:rPr>
          <w:color w:val="000000" w:themeColor="text1"/>
        </w:rPr>
      </w:pPr>
      <w:r w:rsidRPr="009A515A">
        <w:rPr>
          <w:color w:val="000000" w:themeColor="text1"/>
        </w:rPr>
        <w:t>Only constructs with strong conceptual grounding and proven reliability were retained, and a pilot study validated clarity and reliability before full-scale administration.</w:t>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3D611864" w14:textId="77777777" w:rsidR="00DB7208" w:rsidRPr="009A515A" w:rsidRDefault="00DB7208" w:rsidP="00CF3193">
      <w:pPr>
        <w:spacing w:line="360" w:lineRule="auto"/>
        <w:ind w:firstLine="426"/>
        <w:jc w:val="both"/>
        <w:rPr>
          <w:color w:val="000000" w:themeColor="text1"/>
        </w:rPr>
      </w:pP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w:t>
      </w:r>
      <w:r w:rsidR="00ED44A2" w:rsidRPr="009A515A">
        <w:rPr>
          <w:b/>
          <w:bCs/>
          <w:i/>
          <w:iCs/>
          <w:color w:val="000000" w:themeColor="text1"/>
        </w:rPr>
        <w:t xml:space="preserve">3 </w:t>
      </w:r>
      <w:r w:rsidRPr="009A515A">
        <w:rPr>
          <w:b/>
          <w:bCs/>
          <w:i/>
          <w:iCs/>
          <w:color w:val="000000" w:themeColor="text1"/>
        </w:rPr>
        <w:t>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The ten-item engagement and experience scales are adapted subsets. Full measurement items, together with their adapted sources, are provided in Appendix Table 1.</w:t>
      </w:r>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4</w:t>
      </w:r>
      <w:r w:rsidRPr="009A515A">
        <w:rPr>
          <w:b/>
          <w:bCs/>
          <w:i/>
          <w:iCs/>
          <w:color w:val="000000" w:themeColor="text1"/>
        </w:rPr>
        <w:t xml:space="preserve">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The study focused on prominent platforms Roblox, Decentraland and The Sandbox selected for their adoption, functionality and capacity to host brand interactions. Roblox, known for user-generated content and social gaming, hosts branded experiences such as Nike’s Nikeland (Bilgihan et al., 2024); Decentraland, built on blockchain, enables virtual land purchase, NFT trading and community events (Brouard, 2024).</w:t>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r w:rsidR="00D57002" w:rsidRPr="009A515A"/>
      <w:r w:rsidRPr="009A515A">
        <w:rPr>
          <w:color w:val="000000" w:themeColor="text1"/>
        </w:rPr>
      </w:r>
    </w:p>
    <w:p w14:paraId="6FBBF5ED" w14:textId="77777777" w:rsidR="00035B4B" w:rsidRPr="009A515A" w:rsidRDefault="00035B4B" w:rsidP="00ED44A2">
      <w:pPr>
        <w:spacing w:line="360" w:lineRule="auto"/>
        <w:ind w:firstLine="426"/>
        <w:jc w:val="both"/>
        <w:rPr>
          <w:color w:val="000000" w:themeColor="text1"/>
        </w:rPr>
      </w:pPr>
      <w:r w:rsidRPr="009A515A">
        <w:t>The Sandbox supports voxel-based creation and monetisation, used by brands such as Adidas (Brandes and Dölp, 2025). Across platforms, four activity types were considered: trading digital assets, attending virtual events, avatar-based social interaction, and designing digital assets or experiences (Lee and Shen, 2024; Hennig-Thurau et al., 2023).</w:t>
      </w:r>
      <w:proofErr w:type="spellStart"/>
      <w:r w:rsidRPr="009A515A"/>
      <w:proofErr w:type="spellEnd"/>
      <w:r w:rsidRPr="009A515A"/>
      <w:proofErr w:type="spellStart"/>
      <w:r w:rsidRPr="009A515A"/>
      <w:proofErr w:type="spellEnd"/>
      <w:r w:rsidRPr="009A515A"/>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w:t>
      </w:r>
      <w:r w:rsidR="00E47015" w:rsidRPr="009A515A">
        <w:rPr>
          <w:b/>
          <w:bCs/>
          <w:i/>
          <w:iCs/>
          <w:color w:val="000000" w:themeColor="text1"/>
        </w:rPr>
        <w:t>5</w:t>
      </w:r>
      <w:r w:rsidRPr="009A515A">
        <w:rPr>
          <w:b/>
          <w:bCs/>
          <w:i/>
          <w:iCs/>
          <w:color w:val="000000" w:themeColor="text1"/>
        </w:rPr>
        <w:t xml:space="preserve"> Data </w:t>
      </w:r>
      <w:r w:rsidR="00ED44A2" w:rsidRPr="009A515A">
        <w:rPr>
          <w:b/>
          <w:bCs/>
          <w:i/>
          <w:iCs/>
          <w:color w:val="000000" w:themeColor="text1"/>
        </w:rPr>
        <w:t>C</w:t>
      </w:r>
      <w:r w:rsidRPr="009A515A">
        <w:rPr>
          <w:b/>
          <w:bCs/>
          <w:i/>
          <w:iCs/>
          <w:color w:val="000000" w:themeColor="text1"/>
        </w:rPr>
        <w:t xml:space="preserve">ollection </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 a 52% response rate with balanced representation, measured on validated UE, UX, BSAT and BSUC scales.</w:t>
      </w:r>
      <w:r w:rsidR="009B694E"/>
      <w:r w:rsidRPr="009A515A"/>
      <w:r w:rsidR="009B694E"/>
      <w:r w:rsidRPr="009A515A"/>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offers a theoretically and empirically justified context: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receptivity to avatar-based self-expression and NFT ownership makes it particularly relevant, and focusing on this underexplored, non-Western market broadens the theoretical reach and generalisability of the findings (Payal et al., 2024).</w:t>
      </w:r>
      <w:r w:rsidR="001457D1" w:rsidRPr="009A515A"/>
      <w:r w:rsidRPr="009A515A">
        <w:rPr>
          <w:color w:val="000000" w:themeColor="text1"/>
        </w:rPr>
      </w:r>
      <w:proofErr w:type="spellStart"/>
      <w:r w:rsidRPr="009A515A">
        <w:rPr>
          <w:color w:val="000000" w:themeColor="text1"/>
        </w:rPr>
      </w:r>
      <w:proofErr w:type="spellEnd"/>
      <w:r w:rsidRPr="009A515A">
        <w:rPr>
          <w:color w:val="000000" w:themeColor="text1"/>
        </w:rPr>
      </w:r>
      <w:r w:rsidRPr="009A515A">
        <w:rPr>
          <w:color w:val="000000" w:themeColor="text1"/>
        </w:rPr>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t>5</w:t>
      </w:r>
      <w:r w:rsidR="00572B5C" w:rsidRPr="009A515A">
        <w:rPr>
          <w:b/>
          <w:bCs/>
          <w:color w:val="000000" w:themeColor="text1"/>
        </w:rPr>
        <w:t>.</w:t>
      </w:r>
      <w:r w:rsidRPr="009A515A">
        <w:rPr>
          <w:b/>
          <w:bCs/>
          <w:color w:val="000000" w:themeColor="text1"/>
        </w:rPr>
        <w:t xml:space="preserve"> </w:t>
      </w:r>
      <w:r w:rsidR="004309B6" w:rsidRPr="009A515A">
        <w:rPr>
          <w:b/>
          <w:bCs/>
          <w:color w:val="000000" w:themeColor="text1"/>
        </w:rPr>
        <w:t>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Descriptive analysis (IBM SPSS 25.0) profiled the 312 respondents (Table 1): 46% men (143) and 54% women (169), distributed across age bands from 18 to 45, with the largest group aged 23–28 (24.04%).</w:t>
      </w:r>
    </w:p>
    <w:p w14:paraId="103D9A67" w14:textId="77777777" w:rsidR="00CD5B68" w:rsidRPr="009A515A" w:rsidRDefault="00CD5B68" w:rsidP="00CD5B68">
      <w:pPr>
        <w:spacing w:line="360" w:lineRule="auto"/>
        <w:ind w:firstLine="426"/>
        <w:jc w:val="both"/>
        <w:rPr>
          <w:i/>
          <w:iCs/>
          <w:color w:val="000000" w:themeColor="text1"/>
        </w:rPr>
      </w:pPr>
      <w:r w:rsidRPr="009A515A">
        <w:rPr>
          <w:color w:val="000000" w:themeColor="text1"/>
        </w:rPr>
        <w:t>Regarding metaverse engagement, 60.58% used the metaverse frequently (several times weekly); 45.19% participated in NFT trading, 52.56% in social interaction or content creation, and 41.35% in virtual events, underscoring these activities’ role in brand engagement.</w:t>
      </w:r>
      <w:r w:rsidRPr="009A515A">
        <w:rPr>
          <w:i/>
          <w:iCs/>
          <w:color w:val="000000" w:themeColor="text1"/>
        </w:rPr>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w:t>
      </w:r>
      <w:r w:rsidRPr="009A515A">
        <w:rPr>
          <w:i/>
          <w:iCs/>
          <w:color w:val="000000" w:themeColor="text1"/>
        </w:rPr>
        <w:t xml:space="preserve">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lastRenderedPageBreak/>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550429E" w14:textId="77777777" w:rsidR="00CD5B68" w:rsidRPr="009A515A" w:rsidRDefault="00CD5B68" w:rsidP="00B4702E">
      <w:pPr>
        <w:spacing w:line="360" w:lineRule="auto"/>
        <w:jc w:val="both"/>
        <w:rPr>
          <w:b/>
          <w:bCs/>
          <w:color w:val="000000" w:themeColor="text1"/>
        </w:rPr>
      </w:pPr>
    </w:p>
    <w:p w14:paraId="03188331"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 xml:space="preserve">5.2. Assessment of Reliability and validity </w:t>
      </w:r>
    </w:p>
    <w:p w14:paraId="5E6D8F78" w14:textId="77777777" w:rsidR="002B4CA4" w:rsidRPr="009A515A" w:rsidRDefault="003C57F3" w:rsidP="002B4CA4">
      <w:pPr>
        <w:spacing w:line="360" w:lineRule="auto"/>
        <w:jc w:val="both"/>
        <w:rPr>
          <w:color w:val="000000" w:themeColor="text1"/>
        </w:rPr>
      </w:pPr>
      <w:r w:rsidRPr="009A515A">
        <w:t>PLS-SEM confirmed satisfactory reliability and consistency. The measurement model was evaluated via standardized loadings, Cronbach’s α, composite reliability (CR) and average variance extracted (AVE). Standardized loadings ranged 0.699–0.741 (Brand Satisfaction), 0.670–0.707 (User Engagement), 0.677–0.714 (User Experience) and 0.661–0.682 (Brand Success), all exceeding the 0.60 minimum with significant z-values (p &lt; .001) (Bagozzi and Yi, 1988; Table 2).</w:t>
      </w:r>
    </w:p>
    <w:p w14:paraId="2C25CFEE" w14:textId="77777777" w:rsidR="002B4CA4" w:rsidRPr="009A515A" w:rsidRDefault="002B4CA4" w:rsidP="002B4CA4">
      <w:pPr>
        <w:spacing w:line="360" w:lineRule="auto"/>
        <w:jc w:val="both"/>
        <w:rPr>
          <w:color w:val="000000" w:themeColor="text1"/>
        </w:rPr>
      </w:pPr>
      <w:r w:rsidRPr="009A515A">
        <w:t>Cronbach’s α and CR were 0.84 (BSAT), 0.90 (UE), 0.90 (UX) and 0.77 (BSUC), all above the 0.70 minimum (Nunnally and Bernstein, 1994; Hair et al., 2019), indicating that items consistently measure their constructs.</w:t>
      </w:r>
    </w:p>
    <w:p w14:paraId="41A6A611" w14:textId="77777777" w:rsidR="002B4CA4" w:rsidRPr="009A515A" w:rsidRDefault="002B4CA4" w:rsidP="002B4CA4">
      <w:pPr>
        <w:spacing w:line="360" w:lineRule="auto"/>
        <w:jc w:val="both"/>
        <w:rPr>
          <w:color w:val="000000" w:themeColor="text1"/>
        </w:rPr>
      </w:pPr>
      <w:r w:rsidRPr="009A515A">
        <w:t>For convergent validity, all loadings were positive and significant (p &lt; .001) and CR ranged 0.77–0.90 (Table 2). AVE values were 0.51 (BSAT), 0.48 (UE), 0.48 (UX) and 0.45 (BSUC); although three fell marginally below 0.50, convergent validity holds given the significant loadings and adequate CR (Fornell and Larcker, 1981).</w:t>
      </w:r>
    </w:p>
    <w:p w14:paraId="313DB464" w14:textId="45A82F71" w:rsidR="0069183E" w:rsidRPr="009A515A" w:rsidRDefault="0069183E" w:rsidP="0069183E">
      <w:pPr>
        <w:spacing w:line="360" w:lineRule="auto"/>
        <w:ind w:firstLine="426"/>
        <w:jc w:val="both"/>
        <w:rPr>
          <w:color w:val="000000" w:themeColor="text1"/>
        </w:rPr>
      </w:pPr>
      <w:r w:rsidRPr="009A515A">
        <w:t>Common method bias was assessed with Harman’s single-factor test (Podsakoff et al., 2003): one unrotated factor explained 31.4% of variance, below 50%. Procedural remedies anonymity, no right/wrong answers, and separation of predictor and criterion items further limited bias, though it cannot be entirely ruled out in cross-sectional self-report data.</w:t>
      </w:r>
      <w:r w:rsidR="009B694E"/>
      <w:r w:rsidRPr="009A515A"/>
      <w:r w:rsidR="009B694E"/>
      <w:r w:rsidRPr="009A515A"/>
    </w:p>
    <w:p w14:paraId="273E2E7B" w14:textId="77777777" w:rsidR="0069183E" w:rsidRPr="009A515A" w:rsidRDefault="0069183E" w:rsidP="0069183E">
      <w:pPr>
        <w:spacing w:line="360" w:lineRule="auto"/>
        <w:ind w:firstLine="426"/>
        <w:jc w:val="both"/>
        <w:rPr>
          <w:color w:val="000000" w:themeColor="text1"/>
        </w:rPr>
      </w:pPr>
      <w:r w:rsidRPr="009A515A">
        <w:t>Discriminant validity used the Heterotrait–Monotrait (HTMT) ratio (Hair et al., 2019; Henseler et al., 2015). All HTMT values fell below the 0.85 threshold (maximum 0.814 for the engagement–experience pair; Table 2a), confirming each construct is empirically distinct. Together with the Harman result, neither method bias nor poor discriminant validity threatens the conclusions.</w:t>
      </w:r>
      <w:proofErr w:type="spellStart"/>
      <w:r w:rsidRPr="009A515A"/>
      <w:proofErr w:type="spellEnd"/>
      <w:r w:rsidRPr="009A515A"/>
      <w:proofErr w:type="spellStart"/>
      <w:r w:rsidRPr="009A515A"/>
      <w:proofErr w:type="spellEnd"/>
      <w:r w:rsidRPr="009A515A"/>
    </w:p>
    <w:p w14:paraId="7B987413" w14:textId="77777777" w:rsidR="0069183E" w:rsidRPr="009A515A" w:rsidRDefault="0069183E" w:rsidP="002B4CA4">
      <w:pPr>
        <w:spacing w:line="360" w:lineRule="auto"/>
        <w:jc w:val="both"/>
        <w:rPr>
          <w:color w:val="000000" w:themeColor="text1"/>
        </w:rPr>
      </w:pPr>
    </w:p>
    <w:p w14:paraId="22A9FC5C" w14:textId="77777777" w:rsidR="00D40C17" w:rsidRPr="009A515A" w:rsidRDefault="00D40C17" w:rsidP="005A1FB3">
      <w:pPr>
        <w:spacing w:line="360" w:lineRule="auto"/>
        <w:jc w:val="both"/>
        <w:rPr>
          <w:color w:val="000000" w:themeColor="text1"/>
        </w:rPr>
      </w:pPr>
    </w:p>
    <w:p w14:paraId="6E4307D9" w14:textId="77777777" w:rsidR="0069183E" w:rsidRPr="009A515A" w:rsidRDefault="0069183E" w:rsidP="005A1FB3">
      <w:pPr>
        <w:spacing w:line="360" w:lineRule="auto"/>
        <w:jc w:val="both"/>
        <w:rPr>
          <w:color w:val="000000" w:themeColor="text1"/>
        </w:rPr>
      </w:pPr>
    </w:p>
    <w:p w14:paraId="1C90F30A" w14:textId="77777777" w:rsidR="0069183E" w:rsidRPr="009A515A" w:rsidRDefault="0069183E" w:rsidP="005A1FB3">
      <w:pPr>
        <w:spacing w:line="360" w:lineRule="auto"/>
        <w:jc w:val="both"/>
        <w:rPr>
          <w:color w:val="000000" w:themeColor="text1"/>
        </w:rPr>
      </w:pP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 xml:space="preserve">Table </w:t>
      </w:r>
      <w:r w:rsidR="00AA1ECE" w:rsidRPr="009A515A">
        <w:rPr>
          <w:b/>
          <w:bCs/>
          <w:i/>
          <w:iCs/>
          <w:color w:val="000000" w:themeColor="text1"/>
        </w:rPr>
        <w:t>2</w:t>
      </w:r>
      <w:r w:rsidRPr="009A515A">
        <w:rPr>
          <w:b/>
          <w:bCs/>
          <w:i/>
          <w:iCs/>
          <w:color w:val="000000" w:themeColor="text1"/>
        </w:rPr>
        <w:t xml:space="preserve">. </w:t>
      </w:r>
      <w:r w:rsidR="00563911" w:rsidRPr="009A515A">
        <w:rPr>
          <w:b/>
          <w:bCs/>
          <w:i/>
          <w:iCs/>
          <w:color w:val="000000" w:themeColor="text1"/>
        </w:rPr>
        <w:t>Reliability Statistics</w:t>
      </w:r>
    </w:p>
    <w:tbl>
      <w:tblPr>
        <w:tblW w:w="4590" w:type="pct"/>
        <w:tblCellSpacing w:w="15" w:type="dxa"/>
        <w:tblCellMar>
          <w:top w:w="15" w:type="dxa"/>
          <w:left w:w="15" w:type="dxa"/>
          <w:bottom w:w="15" w:type="dxa"/>
          <w:right w:w="15" w:type="dxa"/>
        </w:tblCellMar>
        <w:tblLook w:val="04A0" w:firstRow="1" w:lastRow="0" w:firstColumn="1" w:lastColumn="0" w:noHBand="0" w:noVBand="1"/>
      </w:tblPr>
      <w:tblGrid>
        <w:gridCol w:w="1330"/>
        <w:gridCol w:w="1084"/>
        <w:gridCol w:w="993"/>
        <w:gridCol w:w="1237"/>
        <w:gridCol w:w="990"/>
        <w:gridCol w:w="1419"/>
        <w:gridCol w:w="612"/>
        <w:gridCol w:w="621"/>
      </w:tblGrid>
      <w:tr w:rsidR="00EB6D56" w:rsidRPr="009A515A" w14:paraId="43536D5A" w14:textId="77777777" w:rsidTr="005E6819">
        <w:trPr>
          <w:cantSplit/>
          <w:tblHeader/>
          <w:tblCellSpacing w:w="15" w:type="dxa"/>
        </w:trPr>
        <w:tc>
          <w:tcPr>
            <w:tcW w:w="4164" w:type="pct"/>
            <w:gridSpan w:val="6"/>
            <w:tcBorders>
              <w:top w:val="nil"/>
              <w:left w:val="nil"/>
              <w:bottom w:val="single" w:sz="4" w:space="0" w:color="333333"/>
              <w:right w:val="nil"/>
            </w:tcBorders>
            <w:tcMar>
              <w:top w:w="60" w:type="dxa"/>
              <w:left w:w="0" w:type="dxa"/>
              <w:bottom w:w="60" w:type="dxa"/>
              <w:right w:w="120" w:type="dxa"/>
            </w:tcMar>
            <w:vAlign w:val="bottom"/>
            <w:hideMark/>
            <w:shd w:val="clear" w:color="auto" w:fill="D0CECE"/>
          </w:tcPr>
          <w:p w14:paraId="6097554E" w14:textId="77777777" w:rsidR="00B31225" w:rsidRPr="009A515A" w:rsidRDefault="00B31225" w:rsidP="003D7AFA">
            <w:pPr>
              <w:jc w:val="both"/>
              <w:rPr>
                <w:b/>
                <w:bCs/>
                <w:i/>
                <w:iCs/>
                <w:color w:val="000000" w:themeColor="text1"/>
                <w:sz w:val="20"/>
                <w:szCs w:val="20"/>
              </w:rPr>
            </w:pPr>
            <w:r w:rsidRPr="009A515A">
              <w:rPr>
                <w:b/>
                <w:bCs/>
                <w:i/>
                <w:iCs/>
                <w:color w:val="000000"/>
                <w:sz w:val="20"/>
                <w:szCs w:val="20"/>
              </w:rPr>
              <w:t>Factor Loadings</w:t>
            </w:r>
          </w:p>
        </w:tc>
        <w:tc>
          <w:tcPr>
            <w:tcW w:w="384" w:type="pct"/>
            <w:tcBorders>
              <w:top w:val="nil"/>
              <w:left w:val="nil"/>
              <w:bottom w:val="single" w:sz="4" w:space="0" w:color="333333"/>
              <w:right w:val="nil"/>
            </w:tcBorders>
            <w:shd w:val="clear" w:color="auto" w:fill="D0CECE"/>
          </w:tcPr>
          <w:p w14:paraId="28B0713F" w14:textId="77777777" w:rsidR="00B31225" w:rsidRPr="009A515A" w:rsidRDefault="00B31225" w:rsidP="003D7AFA">
            <w:pPr>
              <w:jc w:val="both"/>
              <w:rPr>
                <w:b/>
                <w:bCs/>
                <w:i/>
                <w:iCs/>
                <w:color w:val="000000" w:themeColor="text1"/>
                <w:sz w:val="20"/>
                <w:szCs w:val="20"/>
              </w:rPr>
            </w:pPr>
          </w:p>
        </w:tc>
        <w:tc>
          <w:tcPr>
            <w:tcW w:w="380" w:type="pct"/>
            <w:tcBorders>
              <w:top w:val="nil"/>
              <w:left w:val="nil"/>
              <w:bottom w:val="single" w:sz="4" w:space="0" w:color="333333"/>
              <w:right w:val="nil"/>
            </w:tcBorders>
            <w:shd w:val="clear" w:color="auto" w:fill="D0CECE"/>
          </w:tcPr>
          <w:p w14:paraId="13F5448C" w14:textId="77777777" w:rsidR="00B31225" w:rsidRPr="009A515A" w:rsidRDefault="00B31225" w:rsidP="003D7AFA">
            <w:pPr>
              <w:jc w:val="both"/>
              <w:rPr>
                <w:b/>
                <w:bCs/>
                <w:i/>
                <w:iCs/>
                <w:color w:val="000000" w:themeColor="text1"/>
                <w:sz w:val="20"/>
                <w:szCs w:val="20"/>
              </w:rPr>
            </w:pPr>
          </w:p>
        </w:tc>
      </w:tr>
      <w:tr w:rsidR="005E6819" w:rsidRPr="009A515A" w14:paraId="4AED22C1" w14:textId="77777777" w:rsidTr="005E6819">
        <w:trPr>
          <w:cantSplit/>
          <w:tblHeader/>
          <w:tblCellSpacing w:w="15" w:type="dxa"/>
        </w:trPr>
        <w:tc>
          <w:tcPr>
            <w:tcW w:w="775" w:type="pct"/>
            <w:tcBorders>
              <w:top w:val="nil"/>
              <w:left w:val="nil"/>
              <w:bottom w:val="single" w:sz="4" w:space="0" w:color="333333"/>
              <w:right w:val="nil"/>
            </w:tcBorders>
            <w:tcMar>
              <w:top w:w="60" w:type="dxa"/>
              <w:left w:w="120" w:type="dxa"/>
              <w:bottom w:w="60" w:type="dxa"/>
              <w:right w:w="120" w:type="dxa"/>
            </w:tcMar>
            <w:vAlign w:val="center"/>
            <w:hideMark/>
          </w:tcPr>
          <w:p w14:paraId="7296DBE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Factor</w:t>
            </w:r>
          </w:p>
        </w:tc>
        <w:tc>
          <w:tcPr>
            <w:tcW w:w="675" w:type="pct"/>
            <w:tcBorders>
              <w:top w:val="nil"/>
              <w:left w:val="nil"/>
              <w:bottom w:val="single" w:sz="4" w:space="0" w:color="333333"/>
              <w:right w:val="nil"/>
            </w:tcBorders>
            <w:tcMar>
              <w:top w:w="60" w:type="dxa"/>
              <w:left w:w="120" w:type="dxa"/>
              <w:bottom w:w="60" w:type="dxa"/>
              <w:right w:w="120" w:type="dxa"/>
            </w:tcMar>
            <w:vAlign w:val="center"/>
            <w:hideMark/>
          </w:tcPr>
          <w:p w14:paraId="207F0E54"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Indicator</w:t>
            </w:r>
          </w:p>
        </w:tc>
        <w:tc>
          <w:tcPr>
            <w:tcW w:w="581" w:type="pct"/>
            <w:tcBorders>
              <w:top w:val="nil"/>
              <w:left w:val="nil"/>
              <w:bottom w:val="single" w:sz="4" w:space="0" w:color="333333"/>
              <w:right w:val="nil"/>
            </w:tcBorders>
            <w:tcMar>
              <w:top w:w="60" w:type="dxa"/>
              <w:left w:w="120" w:type="dxa"/>
              <w:bottom w:w="60" w:type="dxa"/>
              <w:right w:w="120" w:type="dxa"/>
            </w:tcMar>
            <w:vAlign w:val="center"/>
            <w:hideMark/>
          </w:tcPr>
          <w:p w14:paraId="4555651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Estimate</w:t>
            </w:r>
          </w:p>
        </w:tc>
        <w:tc>
          <w:tcPr>
            <w:tcW w:w="728" w:type="pct"/>
            <w:tcBorders>
              <w:top w:val="nil"/>
              <w:left w:val="nil"/>
              <w:bottom w:val="single" w:sz="4" w:space="0" w:color="333333"/>
              <w:right w:val="nil"/>
            </w:tcBorders>
            <w:tcMar>
              <w:top w:w="60" w:type="dxa"/>
              <w:left w:w="120" w:type="dxa"/>
              <w:bottom w:w="60" w:type="dxa"/>
              <w:right w:w="120" w:type="dxa"/>
            </w:tcMar>
            <w:vAlign w:val="center"/>
          </w:tcPr>
          <w:p w14:paraId="7813DC2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Cronbach’s Alpha</w:t>
            </w:r>
          </w:p>
        </w:tc>
        <w:tc>
          <w:tcPr>
            <w:tcW w:w="525" w:type="pct"/>
            <w:tcBorders>
              <w:top w:val="nil"/>
              <w:left w:val="nil"/>
              <w:bottom w:val="single" w:sz="4" w:space="0" w:color="333333"/>
              <w:right w:val="nil"/>
            </w:tcBorders>
            <w:tcMar>
              <w:top w:w="60" w:type="dxa"/>
              <w:left w:w="120" w:type="dxa"/>
              <w:bottom w:w="60" w:type="dxa"/>
              <w:right w:w="120" w:type="dxa"/>
            </w:tcMar>
            <w:vAlign w:val="center"/>
          </w:tcPr>
          <w:p w14:paraId="2CF191D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AVE</w:t>
            </w:r>
          </w:p>
        </w:tc>
        <w:tc>
          <w:tcPr>
            <w:tcW w:w="789" w:type="pct"/>
            <w:tcBorders>
              <w:top w:val="nil"/>
              <w:left w:val="nil"/>
              <w:bottom w:val="single" w:sz="4" w:space="0" w:color="333333"/>
              <w:right w:val="nil"/>
            </w:tcBorders>
            <w:tcMar>
              <w:top w:w="60" w:type="dxa"/>
              <w:left w:w="120" w:type="dxa"/>
              <w:bottom w:w="60" w:type="dxa"/>
              <w:right w:w="120" w:type="dxa"/>
            </w:tcMar>
            <w:vAlign w:val="center"/>
          </w:tcPr>
          <w:p w14:paraId="4A75D96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SE</w:t>
            </w:r>
          </w:p>
        </w:tc>
        <w:tc>
          <w:tcPr>
            <w:tcW w:w="384" w:type="pct"/>
            <w:tcBorders>
              <w:top w:val="nil"/>
              <w:left w:val="nil"/>
              <w:bottom w:val="single" w:sz="4" w:space="0" w:color="333333"/>
              <w:right w:val="nil"/>
            </w:tcBorders>
            <w:vAlign w:val="center"/>
          </w:tcPr>
          <w:p w14:paraId="2622F40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Z</w:t>
            </w:r>
          </w:p>
        </w:tc>
        <w:tc>
          <w:tcPr>
            <w:tcW w:w="380" w:type="pct"/>
            <w:tcBorders>
              <w:top w:val="nil"/>
              <w:left w:val="nil"/>
              <w:bottom w:val="single" w:sz="4" w:space="0" w:color="333333"/>
              <w:right w:val="nil"/>
            </w:tcBorders>
            <w:vAlign w:val="center"/>
          </w:tcPr>
          <w:p w14:paraId="25F88AAF"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065B356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Brand Satisfaction</w:t>
            </w:r>
          </w:p>
        </w:tc>
        <w:tc>
          <w:tcPr>
            <w:tcW w:w="675" w:type="pct"/>
            <w:tcBorders>
              <w:top w:val="nil"/>
              <w:left w:val="nil"/>
              <w:bottom w:val="nil"/>
              <w:right w:val="nil"/>
            </w:tcBorders>
            <w:tcMar>
              <w:top w:w="120" w:type="dxa"/>
              <w:left w:w="120" w:type="dxa"/>
              <w:bottom w:w="60" w:type="dxa"/>
              <w:right w:w="120" w:type="dxa"/>
            </w:tcMar>
            <w:hideMark/>
          </w:tcPr>
          <w:p w14:paraId="741BC0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BSAT_1</w:t>
            </w:r>
          </w:p>
        </w:tc>
        <w:tc>
          <w:tcPr>
            <w:tcW w:w="581" w:type="pct"/>
            <w:tcBorders>
              <w:top w:val="nil"/>
              <w:left w:val="nil"/>
              <w:bottom w:val="nil"/>
              <w:right w:val="nil"/>
            </w:tcBorders>
            <w:tcMar>
              <w:top w:w="120" w:type="dxa"/>
              <w:left w:w="120" w:type="dxa"/>
              <w:bottom w:w="30" w:type="dxa"/>
              <w:right w:w="300" w:type="dxa"/>
            </w:tcMar>
            <w:hideMark/>
          </w:tcPr>
          <w:p w14:paraId="67AE142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val="restart"/>
            <w:tcBorders>
              <w:top w:val="nil"/>
              <w:left w:val="nil"/>
              <w:right w:val="nil"/>
            </w:tcBorders>
            <w:tcMar>
              <w:top w:w="120" w:type="dxa"/>
              <w:left w:w="120" w:type="dxa"/>
              <w:bottom w:w="30" w:type="dxa"/>
              <w:right w:w="300" w:type="dxa"/>
            </w:tcMar>
          </w:tcPr>
          <w:p w14:paraId="1C49156F" w14:textId="77777777" w:rsidR="00651853" w:rsidRPr="009A515A" w:rsidRDefault="00000000">
            <w:r w:rsidRPr="009A515A">
              <w:t>0.841</w:t>
            </w:r>
          </w:p>
        </w:tc>
        <w:tc>
          <w:tcPr>
            <w:tcW w:w="525" w:type="pct"/>
            <w:vMerge w:val="restart"/>
            <w:tcBorders>
              <w:top w:val="nil"/>
              <w:left w:val="nil"/>
              <w:right w:val="nil"/>
            </w:tcBorders>
            <w:tcMar>
              <w:top w:w="120" w:type="dxa"/>
              <w:left w:w="120" w:type="dxa"/>
              <w:bottom w:w="30" w:type="dxa"/>
              <w:right w:w="300" w:type="dxa"/>
            </w:tcMar>
          </w:tcPr>
          <w:p w14:paraId="3AC80C4E" w14:textId="77777777" w:rsidR="00651853" w:rsidRPr="009A515A" w:rsidRDefault="00000000">
            <w:r w:rsidRPr="009A515A">
              <w:t>0.514</w:t>
            </w:r>
          </w:p>
        </w:tc>
        <w:tc>
          <w:tcPr>
            <w:tcW w:w="789" w:type="pct"/>
            <w:tcBorders>
              <w:top w:val="nil"/>
              <w:left w:val="nil"/>
              <w:bottom w:val="nil"/>
              <w:right w:val="nil"/>
            </w:tcBorders>
            <w:tcMar>
              <w:top w:w="120" w:type="dxa"/>
              <w:left w:w="120" w:type="dxa"/>
              <w:bottom w:w="30" w:type="dxa"/>
              <w:right w:w="300" w:type="dxa"/>
            </w:tcMar>
          </w:tcPr>
          <w:p w14:paraId="278CE30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2EE63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21.8</w:t>
            </w:r>
          </w:p>
        </w:tc>
        <w:tc>
          <w:tcPr>
            <w:tcW w:w="380" w:type="pct"/>
            <w:tcBorders>
              <w:top w:val="nil"/>
              <w:left w:val="nil"/>
              <w:bottom w:val="nil"/>
              <w:right w:val="nil"/>
            </w:tcBorders>
          </w:tcPr>
          <w:p w14:paraId="6E6A1F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5E6819">
        <w:trPr>
          <w:cantSplit/>
          <w:tblCellSpacing w:w="15" w:type="dxa"/>
        </w:trPr>
        <w:tc>
          <w:tcPr>
            <w:tcW w:w="775" w:type="pct"/>
            <w:vMerge/>
            <w:tcBorders>
              <w:top w:val="nil"/>
              <w:left w:val="nil"/>
              <w:bottom w:val="nil"/>
              <w:right w:val="nil"/>
            </w:tcBorders>
            <w:vAlign w:val="center"/>
            <w:hideMark/>
          </w:tcPr>
          <w:p w14:paraId="18B4FE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2A51E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BSAT_2</w:t>
            </w:r>
          </w:p>
        </w:tc>
        <w:tc>
          <w:tcPr>
            <w:tcW w:w="581" w:type="pct"/>
            <w:tcBorders>
              <w:top w:val="nil"/>
              <w:left w:val="nil"/>
              <w:bottom w:val="nil"/>
              <w:right w:val="nil"/>
            </w:tcBorders>
            <w:tcMar>
              <w:top w:w="30" w:type="dxa"/>
              <w:left w:w="120" w:type="dxa"/>
              <w:bottom w:w="30" w:type="dxa"/>
              <w:right w:w="300" w:type="dxa"/>
            </w:tcMar>
            <w:hideMark/>
          </w:tcPr>
          <w:p w14:paraId="43966C0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0.741</w:t>
            </w:r>
          </w:p>
        </w:tc>
        <w:tc>
          <w:tcPr>
            <w:tcW w:w="728" w:type="pct"/>
            <w:vMerge/>
            <w:tcBorders>
              <w:left w:val="nil"/>
              <w:right w:val="nil"/>
            </w:tcBorders>
            <w:tcMar>
              <w:top w:w="30" w:type="dxa"/>
              <w:left w:w="120" w:type="dxa"/>
              <w:bottom w:w="30" w:type="dxa"/>
              <w:right w:w="300" w:type="dxa"/>
            </w:tcMar>
          </w:tcPr>
          <w:p w14:paraId="7CBAFD3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C911B6C"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5D5BC0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0.0337</w:t>
            </w:r>
          </w:p>
        </w:tc>
        <w:tc>
          <w:tcPr>
            <w:tcW w:w="384" w:type="pct"/>
            <w:tcBorders>
              <w:top w:val="nil"/>
              <w:left w:val="nil"/>
              <w:bottom w:val="nil"/>
              <w:right w:val="nil"/>
            </w:tcBorders>
          </w:tcPr>
          <w:p w14:paraId="039C12F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158F87B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5E6819">
        <w:trPr>
          <w:cantSplit/>
          <w:tblCellSpacing w:w="15" w:type="dxa"/>
        </w:trPr>
        <w:tc>
          <w:tcPr>
            <w:tcW w:w="775" w:type="pct"/>
            <w:vMerge/>
            <w:tcBorders>
              <w:top w:val="nil"/>
              <w:left w:val="nil"/>
              <w:bottom w:val="nil"/>
              <w:right w:val="nil"/>
            </w:tcBorders>
            <w:vAlign w:val="center"/>
            <w:hideMark/>
          </w:tcPr>
          <w:p w14:paraId="62BEB73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98733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BSAT_3</w:t>
            </w:r>
          </w:p>
        </w:tc>
        <w:tc>
          <w:tcPr>
            <w:tcW w:w="581" w:type="pct"/>
            <w:tcBorders>
              <w:top w:val="nil"/>
              <w:left w:val="nil"/>
              <w:bottom w:val="nil"/>
              <w:right w:val="nil"/>
            </w:tcBorders>
            <w:tcMar>
              <w:top w:w="30" w:type="dxa"/>
              <w:left w:w="120" w:type="dxa"/>
              <w:bottom w:w="30" w:type="dxa"/>
              <w:right w:w="300" w:type="dxa"/>
            </w:tcMar>
            <w:hideMark/>
          </w:tcPr>
          <w:p w14:paraId="62D2D85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0.721</w:t>
            </w:r>
          </w:p>
        </w:tc>
        <w:tc>
          <w:tcPr>
            <w:tcW w:w="728" w:type="pct"/>
            <w:vMerge/>
            <w:tcBorders>
              <w:left w:val="nil"/>
              <w:right w:val="nil"/>
            </w:tcBorders>
            <w:tcMar>
              <w:top w:w="30" w:type="dxa"/>
              <w:left w:w="120" w:type="dxa"/>
              <w:bottom w:w="30" w:type="dxa"/>
              <w:right w:w="300" w:type="dxa"/>
            </w:tcMar>
          </w:tcPr>
          <w:p w14:paraId="4DC222B9"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2BBAF7F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EC8642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28B6EB5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0C6EFA7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5E6819">
        <w:trPr>
          <w:cantSplit/>
          <w:tblCellSpacing w:w="15" w:type="dxa"/>
        </w:trPr>
        <w:tc>
          <w:tcPr>
            <w:tcW w:w="775" w:type="pct"/>
            <w:vMerge/>
            <w:tcBorders>
              <w:top w:val="nil"/>
              <w:left w:val="nil"/>
              <w:bottom w:val="nil"/>
              <w:right w:val="nil"/>
            </w:tcBorders>
            <w:vAlign w:val="center"/>
            <w:hideMark/>
          </w:tcPr>
          <w:p w14:paraId="13F8617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ABF84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BSAT_4</w:t>
            </w:r>
          </w:p>
        </w:tc>
        <w:tc>
          <w:tcPr>
            <w:tcW w:w="581" w:type="pct"/>
            <w:tcBorders>
              <w:top w:val="nil"/>
              <w:left w:val="nil"/>
              <w:bottom w:val="nil"/>
              <w:right w:val="nil"/>
            </w:tcBorders>
            <w:tcMar>
              <w:top w:w="30" w:type="dxa"/>
              <w:left w:w="120" w:type="dxa"/>
              <w:bottom w:w="30" w:type="dxa"/>
              <w:right w:w="300" w:type="dxa"/>
            </w:tcMar>
            <w:hideMark/>
          </w:tcPr>
          <w:p w14:paraId="605CF22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0.719</w:t>
            </w:r>
          </w:p>
        </w:tc>
        <w:tc>
          <w:tcPr>
            <w:tcW w:w="728" w:type="pct"/>
            <w:vMerge/>
            <w:tcBorders>
              <w:left w:val="nil"/>
              <w:right w:val="nil"/>
            </w:tcBorders>
            <w:tcMar>
              <w:top w:w="30" w:type="dxa"/>
              <w:left w:w="120" w:type="dxa"/>
              <w:bottom w:w="30" w:type="dxa"/>
              <w:right w:w="300" w:type="dxa"/>
            </w:tcMar>
          </w:tcPr>
          <w:p w14:paraId="68C30774"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D01D0F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9B9AB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0.0335</w:t>
            </w:r>
          </w:p>
        </w:tc>
        <w:tc>
          <w:tcPr>
            <w:tcW w:w="384" w:type="pct"/>
            <w:tcBorders>
              <w:top w:val="nil"/>
              <w:left w:val="nil"/>
              <w:bottom w:val="nil"/>
              <w:right w:val="nil"/>
            </w:tcBorders>
          </w:tcPr>
          <w:p w14:paraId="12FB1A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30E17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5E6819">
        <w:trPr>
          <w:cantSplit/>
          <w:tblCellSpacing w:w="15" w:type="dxa"/>
        </w:trPr>
        <w:tc>
          <w:tcPr>
            <w:tcW w:w="775" w:type="pct"/>
            <w:vMerge/>
            <w:tcBorders>
              <w:top w:val="nil"/>
              <w:left w:val="nil"/>
              <w:bottom w:val="nil"/>
              <w:right w:val="nil"/>
            </w:tcBorders>
            <w:vAlign w:val="center"/>
            <w:hideMark/>
          </w:tcPr>
          <w:p w14:paraId="1CDC41EF"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8DA3B4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BSAT_5</w:t>
            </w:r>
          </w:p>
        </w:tc>
        <w:tc>
          <w:tcPr>
            <w:tcW w:w="581" w:type="pct"/>
            <w:tcBorders>
              <w:top w:val="nil"/>
              <w:left w:val="nil"/>
              <w:bottom w:val="nil"/>
              <w:right w:val="nil"/>
            </w:tcBorders>
            <w:tcMar>
              <w:top w:w="30" w:type="dxa"/>
              <w:left w:w="120" w:type="dxa"/>
              <w:bottom w:w="30" w:type="dxa"/>
              <w:right w:w="300" w:type="dxa"/>
            </w:tcMar>
            <w:hideMark/>
          </w:tcPr>
          <w:p w14:paraId="7721CB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0.699</w:t>
            </w:r>
          </w:p>
        </w:tc>
        <w:tc>
          <w:tcPr>
            <w:tcW w:w="728" w:type="pct"/>
            <w:vMerge/>
            <w:tcBorders>
              <w:left w:val="nil"/>
              <w:bottom w:val="nil"/>
              <w:right w:val="nil"/>
            </w:tcBorders>
            <w:tcMar>
              <w:top w:w="30" w:type="dxa"/>
              <w:left w:w="120" w:type="dxa"/>
              <w:bottom w:w="30" w:type="dxa"/>
              <w:right w:w="300" w:type="dxa"/>
            </w:tcMar>
          </w:tcPr>
          <w:p w14:paraId="66931364"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335BC07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1F3669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51B405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2504E5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380329B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Engagement</w:t>
            </w:r>
          </w:p>
        </w:tc>
        <w:tc>
          <w:tcPr>
            <w:tcW w:w="675" w:type="pct"/>
            <w:tcBorders>
              <w:top w:val="nil"/>
              <w:left w:val="nil"/>
              <w:bottom w:val="nil"/>
              <w:right w:val="nil"/>
            </w:tcBorders>
            <w:tcMar>
              <w:top w:w="120" w:type="dxa"/>
              <w:left w:w="120" w:type="dxa"/>
              <w:bottom w:w="60" w:type="dxa"/>
              <w:right w:w="120" w:type="dxa"/>
            </w:tcMar>
            <w:hideMark/>
          </w:tcPr>
          <w:p w14:paraId="6C638F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w:t>
            </w:r>
          </w:p>
        </w:tc>
        <w:tc>
          <w:tcPr>
            <w:tcW w:w="581" w:type="pct"/>
            <w:tcBorders>
              <w:top w:val="nil"/>
              <w:left w:val="nil"/>
              <w:bottom w:val="nil"/>
              <w:right w:val="nil"/>
            </w:tcBorders>
            <w:tcMar>
              <w:top w:w="120" w:type="dxa"/>
              <w:left w:w="120" w:type="dxa"/>
              <w:bottom w:w="30" w:type="dxa"/>
              <w:right w:w="300" w:type="dxa"/>
            </w:tcMar>
            <w:hideMark/>
          </w:tcPr>
          <w:p w14:paraId="427B27D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val="restart"/>
            <w:tcBorders>
              <w:top w:val="nil"/>
              <w:left w:val="nil"/>
              <w:right w:val="nil"/>
            </w:tcBorders>
            <w:tcMar>
              <w:top w:w="120" w:type="dxa"/>
              <w:left w:w="120" w:type="dxa"/>
              <w:bottom w:w="30" w:type="dxa"/>
              <w:right w:w="300" w:type="dxa"/>
            </w:tcMar>
          </w:tcPr>
          <w:p w14:paraId="09B48015" w14:textId="77777777" w:rsidR="00651853" w:rsidRPr="009A515A" w:rsidRDefault="00000000">
            <w:r w:rsidRPr="009A515A">
              <w:t>0.903</w:t>
            </w:r>
          </w:p>
        </w:tc>
        <w:tc>
          <w:tcPr>
            <w:tcW w:w="525" w:type="pct"/>
            <w:vMerge w:val="restart"/>
            <w:tcBorders>
              <w:top w:val="nil"/>
              <w:left w:val="nil"/>
              <w:right w:val="nil"/>
            </w:tcBorders>
            <w:tcMar>
              <w:top w:w="120" w:type="dxa"/>
              <w:left w:w="120" w:type="dxa"/>
              <w:bottom w:w="30" w:type="dxa"/>
              <w:right w:w="300" w:type="dxa"/>
            </w:tcMar>
          </w:tcPr>
          <w:p w14:paraId="6CA26DB5"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2E57AEE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0.0322</w:t>
            </w:r>
          </w:p>
        </w:tc>
        <w:tc>
          <w:tcPr>
            <w:tcW w:w="384" w:type="pct"/>
            <w:tcBorders>
              <w:top w:val="nil"/>
              <w:left w:val="nil"/>
              <w:bottom w:val="nil"/>
              <w:right w:val="nil"/>
            </w:tcBorders>
          </w:tcPr>
          <w:p w14:paraId="74DE321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B3418C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5E6819">
        <w:trPr>
          <w:cantSplit/>
          <w:tblCellSpacing w:w="15" w:type="dxa"/>
        </w:trPr>
        <w:tc>
          <w:tcPr>
            <w:tcW w:w="775" w:type="pct"/>
            <w:vMerge/>
            <w:tcBorders>
              <w:top w:val="nil"/>
              <w:left w:val="nil"/>
              <w:bottom w:val="nil"/>
              <w:right w:val="nil"/>
            </w:tcBorders>
            <w:vAlign w:val="center"/>
            <w:hideMark/>
          </w:tcPr>
          <w:p w14:paraId="5D9876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D05ED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UE_2</w:t>
            </w:r>
          </w:p>
        </w:tc>
        <w:tc>
          <w:tcPr>
            <w:tcW w:w="581" w:type="pct"/>
            <w:tcBorders>
              <w:top w:val="nil"/>
              <w:left w:val="nil"/>
              <w:bottom w:val="nil"/>
              <w:right w:val="nil"/>
            </w:tcBorders>
            <w:tcMar>
              <w:top w:w="30" w:type="dxa"/>
              <w:left w:w="120" w:type="dxa"/>
              <w:bottom w:w="30" w:type="dxa"/>
              <w:right w:w="300" w:type="dxa"/>
            </w:tcMar>
            <w:hideMark/>
          </w:tcPr>
          <w:p w14:paraId="277DD66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0.696</w:t>
            </w:r>
          </w:p>
        </w:tc>
        <w:tc>
          <w:tcPr>
            <w:tcW w:w="728" w:type="pct"/>
            <w:vMerge/>
            <w:tcBorders>
              <w:left w:val="nil"/>
              <w:right w:val="nil"/>
            </w:tcBorders>
            <w:tcMar>
              <w:top w:w="30" w:type="dxa"/>
              <w:left w:w="120" w:type="dxa"/>
              <w:bottom w:w="30" w:type="dxa"/>
              <w:right w:w="300" w:type="dxa"/>
            </w:tcMar>
          </w:tcPr>
          <w:p w14:paraId="219630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9E13286"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F5BFA6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36A1EB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7CE6B64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5E6819">
        <w:trPr>
          <w:cantSplit/>
          <w:tblCellSpacing w:w="15" w:type="dxa"/>
        </w:trPr>
        <w:tc>
          <w:tcPr>
            <w:tcW w:w="775" w:type="pct"/>
            <w:vMerge/>
            <w:tcBorders>
              <w:top w:val="nil"/>
              <w:left w:val="nil"/>
              <w:bottom w:val="nil"/>
              <w:right w:val="nil"/>
            </w:tcBorders>
            <w:vAlign w:val="center"/>
            <w:hideMark/>
          </w:tcPr>
          <w:p w14:paraId="7AEFA3F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7143B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UE_3</w:t>
            </w:r>
          </w:p>
        </w:tc>
        <w:tc>
          <w:tcPr>
            <w:tcW w:w="581" w:type="pct"/>
            <w:tcBorders>
              <w:top w:val="nil"/>
              <w:left w:val="nil"/>
              <w:bottom w:val="nil"/>
              <w:right w:val="nil"/>
            </w:tcBorders>
            <w:tcMar>
              <w:top w:w="30" w:type="dxa"/>
              <w:left w:w="120" w:type="dxa"/>
              <w:bottom w:w="30" w:type="dxa"/>
              <w:right w:w="300" w:type="dxa"/>
            </w:tcMar>
            <w:hideMark/>
          </w:tcPr>
          <w:p w14:paraId="5240BF2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18F1B03B"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B028D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BF52E8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805D3E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629FBC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5E6819">
        <w:trPr>
          <w:cantSplit/>
          <w:tblCellSpacing w:w="15" w:type="dxa"/>
        </w:trPr>
        <w:tc>
          <w:tcPr>
            <w:tcW w:w="775" w:type="pct"/>
            <w:vMerge/>
            <w:tcBorders>
              <w:top w:val="nil"/>
              <w:left w:val="nil"/>
              <w:bottom w:val="nil"/>
              <w:right w:val="nil"/>
            </w:tcBorders>
            <w:vAlign w:val="center"/>
            <w:hideMark/>
          </w:tcPr>
          <w:p w14:paraId="14D38F97"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13384F3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UE_4</w:t>
            </w:r>
          </w:p>
        </w:tc>
        <w:tc>
          <w:tcPr>
            <w:tcW w:w="581" w:type="pct"/>
            <w:tcBorders>
              <w:top w:val="nil"/>
              <w:left w:val="nil"/>
              <w:bottom w:val="nil"/>
              <w:right w:val="nil"/>
            </w:tcBorders>
            <w:tcMar>
              <w:top w:w="30" w:type="dxa"/>
              <w:left w:w="120" w:type="dxa"/>
              <w:bottom w:w="30" w:type="dxa"/>
              <w:right w:w="300" w:type="dxa"/>
            </w:tcMar>
            <w:hideMark/>
          </w:tcPr>
          <w:p w14:paraId="72432BF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0.684</w:t>
            </w:r>
          </w:p>
        </w:tc>
        <w:tc>
          <w:tcPr>
            <w:tcW w:w="728" w:type="pct"/>
            <w:vMerge/>
            <w:tcBorders>
              <w:left w:val="nil"/>
              <w:right w:val="nil"/>
            </w:tcBorders>
            <w:tcMar>
              <w:top w:w="30" w:type="dxa"/>
              <w:left w:w="120" w:type="dxa"/>
              <w:bottom w:w="30" w:type="dxa"/>
              <w:right w:w="300" w:type="dxa"/>
            </w:tcMar>
          </w:tcPr>
          <w:p w14:paraId="15FAB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F5CED8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1213D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0.0334</w:t>
            </w:r>
          </w:p>
        </w:tc>
        <w:tc>
          <w:tcPr>
            <w:tcW w:w="384" w:type="pct"/>
            <w:tcBorders>
              <w:top w:val="nil"/>
              <w:left w:val="nil"/>
              <w:bottom w:val="nil"/>
              <w:right w:val="nil"/>
            </w:tcBorders>
          </w:tcPr>
          <w:p w14:paraId="3F8FDBD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20.5</w:t>
            </w:r>
          </w:p>
        </w:tc>
        <w:tc>
          <w:tcPr>
            <w:tcW w:w="380" w:type="pct"/>
            <w:tcBorders>
              <w:top w:val="nil"/>
              <w:left w:val="nil"/>
              <w:bottom w:val="nil"/>
              <w:right w:val="nil"/>
            </w:tcBorders>
          </w:tcPr>
          <w:p w14:paraId="0CF2DFC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5E6819">
        <w:trPr>
          <w:cantSplit/>
          <w:tblCellSpacing w:w="15" w:type="dxa"/>
        </w:trPr>
        <w:tc>
          <w:tcPr>
            <w:tcW w:w="775" w:type="pct"/>
            <w:vMerge/>
            <w:tcBorders>
              <w:top w:val="nil"/>
              <w:left w:val="nil"/>
              <w:bottom w:val="nil"/>
              <w:right w:val="nil"/>
            </w:tcBorders>
            <w:vAlign w:val="center"/>
            <w:hideMark/>
          </w:tcPr>
          <w:p w14:paraId="164699A8"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D817F1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UE_5</w:t>
            </w:r>
          </w:p>
        </w:tc>
        <w:tc>
          <w:tcPr>
            <w:tcW w:w="581" w:type="pct"/>
            <w:tcBorders>
              <w:top w:val="nil"/>
              <w:left w:val="nil"/>
              <w:bottom w:val="nil"/>
              <w:right w:val="nil"/>
            </w:tcBorders>
            <w:tcMar>
              <w:top w:w="30" w:type="dxa"/>
              <w:left w:w="120" w:type="dxa"/>
              <w:bottom w:w="30" w:type="dxa"/>
              <w:right w:w="300" w:type="dxa"/>
            </w:tcMar>
            <w:hideMark/>
          </w:tcPr>
          <w:p w14:paraId="5BF5BD5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0.698</w:t>
            </w:r>
          </w:p>
        </w:tc>
        <w:tc>
          <w:tcPr>
            <w:tcW w:w="728" w:type="pct"/>
            <w:vMerge/>
            <w:tcBorders>
              <w:left w:val="nil"/>
              <w:right w:val="nil"/>
            </w:tcBorders>
            <w:tcMar>
              <w:top w:w="30" w:type="dxa"/>
              <w:left w:w="120" w:type="dxa"/>
              <w:bottom w:w="30" w:type="dxa"/>
              <w:right w:w="300" w:type="dxa"/>
            </w:tcMar>
          </w:tcPr>
          <w:p w14:paraId="7D6DBBF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5D0311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F83B1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23FEAA7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7BDE159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5E6819">
        <w:trPr>
          <w:cantSplit/>
          <w:tblCellSpacing w:w="15" w:type="dxa"/>
        </w:trPr>
        <w:tc>
          <w:tcPr>
            <w:tcW w:w="775" w:type="pct"/>
            <w:vMerge/>
            <w:tcBorders>
              <w:top w:val="nil"/>
              <w:left w:val="nil"/>
              <w:bottom w:val="nil"/>
              <w:right w:val="nil"/>
            </w:tcBorders>
            <w:vAlign w:val="center"/>
            <w:hideMark/>
          </w:tcPr>
          <w:p w14:paraId="118C9196"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8B9D9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UE_6</w:t>
            </w:r>
          </w:p>
        </w:tc>
        <w:tc>
          <w:tcPr>
            <w:tcW w:w="581" w:type="pct"/>
            <w:tcBorders>
              <w:top w:val="nil"/>
              <w:left w:val="nil"/>
              <w:bottom w:val="nil"/>
              <w:right w:val="nil"/>
            </w:tcBorders>
            <w:tcMar>
              <w:top w:w="30" w:type="dxa"/>
              <w:left w:w="120" w:type="dxa"/>
              <w:bottom w:w="30" w:type="dxa"/>
              <w:right w:w="300" w:type="dxa"/>
            </w:tcMar>
            <w:hideMark/>
          </w:tcPr>
          <w:p w14:paraId="6CD010B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0.705</w:t>
            </w:r>
          </w:p>
        </w:tc>
        <w:tc>
          <w:tcPr>
            <w:tcW w:w="728" w:type="pct"/>
            <w:vMerge/>
            <w:tcBorders>
              <w:left w:val="nil"/>
              <w:right w:val="nil"/>
            </w:tcBorders>
            <w:tcMar>
              <w:top w:w="30" w:type="dxa"/>
              <w:left w:w="120" w:type="dxa"/>
              <w:bottom w:w="30" w:type="dxa"/>
              <w:right w:w="300" w:type="dxa"/>
            </w:tcMar>
          </w:tcPr>
          <w:p w14:paraId="051F0E1C"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36D0DC9"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B681A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4999C9C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BDDA6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5E6819">
        <w:trPr>
          <w:cantSplit/>
          <w:tblCellSpacing w:w="15" w:type="dxa"/>
        </w:trPr>
        <w:tc>
          <w:tcPr>
            <w:tcW w:w="775" w:type="pct"/>
            <w:vMerge/>
            <w:tcBorders>
              <w:top w:val="nil"/>
              <w:left w:val="nil"/>
              <w:bottom w:val="nil"/>
              <w:right w:val="nil"/>
            </w:tcBorders>
            <w:vAlign w:val="center"/>
            <w:hideMark/>
          </w:tcPr>
          <w:p w14:paraId="038E15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CCA20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UE_7</w:t>
            </w:r>
          </w:p>
        </w:tc>
        <w:tc>
          <w:tcPr>
            <w:tcW w:w="581" w:type="pct"/>
            <w:tcBorders>
              <w:top w:val="nil"/>
              <w:left w:val="nil"/>
              <w:bottom w:val="nil"/>
              <w:right w:val="nil"/>
            </w:tcBorders>
            <w:tcMar>
              <w:top w:w="30" w:type="dxa"/>
              <w:left w:w="120" w:type="dxa"/>
              <w:bottom w:w="30" w:type="dxa"/>
              <w:right w:w="300" w:type="dxa"/>
            </w:tcMar>
            <w:hideMark/>
          </w:tcPr>
          <w:p w14:paraId="715A836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387052E6"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8290FD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A52174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0.0323</w:t>
            </w:r>
          </w:p>
        </w:tc>
        <w:tc>
          <w:tcPr>
            <w:tcW w:w="384" w:type="pct"/>
            <w:tcBorders>
              <w:top w:val="nil"/>
              <w:left w:val="nil"/>
              <w:bottom w:val="nil"/>
              <w:right w:val="nil"/>
            </w:tcBorders>
          </w:tcPr>
          <w:p w14:paraId="6A53ED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20.9</w:t>
            </w:r>
          </w:p>
        </w:tc>
        <w:tc>
          <w:tcPr>
            <w:tcW w:w="380" w:type="pct"/>
            <w:tcBorders>
              <w:top w:val="nil"/>
              <w:left w:val="nil"/>
              <w:bottom w:val="nil"/>
              <w:right w:val="nil"/>
            </w:tcBorders>
          </w:tcPr>
          <w:p w14:paraId="30B86D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5E6819">
        <w:trPr>
          <w:cantSplit/>
          <w:tblCellSpacing w:w="15" w:type="dxa"/>
        </w:trPr>
        <w:tc>
          <w:tcPr>
            <w:tcW w:w="775" w:type="pct"/>
            <w:vMerge/>
            <w:tcBorders>
              <w:top w:val="nil"/>
              <w:left w:val="nil"/>
              <w:bottom w:val="nil"/>
              <w:right w:val="nil"/>
            </w:tcBorders>
            <w:vAlign w:val="center"/>
            <w:hideMark/>
          </w:tcPr>
          <w:p w14:paraId="11AA3DE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B162D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UE_8</w:t>
            </w:r>
          </w:p>
        </w:tc>
        <w:tc>
          <w:tcPr>
            <w:tcW w:w="581" w:type="pct"/>
            <w:tcBorders>
              <w:top w:val="nil"/>
              <w:left w:val="nil"/>
              <w:bottom w:val="nil"/>
              <w:right w:val="nil"/>
            </w:tcBorders>
            <w:tcMar>
              <w:top w:w="30" w:type="dxa"/>
              <w:left w:w="120" w:type="dxa"/>
              <w:bottom w:w="30" w:type="dxa"/>
              <w:right w:w="300" w:type="dxa"/>
            </w:tcMar>
            <w:hideMark/>
          </w:tcPr>
          <w:p w14:paraId="2CD5918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0.707</w:t>
            </w:r>
          </w:p>
        </w:tc>
        <w:tc>
          <w:tcPr>
            <w:tcW w:w="728" w:type="pct"/>
            <w:vMerge/>
            <w:tcBorders>
              <w:left w:val="nil"/>
              <w:right w:val="nil"/>
            </w:tcBorders>
            <w:tcMar>
              <w:top w:w="30" w:type="dxa"/>
              <w:left w:w="120" w:type="dxa"/>
              <w:bottom w:w="30" w:type="dxa"/>
              <w:right w:w="300" w:type="dxa"/>
            </w:tcMar>
          </w:tcPr>
          <w:p w14:paraId="183CFA15"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652ABC7"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C94DB5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5AE8D2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46A5CD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5E6819">
        <w:trPr>
          <w:cantSplit/>
          <w:tblCellSpacing w:w="15" w:type="dxa"/>
        </w:trPr>
        <w:tc>
          <w:tcPr>
            <w:tcW w:w="775" w:type="pct"/>
            <w:vMerge/>
            <w:tcBorders>
              <w:top w:val="nil"/>
              <w:left w:val="nil"/>
              <w:bottom w:val="nil"/>
              <w:right w:val="nil"/>
            </w:tcBorders>
            <w:vAlign w:val="center"/>
            <w:hideMark/>
          </w:tcPr>
          <w:p w14:paraId="53CADB5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84E46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UE_9</w:t>
            </w:r>
          </w:p>
        </w:tc>
        <w:tc>
          <w:tcPr>
            <w:tcW w:w="581" w:type="pct"/>
            <w:tcBorders>
              <w:top w:val="nil"/>
              <w:left w:val="nil"/>
              <w:bottom w:val="nil"/>
              <w:right w:val="nil"/>
            </w:tcBorders>
            <w:tcMar>
              <w:top w:w="30" w:type="dxa"/>
              <w:left w:w="120" w:type="dxa"/>
              <w:bottom w:w="30" w:type="dxa"/>
              <w:right w:w="300" w:type="dxa"/>
            </w:tcMar>
            <w:hideMark/>
          </w:tcPr>
          <w:p w14:paraId="5DF8E2D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0.670</w:t>
            </w:r>
          </w:p>
        </w:tc>
        <w:tc>
          <w:tcPr>
            <w:tcW w:w="728" w:type="pct"/>
            <w:vMerge/>
            <w:tcBorders>
              <w:left w:val="nil"/>
              <w:right w:val="nil"/>
            </w:tcBorders>
            <w:tcMar>
              <w:top w:w="30" w:type="dxa"/>
              <w:left w:w="120" w:type="dxa"/>
              <w:bottom w:w="30" w:type="dxa"/>
              <w:right w:w="300" w:type="dxa"/>
            </w:tcMar>
          </w:tcPr>
          <w:p w14:paraId="3022FCB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4946C610"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B2920C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0.0311</w:t>
            </w:r>
          </w:p>
        </w:tc>
        <w:tc>
          <w:tcPr>
            <w:tcW w:w="384" w:type="pct"/>
            <w:tcBorders>
              <w:top w:val="nil"/>
              <w:left w:val="nil"/>
              <w:bottom w:val="nil"/>
              <w:right w:val="nil"/>
            </w:tcBorders>
          </w:tcPr>
          <w:p w14:paraId="33DAC79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6B278AC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5E6819">
        <w:trPr>
          <w:cantSplit/>
          <w:tblCellSpacing w:w="15" w:type="dxa"/>
        </w:trPr>
        <w:tc>
          <w:tcPr>
            <w:tcW w:w="775" w:type="pct"/>
            <w:vMerge/>
            <w:tcBorders>
              <w:top w:val="nil"/>
              <w:left w:val="nil"/>
              <w:bottom w:val="nil"/>
              <w:right w:val="nil"/>
            </w:tcBorders>
            <w:vAlign w:val="center"/>
            <w:hideMark/>
          </w:tcPr>
          <w:p w14:paraId="3AA01192"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9CEE8B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UE_10</w:t>
            </w:r>
          </w:p>
        </w:tc>
        <w:tc>
          <w:tcPr>
            <w:tcW w:w="581" w:type="pct"/>
            <w:tcBorders>
              <w:top w:val="nil"/>
              <w:left w:val="nil"/>
              <w:bottom w:val="nil"/>
              <w:right w:val="nil"/>
            </w:tcBorders>
            <w:tcMar>
              <w:top w:w="30" w:type="dxa"/>
              <w:left w:w="120" w:type="dxa"/>
              <w:bottom w:w="30" w:type="dxa"/>
              <w:right w:w="300" w:type="dxa"/>
            </w:tcMar>
            <w:hideMark/>
          </w:tcPr>
          <w:p w14:paraId="01C212F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bottom w:val="nil"/>
              <w:right w:val="nil"/>
            </w:tcBorders>
            <w:tcMar>
              <w:top w:w="30" w:type="dxa"/>
              <w:left w:w="120" w:type="dxa"/>
              <w:bottom w:w="30" w:type="dxa"/>
              <w:right w:w="300" w:type="dxa"/>
            </w:tcMar>
          </w:tcPr>
          <w:p w14:paraId="0D5F4656"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1B19FD3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F147C7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5FF7349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29A8BB5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5E6819">
        <w:trPr>
          <w:cantSplit/>
          <w:tblCellSpacing w:w="15" w:type="dxa"/>
        </w:trPr>
        <w:tc>
          <w:tcPr>
            <w:tcW w:w="775" w:type="pct"/>
            <w:vMerge w:val="restart"/>
            <w:tcBorders>
              <w:top w:val="nil"/>
              <w:left w:val="nil"/>
              <w:bottom w:val="nil"/>
              <w:right w:val="nil"/>
            </w:tcBorders>
            <w:tcMar>
              <w:top w:w="120" w:type="dxa"/>
              <w:left w:w="120" w:type="dxa"/>
              <w:bottom w:w="60" w:type="dxa"/>
              <w:right w:w="120" w:type="dxa"/>
            </w:tcMar>
            <w:hideMark/>
          </w:tcPr>
          <w:p w14:paraId="27E996F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User Experience</w:t>
            </w:r>
          </w:p>
        </w:tc>
        <w:tc>
          <w:tcPr>
            <w:tcW w:w="675" w:type="pct"/>
            <w:tcBorders>
              <w:top w:val="nil"/>
              <w:left w:val="nil"/>
              <w:bottom w:val="nil"/>
              <w:right w:val="nil"/>
            </w:tcBorders>
            <w:tcMar>
              <w:top w:w="120" w:type="dxa"/>
              <w:left w:w="120" w:type="dxa"/>
              <w:bottom w:w="60" w:type="dxa"/>
              <w:right w:w="120" w:type="dxa"/>
            </w:tcMar>
            <w:hideMark/>
          </w:tcPr>
          <w:p w14:paraId="47522B0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w:t>
            </w:r>
          </w:p>
        </w:tc>
        <w:tc>
          <w:tcPr>
            <w:tcW w:w="581" w:type="pct"/>
            <w:tcBorders>
              <w:top w:val="nil"/>
              <w:left w:val="nil"/>
              <w:bottom w:val="nil"/>
              <w:right w:val="nil"/>
            </w:tcBorders>
            <w:tcMar>
              <w:top w:w="120" w:type="dxa"/>
              <w:left w:w="120" w:type="dxa"/>
              <w:bottom w:w="30" w:type="dxa"/>
              <w:right w:w="300" w:type="dxa"/>
            </w:tcMar>
            <w:hideMark/>
          </w:tcPr>
          <w:p w14:paraId="364A3B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0.690</w:t>
            </w:r>
          </w:p>
        </w:tc>
        <w:tc>
          <w:tcPr>
            <w:tcW w:w="728" w:type="pct"/>
            <w:vMerge w:val="restart"/>
            <w:tcBorders>
              <w:top w:val="nil"/>
              <w:left w:val="nil"/>
              <w:right w:val="nil"/>
            </w:tcBorders>
            <w:tcMar>
              <w:top w:w="120" w:type="dxa"/>
              <w:left w:w="120" w:type="dxa"/>
              <w:bottom w:w="30" w:type="dxa"/>
              <w:right w:w="300" w:type="dxa"/>
            </w:tcMar>
          </w:tcPr>
          <w:p w14:paraId="58DD97C0" w14:textId="77777777" w:rsidR="00651853" w:rsidRPr="009A515A" w:rsidRDefault="00000000">
            <w:r w:rsidRPr="009A515A">
              <w:t>0.902</w:t>
            </w:r>
          </w:p>
        </w:tc>
        <w:tc>
          <w:tcPr>
            <w:tcW w:w="525" w:type="pct"/>
            <w:vMerge w:val="restart"/>
            <w:tcBorders>
              <w:top w:val="nil"/>
              <w:left w:val="nil"/>
              <w:right w:val="nil"/>
            </w:tcBorders>
            <w:tcMar>
              <w:top w:w="120" w:type="dxa"/>
              <w:left w:w="120" w:type="dxa"/>
              <w:bottom w:w="30" w:type="dxa"/>
              <w:right w:w="300" w:type="dxa"/>
            </w:tcMar>
          </w:tcPr>
          <w:p w14:paraId="481396E9" w14:textId="77777777" w:rsidR="00651853" w:rsidRPr="009A515A" w:rsidRDefault="00000000">
            <w:r w:rsidRPr="009A515A">
              <w:t>0.481</w:t>
            </w:r>
          </w:p>
        </w:tc>
        <w:tc>
          <w:tcPr>
            <w:tcW w:w="789" w:type="pct"/>
            <w:tcBorders>
              <w:top w:val="nil"/>
              <w:left w:val="nil"/>
              <w:bottom w:val="nil"/>
              <w:right w:val="nil"/>
            </w:tcBorders>
            <w:tcMar>
              <w:top w:w="120" w:type="dxa"/>
              <w:left w:w="120" w:type="dxa"/>
              <w:bottom w:w="30" w:type="dxa"/>
              <w:right w:w="300" w:type="dxa"/>
            </w:tcMar>
          </w:tcPr>
          <w:p w14:paraId="329153A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0.0327</w:t>
            </w:r>
          </w:p>
        </w:tc>
        <w:tc>
          <w:tcPr>
            <w:tcW w:w="384" w:type="pct"/>
            <w:tcBorders>
              <w:top w:val="nil"/>
              <w:left w:val="nil"/>
              <w:bottom w:val="nil"/>
              <w:right w:val="nil"/>
            </w:tcBorders>
          </w:tcPr>
          <w:p w14:paraId="0C42A31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3780531"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5E6819">
        <w:trPr>
          <w:cantSplit/>
          <w:tblCellSpacing w:w="15" w:type="dxa"/>
        </w:trPr>
        <w:tc>
          <w:tcPr>
            <w:tcW w:w="775" w:type="pct"/>
            <w:vMerge/>
            <w:tcBorders>
              <w:top w:val="nil"/>
              <w:left w:val="nil"/>
              <w:bottom w:val="nil"/>
              <w:right w:val="nil"/>
            </w:tcBorders>
            <w:vAlign w:val="center"/>
            <w:hideMark/>
          </w:tcPr>
          <w:p w14:paraId="760C2181"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A6E4B3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UX_2</w:t>
            </w:r>
          </w:p>
        </w:tc>
        <w:tc>
          <w:tcPr>
            <w:tcW w:w="581" w:type="pct"/>
            <w:tcBorders>
              <w:top w:val="nil"/>
              <w:left w:val="nil"/>
              <w:bottom w:val="nil"/>
              <w:right w:val="nil"/>
            </w:tcBorders>
            <w:tcMar>
              <w:top w:w="30" w:type="dxa"/>
              <w:left w:w="120" w:type="dxa"/>
              <w:bottom w:w="30" w:type="dxa"/>
              <w:right w:w="300" w:type="dxa"/>
            </w:tcMar>
            <w:hideMark/>
          </w:tcPr>
          <w:p w14:paraId="0449939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0.681</w:t>
            </w:r>
          </w:p>
        </w:tc>
        <w:tc>
          <w:tcPr>
            <w:tcW w:w="728" w:type="pct"/>
            <w:vMerge/>
            <w:tcBorders>
              <w:left w:val="nil"/>
              <w:right w:val="nil"/>
            </w:tcBorders>
            <w:tcMar>
              <w:top w:w="30" w:type="dxa"/>
              <w:left w:w="120" w:type="dxa"/>
              <w:bottom w:w="30" w:type="dxa"/>
              <w:right w:w="300" w:type="dxa"/>
            </w:tcMar>
          </w:tcPr>
          <w:p w14:paraId="15B0E52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E549B7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4EDD96F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25F6A24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01BB8DD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5E6819">
        <w:trPr>
          <w:cantSplit/>
          <w:tblCellSpacing w:w="15" w:type="dxa"/>
        </w:trPr>
        <w:tc>
          <w:tcPr>
            <w:tcW w:w="775" w:type="pct"/>
            <w:vMerge/>
            <w:tcBorders>
              <w:top w:val="nil"/>
              <w:left w:val="nil"/>
              <w:bottom w:val="nil"/>
              <w:right w:val="nil"/>
            </w:tcBorders>
            <w:vAlign w:val="center"/>
            <w:hideMark/>
          </w:tcPr>
          <w:p w14:paraId="408E098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FE6B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UX_3</w:t>
            </w:r>
          </w:p>
        </w:tc>
        <w:tc>
          <w:tcPr>
            <w:tcW w:w="581" w:type="pct"/>
            <w:tcBorders>
              <w:top w:val="nil"/>
              <w:left w:val="nil"/>
              <w:bottom w:val="nil"/>
              <w:right w:val="nil"/>
            </w:tcBorders>
            <w:tcMar>
              <w:top w:w="30" w:type="dxa"/>
              <w:left w:w="120" w:type="dxa"/>
              <w:bottom w:w="30" w:type="dxa"/>
              <w:right w:w="300" w:type="dxa"/>
            </w:tcMar>
            <w:hideMark/>
          </w:tcPr>
          <w:p w14:paraId="1112EB8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0.714</w:t>
            </w:r>
          </w:p>
        </w:tc>
        <w:tc>
          <w:tcPr>
            <w:tcW w:w="728" w:type="pct"/>
            <w:vMerge/>
            <w:tcBorders>
              <w:left w:val="nil"/>
              <w:right w:val="nil"/>
            </w:tcBorders>
            <w:tcMar>
              <w:top w:w="30" w:type="dxa"/>
              <w:left w:w="120" w:type="dxa"/>
              <w:bottom w:w="30" w:type="dxa"/>
              <w:right w:w="300" w:type="dxa"/>
            </w:tcMar>
          </w:tcPr>
          <w:p w14:paraId="1DE337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30D0055D"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76A900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0.0325</w:t>
            </w:r>
          </w:p>
        </w:tc>
        <w:tc>
          <w:tcPr>
            <w:tcW w:w="384" w:type="pct"/>
            <w:tcBorders>
              <w:top w:val="nil"/>
              <w:left w:val="nil"/>
              <w:bottom w:val="nil"/>
              <w:right w:val="nil"/>
            </w:tcBorders>
          </w:tcPr>
          <w:p w14:paraId="0E25700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4D47C1E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5E6819">
        <w:trPr>
          <w:cantSplit/>
          <w:tblCellSpacing w:w="15" w:type="dxa"/>
        </w:trPr>
        <w:tc>
          <w:tcPr>
            <w:tcW w:w="775" w:type="pct"/>
            <w:vMerge/>
            <w:tcBorders>
              <w:top w:val="nil"/>
              <w:left w:val="nil"/>
              <w:bottom w:val="nil"/>
              <w:right w:val="nil"/>
            </w:tcBorders>
            <w:vAlign w:val="center"/>
            <w:hideMark/>
          </w:tcPr>
          <w:p w14:paraId="3FFC4C4B"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4D07C15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UX_4</w:t>
            </w:r>
          </w:p>
        </w:tc>
        <w:tc>
          <w:tcPr>
            <w:tcW w:w="581" w:type="pct"/>
            <w:tcBorders>
              <w:top w:val="nil"/>
              <w:left w:val="nil"/>
              <w:bottom w:val="nil"/>
              <w:right w:val="nil"/>
            </w:tcBorders>
            <w:tcMar>
              <w:top w:w="30" w:type="dxa"/>
              <w:left w:w="120" w:type="dxa"/>
              <w:bottom w:w="30" w:type="dxa"/>
              <w:right w:w="300" w:type="dxa"/>
            </w:tcMar>
            <w:hideMark/>
          </w:tcPr>
          <w:p w14:paraId="3D904C1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0.694</w:t>
            </w:r>
          </w:p>
        </w:tc>
        <w:tc>
          <w:tcPr>
            <w:tcW w:w="728" w:type="pct"/>
            <w:vMerge/>
            <w:tcBorders>
              <w:left w:val="nil"/>
              <w:right w:val="nil"/>
            </w:tcBorders>
            <w:tcMar>
              <w:top w:w="30" w:type="dxa"/>
              <w:left w:w="120" w:type="dxa"/>
              <w:bottom w:w="30" w:type="dxa"/>
              <w:right w:w="300" w:type="dxa"/>
            </w:tcMar>
          </w:tcPr>
          <w:p w14:paraId="63C3FE5F"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102718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5CB35C6"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0.0326</w:t>
            </w:r>
          </w:p>
        </w:tc>
        <w:tc>
          <w:tcPr>
            <w:tcW w:w="384" w:type="pct"/>
            <w:tcBorders>
              <w:top w:val="nil"/>
              <w:left w:val="nil"/>
              <w:bottom w:val="nil"/>
              <w:right w:val="nil"/>
            </w:tcBorders>
          </w:tcPr>
          <w:p w14:paraId="5FDA90A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21.3</w:t>
            </w:r>
          </w:p>
        </w:tc>
        <w:tc>
          <w:tcPr>
            <w:tcW w:w="380" w:type="pct"/>
            <w:tcBorders>
              <w:top w:val="nil"/>
              <w:left w:val="nil"/>
              <w:bottom w:val="nil"/>
              <w:right w:val="nil"/>
            </w:tcBorders>
          </w:tcPr>
          <w:p w14:paraId="5EECE2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5E6819">
        <w:trPr>
          <w:cantSplit/>
          <w:tblCellSpacing w:w="15" w:type="dxa"/>
        </w:trPr>
        <w:tc>
          <w:tcPr>
            <w:tcW w:w="775" w:type="pct"/>
            <w:vMerge/>
            <w:tcBorders>
              <w:top w:val="nil"/>
              <w:left w:val="nil"/>
              <w:bottom w:val="nil"/>
              <w:right w:val="nil"/>
            </w:tcBorders>
            <w:vAlign w:val="center"/>
            <w:hideMark/>
          </w:tcPr>
          <w:p w14:paraId="63E1D30C"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696A701D"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UX_5</w:t>
            </w:r>
          </w:p>
        </w:tc>
        <w:tc>
          <w:tcPr>
            <w:tcW w:w="581" w:type="pct"/>
            <w:tcBorders>
              <w:top w:val="nil"/>
              <w:left w:val="nil"/>
              <w:bottom w:val="nil"/>
              <w:right w:val="nil"/>
            </w:tcBorders>
            <w:tcMar>
              <w:top w:w="30" w:type="dxa"/>
              <w:left w:w="120" w:type="dxa"/>
              <w:bottom w:w="30" w:type="dxa"/>
              <w:right w:w="300" w:type="dxa"/>
            </w:tcMar>
            <w:hideMark/>
          </w:tcPr>
          <w:p w14:paraId="335BF2E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0.678</w:t>
            </w:r>
          </w:p>
        </w:tc>
        <w:tc>
          <w:tcPr>
            <w:tcW w:w="728" w:type="pct"/>
            <w:vMerge/>
            <w:tcBorders>
              <w:left w:val="nil"/>
              <w:right w:val="nil"/>
            </w:tcBorders>
            <w:tcMar>
              <w:top w:w="30" w:type="dxa"/>
              <w:left w:w="120" w:type="dxa"/>
              <w:bottom w:w="30" w:type="dxa"/>
              <w:right w:w="300" w:type="dxa"/>
            </w:tcMar>
          </w:tcPr>
          <w:p w14:paraId="698391F7"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7839415"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0DD4E44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3B46AB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21.4</w:t>
            </w:r>
          </w:p>
        </w:tc>
        <w:tc>
          <w:tcPr>
            <w:tcW w:w="380" w:type="pct"/>
            <w:tcBorders>
              <w:top w:val="nil"/>
              <w:left w:val="nil"/>
              <w:bottom w:val="nil"/>
              <w:right w:val="nil"/>
            </w:tcBorders>
          </w:tcPr>
          <w:p w14:paraId="2135AA1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5E6819">
        <w:trPr>
          <w:cantSplit/>
          <w:tblCellSpacing w:w="15" w:type="dxa"/>
        </w:trPr>
        <w:tc>
          <w:tcPr>
            <w:tcW w:w="775" w:type="pct"/>
            <w:vMerge/>
            <w:tcBorders>
              <w:top w:val="nil"/>
              <w:left w:val="nil"/>
              <w:bottom w:val="nil"/>
              <w:right w:val="nil"/>
            </w:tcBorders>
            <w:vAlign w:val="center"/>
            <w:hideMark/>
          </w:tcPr>
          <w:p w14:paraId="4B29F77D"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4085B7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UX_6</w:t>
            </w:r>
          </w:p>
        </w:tc>
        <w:tc>
          <w:tcPr>
            <w:tcW w:w="581" w:type="pct"/>
            <w:tcBorders>
              <w:top w:val="nil"/>
              <w:left w:val="nil"/>
              <w:bottom w:val="nil"/>
              <w:right w:val="nil"/>
            </w:tcBorders>
            <w:tcMar>
              <w:top w:w="30" w:type="dxa"/>
              <w:left w:w="120" w:type="dxa"/>
              <w:bottom w:w="30" w:type="dxa"/>
              <w:right w:w="300" w:type="dxa"/>
            </w:tcMar>
            <w:hideMark/>
          </w:tcPr>
          <w:p w14:paraId="6FAAA585"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0.706</w:t>
            </w:r>
          </w:p>
        </w:tc>
        <w:tc>
          <w:tcPr>
            <w:tcW w:w="728" w:type="pct"/>
            <w:vMerge/>
            <w:tcBorders>
              <w:left w:val="nil"/>
              <w:right w:val="nil"/>
            </w:tcBorders>
            <w:tcMar>
              <w:top w:w="30" w:type="dxa"/>
              <w:left w:w="120" w:type="dxa"/>
              <w:bottom w:w="30" w:type="dxa"/>
              <w:right w:w="300" w:type="dxa"/>
            </w:tcMar>
          </w:tcPr>
          <w:p w14:paraId="009CDABA"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C7FCB58"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6DA8A42B"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0.0328</w:t>
            </w:r>
          </w:p>
        </w:tc>
        <w:tc>
          <w:tcPr>
            <w:tcW w:w="384" w:type="pct"/>
            <w:tcBorders>
              <w:top w:val="nil"/>
              <w:left w:val="nil"/>
              <w:bottom w:val="nil"/>
              <w:right w:val="nil"/>
            </w:tcBorders>
          </w:tcPr>
          <w:p w14:paraId="79AEE99C"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64501F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5E6819">
        <w:trPr>
          <w:cantSplit/>
          <w:tblCellSpacing w:w="15" w:type="dxa"/>
        </w:trPr>
        <w:tc>
          <w:tcPr>
            <w:tcW w:w="775" w:type="pct"/>
            <w:vMerge/>
            <w:tcBorders>
              <w:top w:val="nil"/>
              <w:left w:val="nil"/>
              <w:bottom w:val="nil"/>
              <w:right w:val="nil"/>
            </w:tcBorders>
            <w:vAlign w:val="center"/>
            <w:hideMark/>
          </w:tcPr>
          <w:p w14:paraId="5331E74E"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3C83785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UX_7</w:t>
            </w:r>
          </w:p>
        </w:tc>
        <w:tc>
          <w:tcPr>
            <w:tcW w:w="581" w:type="pct"/>
            <w:tcBorders>
              <w:top w:val="nil"/>
              <w:left w:val="nil"/>
              <w:bottom w:val="nil"/>
              <w:right w:val="nil"/>
            </w:tcBorders>
            <w:tcMar>
              <w:top w:w="30" w:type="dxa"/>
              <w:left w:w="120" w:type="dxa"/>
              <w:bottom w:w="30" w:type="dxa"/>
              <w:right w:w="300" w:type="dxa"/>
            </w:tcMar>
            <w:hideMark/>
          </w:tcPr>
          <w:p w14:paraId="1AABCB9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0.687</w:t>
            </w:r>
          </w:p>
        </w:tc>
        <w:tc>
          <w:tcPr>
            <w:tcW w:w="728" w:type="pct"/>
            <w:vMerge/>
            <w:tcBorders>
              <w:left w:val="nil"/>
              <w:right w:val="nil"/>
            </w:tcBorders>
            <w:tcMar>
              <w:top w:w="30" w:type="dxa"/>
              <w:left w:w="120" w:type="dxa"/>
              <w:bottom w:w="30" w:type="dxa"/>
              <w:right w:w="300" w:type="dxa"/>
            </w:tcMar>
          </w:tcPr>
          <w:p w14:paraId="4BAE259D"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72E5D5FE"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764F68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nil"/>
              <w:right w:val="nil"/>
            </w:tcBorders>
          </w:tcPr>
          <w:p w14:paraId="5F7975CF"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21.7</w:t>
            </w:r>
          </w:p>
        </w:tc>
        <w:tc>
          <w:tcPr>
            <w:tcW w:w="380" w:type="pct"/>
            <w:tcBorders>
              <w:top w:val="nil"/>
              <w:left w:val="nil"/>
              <w:bottom w:val="nil"/>
              <w:right w:val="nil"/>
            </w:tcBorders>
          </w:tcPr>
          <w:p w14:paraId="51A9701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5E6819">
        <w:trPr>
          <w:cantSplit/>
          <w:tblCellSpacing w:w="15" w:type="dxa"/>
        </w:trPr>
        <w:tc>
          <w:tcPr>
            <w:tcW w:w="775" w:type="pct"/>
            <w:vMerge/>
            <w:tcBorders>
              <w:top w:val="nil"/>
              <w:left w:val="nil"/>
              <w:bottom w:val="nil"/>
              <w:right w:val="nil"/>
            </w:tcBorders>
            <w:vAlign w:val="center"/>
            <w:hideMark/>
          </w:tcPr>
          <w:p w14:paraId="080ADB55"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238CF744"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UX_8</w:t>
            </w:r>
          </w:p>
        </w:tc>
        <w:tc>
          <w:tcPr>
            <w:tcW w:w="581" w:type="pct"/>
            <w:tcBorders>
              <w:top w:val="nil"/>
              <w:left w:val="nil"/>
              <w:bottom w:val="nil"/>
              <w:right w:val="nil"/>
            </w:tcBorders>
            <w:tcMar>
              <w:top w:w="30" w:type="dxa"/>
              <w:left w:w="120" w:type="dxa"/>
              <w:bottom w:w="30" w:type="dxa"/>
              <w:right w:w="300" w:type="dxa"/>
            </w:tcMar>
            <w:hideMark/>
          </w:tcPr>
          <w:p w14:paraId="71F6A5B2"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0.677</w:t>
            </w:r>
          </w:p>
        </w:tc>
        <w:tc>
          <w:tcPr>
            <w:tcW w:w="728" w:type="pct"/>
            <w:vMerge/>
            <w:tcBorders>
              <w:left w:val="nil"/>
              <w:right w:val="nil"/>
            </w:tcBorders>
            <w:tcMar>
              <w:top w:w="30" w:type="dxa"/>
              <w:left w:w="120" w:type="dxa"/>
              <w:bottom w:w="30" w:type="dxa"/>
              <w:right w:w="300" w:type="dxa"/>
            </w:tcMar>
          </w:tcPr>
          <w:p w14:paraId="1E3F8E22"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073C7A8F"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3636690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0.0320</w:t>
            </w:r>
          </w:p>
        </w:tc>
        <w:tc>
          <w:tcPr>
            <w:tcW w:w="384" w:type="pct"/>
            <w:tcBorders>
              <w:top w:val="nil"/>
              <w:left w:val="nil"/>
              <w:bottom w:val="nil"/>
              <w:right w:val="nil"/>
            </w:tcBorders>
          </w:tcPr>
          <w:p w14:paraId="6067603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78E427A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5E6819">
        <w:trPr>
          <w:cantSplit/>
          <w:tblCellSpacing w:w="15" w:type="dxa"/>
        </w:trPr>
        <w:tc>
          <w:tcPr>
            <w:tcW w:w="775" w:type="pct"/>
            <w:vMerge/>
            <w:tcBorders>
              <w:top w:val="nil"/>
              <w:left w:val="nil"/>
              <w:bottom w:val="nil"/>
              <w:right w:val="nil"/>
            </w:tcBorders>
            <w:vAlign w:val="center"/>
            <w:hideMark/>
          </w:tcPr>
          <w:p w14:paraId="0E047579"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C1B68C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UX_9</w:t>
            </w:r>
          </w:p>
        </w:tc>
        <w:tc>
          <w:tcPr>
            <w:tcW w:w="581" w:type="pct"/>
            <w:tcBorders>
              <w:top w:val="nil"/>
              <w:left w:val="nil"/>
              <w:bottom w:val="nil"/>
              <w:right w:val="nil"/>
            </w:tcBorders>
            <w:tcMar>
              <w:top w:w="30" w:type="dxa"/>
              <w:left w:w="120" w:type="dxa"/>
              <w:bottom w:w="30" w:type="dxa"/>
              <w:right w:w="300" w:type="dxa"/>
            </w:tcMar>
            <w:hideMark/>
          </w:tcPr>
          <w:p w14:paraId="228FF250"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0.703</w:t>
            </w:r>
          </w:p>
        </w:tc>
        <w:tc>
          <w:tcPr>
            <w:tcW w:w="728" w:type="pct"/>
            <w:vMerge/>
            <w:tcBorders>
              <w:left w:val="nil"/>
              <w:right w:val="nil"/>
            </w:tcBorders>
            <w:tcMar>
              <w:top w:w="30" w:type="dxa"/>
              <w:left w:w="120" w:type="dxa"/>
              <w:bottom w:w="30" w:type="dxa"/>
              <w:right w:w="300" w:type="dxa"/>
            </w:tcMar>
          </w:tcPr>
          <w:p w14:paraId="074FB43E" w14:textId="77777777" w:rsidR="00EB6D56" w:rsidRPr="009A515A" w:rsidRDefault="00EB6D56" w:rsidP="00B31225">
            <w:pPr>
              <w:jc w:val="both"/>
              <w:rPr>
                <w:b/>
                <w:bCs/>
                <w:i/>
                <w:iCs/>
                <w:color w:val="000000" w:themeColor="text1"/>
                <w:sz w:val="20"/>
                <w:szCs w:val="20"/>
              </w:rPr>
            </w:pPr>
          </w:p>
        </w:tc>
        <w:tc>
          <w:tcPr>
            <w:tcW w:w="525" w:type="pct"/>
            <w:vMerge/>
            <w:tcBorders>
              <w:left w:val="nil"/>
              <w:right w:val="nil"/>
            </w:tcBorders>
            <w:tcMar>
              <w:top w:w="30" w:type="dxa"/>
              <w:left w:w="120" w:type="dxa"/>
              <w:bottom w:w="30" w:type="dxa"/>
              <w:right w:w="300" w:type="dxa"/>
            </w:tcMar>
          </w:tcPr>
          <w:p w14:paraId="17C26573"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17BAA5BA"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0.0319</w:t>
            </w:r>
          </w:p>
        </w:tc>
        <w:tc>
          <w:tcPr>
            <w:tcW w:w="384" w:type="pct"/>
            <w:tcBorders>
              <w:top w:val="nil"/>
              <w:left w:val="nil"/>
              <w:bottom w:val="nil"/>
              <w:right w:val="nil"/>
            </w:tcBorders>
          </w:tcPr>
          <w:p w14:paraId="6E7485D8"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22.0</w:t>
            </w:r>
          </w:p>
        </w:tc>
        <w:tc>
          <w:tcPr>
            <w:tcW w:w="380" w:type="pct"/>
            <w:tcBorders>
              <w:top w:val="nil"/>
              <w:left w:val="nil"/>
              <w:bottom w:val="nil"/>
              <w:right w:val="nil"/>
            </w:tcBorders>
          </w:tcPr>
          <w:p w14:paraId="073F8EE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5E6819">
        <w:trPr>
          <w:cantSplit/>
          <w:tblCellSpacing w:w="15" w:type="dxa"/>
        </w:trPr>
        <w:tc>
          <w:tcPr>
            <w:tcW w:w="775" w:type="pct"/>
            <w:vMerge/>
            <w:tcBorders>
              <w:top w:val="nil"/>
              <w:left w:val="nil"/>
              <w:bottom w:val="nil"/>
              <w:right w:val="nil"/>
            </w:tcBorders>
            <w:vAlign w:val="center"/>
            <w:hideMark/>
          </w:tcPr>
          <w:p w14:paraId="3AA8B4B4" w14:textId="77777777" w:rsidR="00EB6D56" w:rsidRPr="009A515A" w:rsidRDefault="00EB6D56"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75292159"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UX_10</w:t>
            </w:r>
          </w:p>
        </w:tc>
        <w:tc>
          <w:tcPr>
            <w:tcW w:w="581" w:type="pct"/>
            <w:tcBorders>
              <w:top w:val="nil"/>
              <w:left w:val="nil"/>
              <w:bottom w:val="nil"/>
              <w:right w:val="nil"/>
            </w:tcBorders>
            <w:tcMar>
              <w:top w:w="30" w:type="dxa"/>
              <w:left w:w="120" w:type="dxa"/>
              <w:bottom w:w="30" w:type="dxa"/>
              <w:right w:w="300" w:type="dxa"/>
            </w:tcMar>
            <w:hideMark/>
          </w:tcPr>
          <w:p w14:paraId="45F149D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0.702</w:t>
            </w:r>
          </w:p>
        </w:tc>
        <w:tc>
          <w:tcPr>
            <w:tcW w:w="728" w:type="pct"/>
            <w:vMerge/>
            <w:tcBorders>
              <w:left w:val="nil"/>
              <w:bottom w:val="nil"/>
              <w:right w:val="nil"/>
            </w:tcBorders>
            <w:tcMar>
              <w:top w:w="30" w:type="dxa"/>
              <w:left w:w="120" w:type="dxa"/>
              <w:bottom w:w="30" w:type="dxa"/>
              <w:right w:w="300" w:type="dxa"/>
            </w:tcMar>
          </w:tcPr>
          <w:p w14:paraId="54ABB120" w14:textId="77777777" w:rsidR="00EB6D56" w:rsidRPr="009A515A" w:rsidRDefault="00EB6D56" w:rsidP="00B31225">
            <w:pPr>
              <w:jc w:val="both"/>
              <w:rPr>
                <w:b/>
                <w:bCs/>
                <w:i/>
                <w:iCs/>
                <w:color w:val="000000" w:themeColor="text1"/>
                <w:sz w:val="20"/>
                <w:szCs w:val="20"/>
              </w:rPr>
            </w:pPr>
          </w:p>
        </w:tc>
        <w:tc>
          <w:tcPr>
            <w:tcW w:w="525" w:type="pct"/>
            <w:vMerge/>
            <w:tcBorders>
              <w:left w:val="nil"/>
              <w:bottom w:val="nil"/>
              <w:right w:val="nil"/>
            </w:tcBorders>
            <w:tcMar>
              <w:top w:w="30" w:type="dxa"/>
              <w:left w:w="120" w:type="dxa"/>
              <w:bottom w:w="30" w:type="dxa"/>
              <w:right w:w="300" w:type="dxa"/>
            </w:tcMar>
          </w:tcPr>
          <w:p w14:paraId="59B6EC8B" w14:textId="77777777" w:rsidR="00EB6D56" w:rsidRPr="009A515A" w:rsidRDefault="00EB6D56" w:rsidP="00B31225">
            <w:pPr>
              <w:jc w:val="both"/>
              <w:rPr>
                <w:b/>
                <w:bCs/>
                <w:i/>
                <w:iCs/>
                <w:color w:val="000000" w:themeColor="text1"/>
                <w:sz w:val="20"/>
                <w:szCs w:val="20"/>
              </w:rPr>
            </w:pPr>
          </w:p>
        </w:tc>
        <w:tc>
          <w:tcPr>
            <w:tcW w:w="789" w:type="pct"/>
            <w:tcBorders>
              <w:top w:val="nil"/>
              <w:left w:val="nil"/>
              <w:bottom w:val="nil"/>
              <w:right w:val="nil"/>
            </w:tcBorders>
            <w:tcMar>
              <w:top w:w="30" w:type="dxa"/>
              <w:left w:w="120" w:type="dxa"/>
              <w:bottom w:w="30" w:type="dxa"/>
              <w:right w:w="300" w:type="dxa"/>
            </w:tcMar>
          </w:tcPr>
          <w:p w14:paraId="599D7B1E"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0.0321</w:t>
            </w:r>
          </w:p>
        </w:tc>
        <w:tc>
          <w:tcPr>
            <w:tcW w:w="384" w:type="pct"/>
            <w:tcBorders>
              <w:top w:val="nil"/>
              <w:left w:val="nil"/>
              <w:bottom w:val="nil"/>
              <w:right w:val="nil"/>
            </w:tcBorders>
          </w:tcPr>
          <w:p w14:paraId="098919F3"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21.9</w:t>
            </w:r>
          </w:p>
        </w:tc>
        <w:tc>
          <w:tcPr>
            <w:tcW w:w="380" w:type="pct"/>
            <w:tcBorders>
              <w:top w:val="nil"/>
              <w:left w:val="nil"/>
              <w:bottom w:val="nil"/>
              <w:right w:val="nil"/>
            </w:tcBorders>
          </w:tcPr>
          <w:p w14:paraId="6BB52FE7" w14:textId="77777777" w:rsidR="00EB6D56" w:rsidRPr="009A515A" w:rsidRDefault="00EB6D56"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5E6819">
        <w:trPr>
          <w:cantSplit/>
          <w:tblCellSpacing w:w="15" w:type="dxa"/>
        </w:trPr>
        <w:tc>
          <w:tcPr>
            <w:tcW w:w="775" w:type="pct"/>
            <w:vMerge w:val="restart"/>
            <w:tcBorders>
              <w:top w:val="nil"/>
              <w:left w:val="nil"/>
              <w:bottom w:val="single" w:sz="12" w:space="0" w:color="333333"/>
              <w:right w:val="nil"/>
            </w:tcBorders>
            <w:tcMar>
              <w:top w:w="120" w:type="dxa"/>
              <w:left w:w="120" w:type="dxa"/>
              <w:bottom w:w="60" w:type="dxa"/>
              <w:right w:w="120" w:type="dxa"/>
            </w:tcMar>
            <w:hideMark/>
          </w:tcPr>
          <w:p w14:paraId="721D2B90"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Brand Success</w:t>
            </w:r>
          </w:p>
        </w:tc>
        <w:tc>
          <w:tcPr>
            <w:tcW w:w="675" w:type="pct"/>
            <w:tcBorders>
              <w:top w:val="nil"/>
              <w:left w:val="nil"/>
              <w:bottom w:val="nil"/>
              <w:right w:val="nil"/>
            </w:tcBorders>
            <w:tcMar>
              <w:top w:w="120" w:type="dxa"/>
              <w:left w:w="120" w:type="dxa"/>
              <w:bottom w:w="60" w:type="dxa"/>
              <w:right w:w="120" w:type="dxa"/>
            </w:tcMar>
            <w:hideMark/>
          </w:tcPr>
          <w:p w14:paraId="641D19AA"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BSUC_1</w:t>
            </w:r>
          </w:p>
        </w:tc>
        <w:tc>
          <w:tcPr>
            <w:tcW w:w="581" w:type="pct"/>
            <w:tcBorders>
              <w:top w:val="nil"/>
              <w:left w:val="nil"/>
              <w:bottom w:val="nil"/>
              <w:right w:val="nil"/>
            </w:tcBorders>
            <w:tcMar>
              <w:top w:w="120" w:type="dxa"/>
              <w:left w:w="120" w:type="dxa"/>
              <w:bottom w:w="30" w:type="dxa"/>
              <w:right w:w="300" w:type="dxa"/>
            </w:tcMar>
            <w:hideMark/>
          </w:tcPr>
          <w:p w14:paraId="4B6E6D3E"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0.661</w:t>
            </w:r>
          </w:p>
        </w:tc>
        <w:tc>
          <w:tcPr>
            <w:tcW w:w="728" w:type="pct"/>
            <w:vMerge w:val="restart"/>
            <w:tcBorders>
              <w:top w:val="nil"/>
              <w:left w:val="nil"/>
              <w:right w:val="nil"/>
            </w:tcBorders>
            <w:tcMar>
              <w:top w:w="120" w:type="dxa"/>
              <w:left w:w="120" w:type="dxa"/>
              <w:bottom w:w="30" w:type="dxa"/>
              <w:right w:w="300" w:type="dxa"/>
            </w:tcMar>
          </w:tcPr>
          <w:p w14:paraId="6661BF3C" w14:textId="77777777" w:rsidR="00651853" w:rsidRPr="009A515A" w:rsidRDefault="00000000">
            <w:r w:rsidRPr="009A515A">
              <w:t>0.765</w:t>
            </w:r>
          </w:p>
        </w:tc>
        <w:tc>
          <w:tcPr>
            <w:tcW w:w="525" w:type="pct"/>
            <w:tcBorders>
              <w:top w:val="nil"/>
              <w:left w:val="nil"/>
              <w:bottom w:val="nil"/>
              <w:right w:val="nil"/>
            </w:tcBorders>
            <w:tcMar>
              <w:top w:w="120" w:type="dxa"/>
              <w:left w:w="120" w:type="dxa"/>
              <w:bottom w:w="30" w:type="dxa"/>
              <w:right w:w="300" w:type="dxa"/>
            </w:tcMar>
          </w:tcPr>
          <w:p w14:paraId="4EF24739" w14:textId="77777777" w:rsidR="00651853" w:rsidRPr="009A515A" w:rsidRDefault="00000000">
            <w:r w:rsidRPr="009A515A">
              <w:t>0.448</w:t>
            </w:r>
          </w:p>
        </w:tc>
        <w:tc>
          <w:tcPr>
            <w:tcW w:w="789" w:type="pct"/>
            <w:tcBorders>
              <w:top w:val="nil"/>
              <w:left w:val="nil"/>
              <w:bottom w:val="nil"/>
              <w:right w:val="nil"/>
            </w:tcBorders>
            <w:tcMar>
              <w:top w:w="120" w:type="dxa"/>
              <w:left w:w="120" w:type="dxa"/>
              <w:bottom w:w="30" w:type="dxa"/>
              <w:right w:w="300" w:type="dxa"/>
            </w:tcMar>
          </w:tcPr>
          <w:p w14:paraId="3FA33B2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0.0308</w:t>
            </w:r>
          </w:p>
        </w:tc>
        <w:tc>
          <w:tcPr>
            <w:tcW w:w="384" w:type="pct"/>
            <w:tcBorders>
              <w:top w:val="nil"/>
              <w:left w:val="nil"/>
              <w:bottom w:val="nil"/>
              <w:right w:val="nil"/>
            </w:tcBorders>
          </w:tcPr>
          <w:p w14:paraId="74216B7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1255AD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1791DA31"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16C4C1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BSUC_2</w:t>
            </w:r>
          </w:p>
        </w:tc>
        <w:tc>
          <w:tcPr>
            <w:tcW w:w="581" w:type="pct"/>
            <w:tcBorders>
              <w:top w:val="nil"/>
              <w:left w:val="nil"/>
              <w:bottom w:val="nil"/>
              <w:right w:val="nil"/>
            </w:tcBorders>
            <w:tcMar>
              <w:top w:w="30" w:type="dxa"/>
              <w:left w:w="120" w:type="dxa"/>
              <w:bottom w:w="30" w:type="dxa"/>
              <w:right w:w="300" w:type="dxa"/>
            </w:tcMar>
            <w:hideMark/>
          </w:tcPr>
          <w:p w14:paraId="42B0C4DC"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0.662</w:t>
            </w:r>
          </w:p>
        </w:tc>
        <w:tc>
          <w:tcPr>
            <w:tcW w:w="728" w:type="pct"/>
            <w:vMerge/>
            <w:tcBorders>
              <w:left w:val="nil"/>
              <w:right w:val="nil"/>
            </w:tcBorders>
            <w:tcMar>
              <w:top w:w="30" w:type="dxa"/>
              <w:left w:w="120" w:type="dxa"/>
              <w:bottom w:w="30" w:type="dxa"/>
              <w:right w:w="300" w:type="dxa"/>
            </w:tcMar>
          </w:tcPr>
          <w:p w14:paraId="127CFAF9"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5FB4EE22"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3B2079B9"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0.0314</w:t>
            </w:r>
          </w:p>
        </w:tc>
        <w:tc>
          <w:tcPr>
            <w:tcW w:w="384" w:type="pct"/>
            <w:tcBorders>
              <w:top w:val="nil"/>
              <w:left w:val="nil"/>
              <w:bottom w:val="nil"/>
              <w:right w:val="nil"/>
            </w:tcBorders>
          </w:tcPr>
          <w:p w14:paraId="67EA9335"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21.1</w:t>
            </w:r>
          </w:p>
        </w:tc>
        <w:tc>
          <w:tcPr>
            <w:tcW w:w="380" w:type="pct"/>
            <w:tcBorders>
              <w:top w:val="nil"/>
              <w:left w:val="nil"/>
              <w:bottom w:val="nil"/>
              <w:right w:val="nil"/>
            </w:tcBorders>
          </w:tcPr>
          <w:p w14:paraId="2D1E52C3"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3559F20C"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nil"/>
              <w:right w:val="nil"/>
            </w:tcBorders>
            <w:tcMar>
              <w:top w:w="60" w:type="dxa"/>
              <w:left w:w="120" w:type="dxa"/>
              <w:bottom w:w="60" w:type="dxa"/>
              <w:right w:w="120" w:type="dxa"/>
            </w:tcMar>
            <w:hideMark/>
          </w:tcPr>
          <w:p w14:paraId="56A78E8D"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BSUC_3</w:t>
            </w:r>
          </w:p>
        </w:tc>
        <w:tc>
          <w:tcPr>
            <w:tcW w:w="581" w:type="pct"/>
            <w:tcBorders>
              <w:top w:val="nil"/>
              <w:left w:val="nil"/>
              <w:bottom w:val="nil"/>
              <w:right w:val="nil"/>
            </w:tcBorders>
            <w:tcMar>
              <w:top w:w="30" w:type="dxa"/>
              <w:left w:w="120" w:type="dxa"/>
              <w:bottom w:w="30" w:type="dxa"/>
              <w:right w:w="300" w:type="dxa"/>
            </w:tcMar>
            <w:hideMark/>
          </w:tcPr>
          <w:p w14:paraId="7514890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0.673</w:t>
            </w:r>
          </w:p>
        </w:tc>
        <w:tc>
          <w:tcPr>
            <w:tcW w:w="728" w:type="pct"/>
            <w:vMerge/>
            <w:tcBorders>
              <w:left w:val="nil"/>
              <w:right w:val="nil"/>
            </w:tcBorders>
            <w:tcMar>
              <w:top w:w="30" w:type="dxa"/>
              <w:left w:w="120" w:type="dxa"/>
              <w:bottom w:w="30" w:type="dxa"/>
              <w:right w:w="300" w:type="dxa"/>
            </w:tcMar>
          </w:tcPr>
          <w:p w14:paraId="2FDA5253"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nil"/>
              <w:right w:val="nil"/>
            </w:tcBorders>
            <w:tcMar>
              <w:top w:w="30" w:type="dxa"/>
              <w:left w:w="120" w:type="dxa"/>
              <w:bottom w:w="30" w:type="dxa"/>
              <w:right w:w="300" w:type="dxa"/>
            </w:tcMar>
          </w:tcPr>
          <w:p w14:paraId="65950035" w14:textId="77777777" w:rsidR="00651853" w:rsidRPr="009A515A" w:rsidRDefault="00000000">
            <w:r w:rsidRPr="009A515A">
              <w:t>0.448</w:t>
            </w:r>
          </w:p>
        </w:tc>
        <w:tc>
          <w:tcPr>
            <w:tcW w:w="789" w:type="pct"/>
            <w:tcBorders>
              <w:top w:val="nil"/>
              <w:left w:val="nil"/>
              <w:bottom w:val="nil"/>
              <w:right w:val="nil"/>
            </w:tcBorders>
            <w:tcMar>
              <w:top w:w="30" w:type="dxa"/>
              <w:left w:w="120" w:type="dxa"/>
              <w:bottom w:w="30" w:type="dxa"/>
              <w:right w:w="300" w:type="dxa"/>
            </w:tcMar>
          </w:tcPr>
          <w:p w14:paraId="2035EB1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0.0313</w:t>
            </w:r>
          </w:p>
        </w:tc>
        <w:tc>
          <w:tcPr>
            <w:tcW w:w="384" w:type="pct"/>
            <w:tcBorders>
              <w:top w:val="nil"/>
              <w:left w:val="nil"/>
              <w:bottom w:val="nil"/>
              <w:right w:val="nil"/>
            </w:tcBorders>
          </w:tcPr>
          <w:p w14:paraId="4F88922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nil"/>
              <w:right w:val="nil"/>
            </w:tcBorders>
          </w:tcPr>
          <w:p w14:paraId="455C5A08"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5E6819">
        <w:trPr>
          <w:cantSplit/>
          <w:tblCellSpacing w:w="15" w:type="dxa"/>
        </w:trPr>
        <w:tc>
          <w:tcPr>
            <w:tcW w:w="775" w:type="pct"/>
            <w:vMerge/>
            <w:tcBorders>
              <w:top w:val="nil"/>
              <w:left w:val="nil"/>
              <w:bottom w:val="single" w:sz="12" w:space="0" w:color="333333"/>
              <w:right w:val="nil"/>
            </w:tcBorders>
            <w:vAlign w:val="center"/>
            <w:hideMark/>
          </w:tcPr>
          <w:p w14:paraId="4E3CFFDA" w14:textId="77777777" w:rsidR="00B31225" w:rsidRPr="009A515A" w:rsidRDefault="00B31225" w:rsidP="00B31225">
            <w:pPr>
              <w:jc w:val="both"/>
              <w:rPr>
                <w:b/>
                <w:bCs/>
                <w:i/>
                <w:iCs/>
                <w:color w:val="000000" w:themeColor="text1"/>
                <w:sz w:val="20"/>
                <w:szCs w:val="20"/>
              </w:rPr>
            </w:pPr>
          </w:p>
        </w:tc>
        <w:tc>
          <w:tcPr>
            <w:tcW w:w="675" w:type="pct"/>
            <w:tcBorders>
              <w:top w:val="nil"/>
              <w:left w:val="nil"/>
              <w:bottom w:val="single" w:sz="12" w:space="0" w:color="333333"/>
              <w:right w:val="nil"/>
            </w:tcBorders>
            <w:tcMar>
              <w:top w:w="60" w:type="dxa"/>
              <w:left w:w="120" w:type="dxa"/>
              <w:bottom w:w="120" w:type="dxa"/>
              <w:right w:w="120" w:type="dxa"/>
            </w:tcMar>
            <w:hideMark/>
          </w:tcPr>
          <w:p w14:paraId="15303347"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BSUC_4</w:t>
            </w:r>
          </w:p>
        </w:tc>
        <w:tc>
          <w:tcPr>
            <w:tcW w:w="581" w:type="pct"/>
            <w:tcBorders>
              <w:top w:val="nil"/>
              <w:left w:val="nil"/>
              <w:bottom w:val="single" w:sz="12" w:space="0" w:color="333333"/>
              <w:right w:val="nil"/>
            </w:tcBorders>
            <w:tcMar>
              <w:top w:w="30" w:type="dxa"/>
              <w:left w:w="120" w:type="dxa"/>
              <w:bottom w:w="120" w:type="dxa"/>
              <w:right w:w="300" w:type="dxa"/>
            </w:tcMar>
            <w:hideMark/>
          </w:tcPr>
          <w:p w14:paraId="752BF68B"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0.682</w:t>
            </w:r>
          </w:p>
        </w:tc>
        <w:tc>
          <w:tcPr>
            <w:tcW w:w="728" w:type="pct"/>
            <w:vMerge/>
            <w:tcBorders>
              <w:left w:val="nil"/>
              <w:bottom w:val="single" w:sz="12" w:space="0" w:color="333333"/>
              <w:right w:val="nil"/>
            </w:tcBorders>
            <w:tcMar>
              <w:top w:w="30" w:type="dxa"/>
              <w:left w:w="120" w:type="dxa"/>
              <w:bottom w:w="120" w:type="dxa"/>
              <w:right w:w="300" w:type="dxa"/>
            </w:tcMar>
          </w:tcPr>
          <w:p w14:paraId="329E24D6" w14:textId="77777777" w:rsidR="00B31225" w:rsidRPr="009A515A" w:rsidRDefault="00B31225" w:rsidP="00B31225">
            <w:pPr>
              <w:jc w:val="both"/>
              <w:rPr>
                <w:b/>
                <w:bCs/>
                <w:i/>
                <w:iCs/>
                <w:color w:val="000000" w:themeColor="text1"/>
                <w:sz w:val="20"/>
                <w:szCs w:val="20"/>
              </w:rPr>
            </w:pPr>
          </w:p>
        </w:tc>
        <w:tc>
          <w:tcPr>
            <w:tcW w:w="525" w:type="pct"/>
            <w:tcBorders>
              <w:top w:val="nil"/>
              <w:left w:val="nil"/>
              <w:bottom w:val="single" w:sz="12" w:space="0" w:color="333333"/>
              <w:right w:val="nil"/>
            </w:tcBorders>
            <w:tcMar>
              <w:top w:w="30" w:type="dxa"/>
              <w:left w:w="120" w:type="dxa"/>
              <w:bottom w:w="120" w:type="dxa"/>
              <w:right w:w="300" w:type="dxa"/>
            </w:tcMar>
          </w:tcPr>
          <w:p w14:paraId="77F8069F" w14:textId="77777777" w:rsidR="00651853" w:rsidRPr="009A515A" w:rsidRDefault="00000000">
            <w:r w:rsidRPr="009A515A">
              <w:t>0.448</w:t>
            </w:r>
          </w:p>
        </w:tc>
        <w:tc>
          <w:tcPr>
            <w:tcW w:w="789" w:type="pct"/>
            <w:tcBorders>
              <w:top w:val="nil"/>
              <w:left w:val="nil"/>
              <w:bottom w:val="single" w:sz="12" w:space="0" w:color="333333"/>
              <w:right w:val="nil"/>
            </w:tcBorders>
            <w:tcMar>
              <w:top w:w="30" w:type="dxa"/>
              <w:left w:w="120" w:type="dxa"/>
              <w:bottom w:w="120" w:type="dxa"/>
              <w:right w:w="300" w:type="dxa"/>
            </w:tcMar>
          </w:tcPr>
          <w:p w14:paraId="0122FCA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0.0317</w:t>
            </w:r>
          </w:p>
        </w:tc>
        <w:tc>
          <w:tcPr>
            <w:tcW w:w="384" w:type="pct"/>
            <w:tcBorders>
              <w:top w:val="nil"/>
              <w:left w:val="nil"/>
              <w:bottom w:val="single" w:sz="12" w:space="0" w:color="333333"/>
              <w:right w:val="nil"/>
            </w:tcBorders>
          </w:tcPr>
          <w:p w14:paraId="36431B96"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21.5</w:t>
            </w:r>
          </w:p>
        </w:tc>
        <w:tc>
          <w:tcPr>
            <w:tcW w:w="380" w:type="pct"/>
            <w:tcBorders>
              <w:top w:val="nil"/>
              <w:left w:val="nil"/>
              <w:bottom w:val="single" w:sz="12" w:space="0" w:color="333333"/>
              <w:right w:val="nil"/>
            </w:tcBorders>
          </w:tcPr>
          <w:p w14:paraId="47861492" w14:textId="77777777" w:rsidR="00B31225" w:rsidRPr="009A515A" w:rsidRDefault="00B31225" w:rsidP="00B31225">
            <w:pPr>
              <w:jc w:val="both"/>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9A515A" w:rsidRDefault="007716D8" w:rsidP="007716D8">
      <w:pPr>
        <w:jc w:val="both"/>
        <w:rPr>
          <w:b/>
          <w:bCs/>
          <w:i/>
          <w:iCs/>
          <w:color w:val="000000" w:themeColor="text1"/>
          <w:sz w:val="20"/>
          <w:szCs w:val="20"/>
        </w:rPr>
      </w:pPr>
      <w:r w:rsidRPr="009A515A">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1789E978" w14:textId="77777777" w:rsidR="0069183E" w:rsidRPr="009A515A" w:rsidRDefault="0069183E" w:rsidP="0069183E">
      <w:pPr>
        <w:spacing w:line="360" w:lineRule="auto"/>
        <w:jc w:val="both"/>
        <w:rPr>
          <w:b/>
          <w:bCs/>
          <w:i/>
          <w:iCs/>
          <w:color w:val="000000" w:themeColor="text1"/>
        </w:rPr>
      </w:pPr>
      <w:r w:rsidRPr="009A515A">
        <w:rPr>
          <w:b/>
          <w:bCs/>
          <w:i/>
          <w:iCs/>
          <w:color w:val="000000" w:themeColor="text1"/>
        </w:rPr>
        <w:t xml:space="preserve">Table 2a. </w:t>
      </w:r>
      <w:proofErr w:type="spellStart"/>
      <w:r w:rsidRPr="009A515A">
        <w:rPr>
          <w:b/>
          <w:bCs/>
          <w:i/>
          <w:iCs/>
          <w:color w:val="000000" w:themeColor="text1"/>
        </w:rPr>
        <w:t>Heterotrait</w:t>
      </w:r>
      <w:proofErr w:type="spellEnd"/>
      <w:r w:rsidRPr="009A515A">
        <w:rPr>
          <w:b/>
          <w:bCs/>
          <w:i/>
          <w:iCs/>
          <w:color w:val="000000" w:themeColor="text1"/>
        </w:rPr>
        <w:t>–</w:t>
      </w:r>
      <w:proofErr w:type="spellStart"/>
      <w:r w:rsidRPr="009A515A">
        <w:rPr>
          <w:b/>
          <w:bCs/>
          <w:i/>
          <w:iCs/>
          <w:color w:val="000000" w:themeColor="text1"/>
        </w:rPr>
        <w:t>Monotrait</w:t>
      </w:r>
      <w:proofErr w:type="spellEnd"/>
      <w:r w:rsidRPr="009A515A">
        <w:rPr>
          <w:b/>
          <w:bCs/>
          <w:i/>
          <w:iCs/>
          <w:color w:val="000000" w:themeColor="text1"/>
        </w:rPr>
        <w:t xml:space="preserve"> (HTMT) Ratio Matrix</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2960"/>
        <w:gridCol w:w="1600"/>
        <w:gridCol w:w="1600"/>
        <w:gridCol w:w="1600"/>
        <w:gridCol w:w="1600"/>
      </w:tblGrid>
      <w:tr w:rsidR="0069183E" w:rsidRPr="009A515A" w14:paraId="00F0D7EF" w14:textId="77777777" w:rsidTr="004962AE">
        <w:trPr>
          <w:tblHeader/>
        </w:trPr>
        <w:tc>
          <w:tcPr>
            <w:tcW w:w="2960" w:type="dxa"/>
            <w:shd w:val="clear" w:color="auto" w:fill="1F4E79"/>
          </w:tcPr>
          <w:p w14:paraId="20CE70B2" w14:textId="77777777" w:rsidR="0069183E" w:rsidRPr="009A515A" w:rsidRDefault="0069183E" w:rsidP="004962AE">
            <w:pPr>
              <w:jc w:val="center"/>
            </w:pPr>
            <w:r w:rsidRPr="009A515A">
              <w:rPr>
                <w:b/>
                <w:color w:val="000000"/>
                <w:sz w:val="18"/>
                <w:szCs w:val="18"/>
              </w:rPr>
              <w:t>Construct</w:t>
            </w:r>
          </w:p>
        </w:tc>
        <w:tc>
          <w:tcPr>
            <w:tcW w:w="1600" w:type="dxa"/>
            <w:shd w:val="clear" w:color="auto" w:fill="1F4E79"/>
          </w:tcPr>
          <w:p w14:paraId="2AC616CF" w14:textId="77777777" w:rsidR="0069183E" w:rsidRPr="009A515A" w:rsidRDefault="0069183E" w:rsidP="004962AE">
            <w:pPr>
              <w:jc w:val="center"/>
            </w:pPr>
            <w:r w:rsidRPr="009A515A">
              <w:rPr>
                <w:b/>
                <w:color w:val="000000"/>
                <w:sz w:val="18"/>
                <w:szCs w:val="18"/>
              </w:rPr>
              <w:t>BSAT</w:t>
            </w:r>
          </w:p>
        </w:tc>
        <w:tc>
          <w:tcPr>
            <w:tcW w:w="1600" w:type="dxa"/>
            <w:shd w:val="clear" w:color="auto" w:fill="1F4E79"/>
          </w:tcPr>
          <w:p w14:paraId="0C65DB3E" w14:textId="77777777" w:rsidR="0069183E" w:rsidRPr="009A515A" w:rsidRDefault="0069183E" w:rsidP="004962AE">
            <w:pPr>
              <w:jc w:val="center"/>
            </w:pPr>
            <w:r w:rsidRPr="009A515A">
              <w:rPr>
                <w:b/>
                <w:color w:val="000000"/>
                <w:sz w:val="18"/>
                <w:szCs w:val="18"/>
              </w:rPr>
              <w:t>BSUC</w:t>
            </w:r>
          </w:p>
        </w:tc>
        <w:tc>
          <w:tcPr>
            <w:tcW w:w="1600" w:type="dxa"/>
            <w:shd w:val="clear" w:color="auto" w:fill="1F4E79"/>
          </w:tcPr>
          <w:p w14:paraId="3A989D69" w14:textId="77777777" w:rsidR="0069183E" w:rsidRPr="009A515A" w:rsidRDefault="0069183E" w:rsidP="004962AE">
            <w:pPr>
              <w:jc w:val="center"/>
            </w:pPr>
            <w:r w:rsidRPr="009A515A">
              <w:rPr>
                <w:b/>
                <w:color w:val="000000"/>
                <w:sz w:val="18"/>
                <w:szCs w:val="18"/>
              </w:rPr>
              <w:t>UX</w:t>
            </w:r>
          </w:p>
        </w:tc>
        <w:tc>
          <w:tcPr>
            <w:tcW w:w="1600" w:type="dxa"/>
            <w:shd w:val="clear" w:color="auto" w:fill="1F4E79"/>
          </w:tcPr>
          <w:p w14:paraId="0BDB8E5A" w14:textId="77777777" w:rsidR="0069183E" w:rsidRPr="009A515A" w:rsidRDefault="0069183E" w:rsidP="004962AE">
            <w:pPr>
              <w:jc w:val="center"/>
            </w:pPr>
            <w:r w:rsidRPr="009A515A">
              <w:rPr>
                <w:b/>
                <w:color w:val="000000"/>
                <w:sz w:val="18"/>
                <w:szCs w:val="18"/>
              </w:rPr>
              <w:t>UE</w:t>
            </w:r>
          </w:p>
        </w:tc>
      </w:tr>
      <w:tr w:rsidR="0069183E" w:rsidRPr="009A515A" w14:paraId="15AF8E36" w14:textId="77777777" w:rsidTr="004962AE">
        <w:tc>
          <w:tcPr>
            <w:tcW w:w="2960" w:type="dxa"/>
            <w:shd w:val="clear" w:color="auto" w:fill="EBF3FB"/>
          </w:tcPr>
          <w:p w14:paraId="32989902" w14:textId="77777777" w:rsidR="0069183E" w:rsidRPr="009A515A" w:rsidRDefault="0069183E" w:rsidP="004962AE">
            <w:r w:rsidRPr="009A515A">
              <w:rPr>
                <w:b/>
                <w:sz w:val="18"/>
                <w:szCs w:val="18"/>
              </w:rPr>
              <w:t>Brand Satisfaction (BSAT)</w:t>
            </w:r>
          </w:p>
        </w:tc>
        <w:tc>
          <w:tcPr>
            <w:tcW w:w="1600" w:type="dxa"/>
          </w:tcPr>
          <w:p w14:paraId="2332A983" w14:textId="4CCF92BE" w:rsidR="0069183E" w:rsidRPr="009A515A" w:rsidRDefault="009B694E" w:rsidP="004962AE">
            <w:pPr>
              <w:jc w:val="center"/>
            </w:pPr>
            <w:r>
              <w:rPr>
                <w:sz w:val="18"/>
                <w:szCs w:val="18"/>
              </w:rPr>
              <w:t xml:space="preserve"> </w:t>
            </w:r>
          </w:p>
        </w:tc>
        <w:tc>
          <w:tcPr>
            <w:tcW w:w="1600" w:type="dxa"/>
          </w:tcPr>
          <w:p w14:paraId="699DC604" w14:textId="77777777" w:rsidR="0069183E" w:rsidRPr="009A515A" w:rsidRDefault="0069183E" w:rsidP="004962AE">
            <w:pPr>
              <w:jc w:val="center"/>
            </w:pPr>
            <w:r w:rsidRPr="009A515A">
              <w:rPr>
                <w:sz w:val="18"/>
                <w:szCs w:val="18"/>
              </w:rPr>
              <w:t xml:space="preserve"> </w:t>
            </w:r>
          </w:p>
        </w:tc>
        <w:tc>
          <w:tcPr>
            <w:tcW w:w="1600" w:type="dxa"/>
          </w:tcPr>
          <w:p w14:paraId="64C26B38" w14:textId="77777777" w:rsidR="0069183E" w:rsidRPr="009A515A" w:rsidRDefault="0069183E" w:rsidP="004962AE">
            <w:pPr>
              <w:jc w:val="center"/>
            </w:pPr>
            <w:r w:rsidRPr="009A515A">
              <w:rPr>
                <w:sz w:val="18"/>
                <w:szCs w:val="18"/>
              </w:rPr>
              <w:t xml:space="preserve"> </w:t>
            </w:r>
          </w:p>
        </w:tc>
        <w:tc>
          <w:tcPr>
            <w:tcW w:w="1600" w:type="dxa"/>
          </w:tcPr>
          <w:p w14:paraId="11982AD3" w14:textId="77777777" w:rsidR="0069183E" w:rsidRPr="009A515A" w:rsidRDefault="0069183E" w:rsidP="004962AE">
            <w:pPr>
              <w:jc w:val="center"/>
            </w:pPr>
            <w:r w:rsidRPr="009A515A">
              <w:rPr>
                <w:sz w:val="18"/>
                <w:szCs w:val="18"/>
              </w:rPr>
              <w:t xml:space="preserve"> </w:t>
            </w:r>
          </w:p>
        </w:tc>
      </w:tr>
      <w:tr w:rsidR="0069183E" w:rsidRPr="009A515A" w14:paraId="38110344" w14:textId="77777777" w:rsidTr="004962AE">
        <w:tc>
          <w:tcPr>
            <w:tcW w:w="2960" w:type="dxa"/>
            <w:shd w:val="clear" w:color="auto" w:fill="EBF3FB"/>
          </w:tcPr>
          <w:p w14:paraId="0AEF71E1" w14:textId="77777777" w:rsidR="0069183E" w:rsidRPr="009A515A" w:rsidRDefault="0069183E" w:rsidP="004962AE">
            <w:r w:rsidRPr="009A515A">
              <w:rPr>
                <w:b/>
                <w:sz w:val="18"/>
                <w:szCs w:val="18"/>
              </w:rPr>
              <w:t>Brand Success (BSUC)</w:t>
            </w:r>
          </w:p>
        </w:tc>
        <w:tc>
          <w:tcPr>
            <w:tcW w:w="1600" w:type="dxa"/>
          </w:tcPr>
          <w:p w14:paraId="1EF08A6D" w14:textId="77777777" w:rsidR="0069183E" w:rsidRPr="009A515A" w:rsidRDefault="0069183E" w:rsidP="004962AE">
            <w:pPr>
              <w:jc w:val="center"/>
            </w:pPr>
            <w:r w:rsidRPr="009A515A">
              <w:rPr>
                <w:sz w:val="18"/>
                <w:szCs w:val="18"/>
              </w:rPr>
              <w:t>0.743</w:t>
            </w:r>
          </w:p>
        </w:tc>
        <w:tc>
          <w:tcPr>
            <w:tcW w:w="1600" w:type="dxa"/>
          </w:tcPr>
          <w:p w14:paraId="0CFB283B" w14:textId="17261BB3" w:rsidR="0069183E" w:rsidRPr="009A515A" w:rsidRDefault="009B694E" w:rsidP="004962AE">
            <w:pPr>
              <w:jc w:val="center"/>
            </w:pPr>
            <w:r>
              <w:rPr>
                <w:sz w:val="18"/>
                <w:szCs w:val="18"/>
              </w:rPr>
              <w:t xml:space="preserve"> </w:t>
            </w:r>
          </w:p>
        </w:tc>
        <w:tc>
          <w:tcPr>
            <w:tcW w:w="1600" w:type="dxa"/>
          </w:tcPr>
          <w:p w14:paraId="1A430E7E" w14:textId="77777777" w:rsidR="0069183E" w:rsidRPr="009A515A" w:rsidRDefault="0069183E" w:rsidP="004962AE">
            <w:pPr>
              <w:jc w:val="center"/>
            </w:pPr>
            <w:r w:rsidRPr="009A515A">
              <w:rPr>
                <w:sz w:val="18"/>
                <w:szCs w:val="18"/>
              </w:rPr>
              <w:t xml:space="preserve"> </w:t>
            </w:r>
          </w:p>
        </w:tc>
        <w:tc>
          <w:tcPr>
            <w:tcW w:w="1600" w:type="dxa"/>
          </w:tcPr>
          <w:p w14:paraId="198FADF3" w14:textId="77777777" w:rsidR="0069183E" w:rsidRPr="009A515A" w:rsidRDefault="0069183E" w:rsidP="004962AE">
            <w:pPr>
              <w:jc w:val="center"/>
            </w:pPr>
            <w:r w:rsidRPr="009A515A">
              <w:rPr>
                <w:sz w:val="18"/>
                <w:szCs w:val="18"/>
              </w:rPr>
              <w:t xml:space="preserve"> </w:t>
            </w:r>
          </w:p>
        </w:tc>
      </w:tr>
      <w:tr w:rsidR="0069183E" w:rsidRPr="009A515A" w14:paraId="36C64AE3" w14:textId="77777777" w:rsidTr="004962AE">
        <w:tc>
          <w:tcPr>
            <w:tcW w:w="2960" w:type="dxa"/>
            <w:shd w:val="clear" w:color="auto" w:fill="EBF3FB"/>
          </w:tcPr>
          <w:p w14:paraId="7FB7262F" w14:textId="77777777" w:rsidR="0069183E" w:rsidRPr="009A515A" w:rsidRDefault="0069183E" w:rsidP="004962AE">
            <w:r w:rsidRPr="009A515A">
              <w:rPr>
                <w:b/>
                <w:sz w:val="18"/>
                <w:szCs w:val="18"/>
              </w:rPr>
              <w:t>User Experience (UX)</w:t>
            </w:r>
          </w:p>
        </w:tc>
        <w:tc>
          <w:tcPr>
            <w:tcW w:w="1600" w:type="dxa"/>
          </w:tcPr>
          <w:p w14:paraId="3040DB27" w14:textId="77777777" w:rsidR="0069183E" w:rsidRPr="009A515A" w:rsidRDefault="0069183E" w:rsidP="004962AE">
            <w:pPr>
              <w:jc w:val="center"/>
            </w:pPr>
            <w:r w:rsidRPr="009A515A">
              <w:rPr>
                <w:sz w:val="18"/>
                <w:szCs w:val="18"/>
              </w:rPr>
              <w:t>0.768</w:t>
            </w:r>
          </w:p>
        </w:tc>
        <w:tc>
          <w:tcPr>
            <w:tcW w:w="1600" w:type="dxa"/>
          </w:tcPr>
          <w:p w14:paraId="4324273B" w14:textId="77777777" w:rsidR="0069183E" w:rsidRPr="009A515A" w:rsidRDefault="0069183E" w:rsidP="004962AE">
            <w:pPr>
              <w:jc w:val="center"/>
            </w:pPr>
            <w:r w:rsidRPr="009A515A">
              <w:rPr>
                <w:sz w:val="18"/>
                <w:szCs w:val="18"/>
              </w:rPr>
              <w:t>0.712</w:t>
            </w:r>
          </w:p>
        </w:tc>
        <w:tc>
          <w:tcPr>
            <w:tcW w:w="1600" w:type="dxa"/>
          </w:tcPr>
          <w:p w14:paraId="5D01E7E3" w14:textId="4EAC5452" w:rsidR="0069183E" w:rsidRPr="009A515A" w:rsidRDefault="009B694E" w:rsidP="004962AE">
            <w:pPr>
              <w:jc w:val="center"/>
            </w:pPr>
            <w:r>
              <w:rPr>
                <w:sz w:val="18"/>
                <w:szCs w:val="18"/>
              </w:rPr>
              <w:t xml:space="preserve"> </w:t>
            </w:r>
          </w:p>
        </w:tc>
        <w:tc>
          <w:tcPr>
            <w:tcW w:w="1600" w:type="dxa"/>
          </w:tcPr>
          <w:p w14:paraId="2D29C70F" w14:textId="77777777" w:rsidR="0069183E" w:rsidRPr="009A515A" w:rsidRDefault="0069183E" w:rsidP="004962AE">
            <w:pPr>
              <w:jc w:val="center"/>
            </w:pPr>
            <w:r w:rsidRPr="009A515A">
              <w:rPr>
                <w:sz w:val="18"/>
                <w:szCs w:val="18"/>
              </w:rPr>
              <w:t xml:space="preserve"> </w:t>
            </w:r>
          </w:p>
        </w:tc>
      </w:tr>
      <w:tr w:rsidR="0069183E" w:rsidRPr="009A515A" w14:paraId="4CA67F1D" w14:textId="77777777" w:rsidTr="004962AE">
        <w:tc>
          <w:tcPr>
            <w:tcW w:w="2960" w:type="dxa"/>
            <w:shd w:val="clear" w:color="auto" w:fill="EBF3FB"/>
          </w:tcPr>
          <w:p w14:paraId="7033C865" w14:textId="77777777" w:rsidR="0069183E" w:rsidRPr="009A515A" w:rsidRDefault="0069183E" w:rsidP="004962AE">
            <w:r w:rsidRPr="009A515A">
              <w:rPr>
                <w:b/>
                <w:sz w:val="18"/>
                <w:szCs w:val="18"/>
              </w:rPr>
              <w:t>User Engagement (UE)</w:t>
            </w:r>
          </w:p>
        </w:tc>
        <w:tc>
          <w:tcPr>
            <w:tcW w:w="1600" w:type="dxa"/>
          </w:tcPr>
          <w:p w14:paraId="0D9BB40B" w14:textId="77777777" w:rsidR="0069183E" w:rsidRPr="009A515A" w:rsidRDefault="0069183E" w:rsidP="004962AE">
            <w:pPr>
              <w:jc w:val="center"/>
            </w:pPr>
            <w:r w:rsidRPr="009A515A">
              <w:rPr>
                <w:sz w:val="18"/>
                <w:szCs w:val="18"/>
              </w:rPr>
              <w:t>0.756</w:t>
            </w:r>
          </w:p>
        </w:tc>
        <w:tc>
          <w:tcPr>
            <w:tcW w:w="1600" w:type="dxa"/>
          </w:tcPr>
          <w:p w14:paraId="2956CC4F" w14:textId="77777777" w:rsidR="0069183E" w:rsidRPr="009A515A" w:rsidRDefault="0069183E" w:rsidP="004962AE">
            <w:pPr>
              <w:jc w:val="center"/>
            </w:pPr>
            <w:r w:rsidRPr="009A515A">
              <w:rPr>
                <w:sz w:val="18"/>
                <w:szCs w:val="18"/>
              </w:rPr>
              <w:t>0.729</w:t>
            </w:r>
          </w:p>
        </w:tc>
        <w:tc>
          <w:tcPr>
            <w:tcW w:w="1600" w:type="dxa"/>
          </w:tcPr>
          <w:p w14:paraId="01E8C307" w14:textId="77777777" w:rsidR="0069183E" w:rsidRPr="009A515A" w:rsidRDefault="0069183E" w:rsidP="004962AE">
            <w:pPr>
              <w:jc w:val="center"/>
            </w:pPr>
            <w:r w:rsidRPr="009A515A">
              <w:rPr>
                <w:sz w:val="18"/>
                <w:szCs w:val="18"/>
              </w:rPr>
              <w:t>0.814</w:t>
            </w:r>
          </w:p>
        </w:tc>
        <w:tc>
          <w:tcPr>
            <w:tcW w:w="1600" w:type="dxa"/>
          </w:tcPr>
          <w:p w14:paraId="598E8C3A" w14:textId="5C5FBF6A" w:rsidR="0069183E" w:rsidRPr="009A515A" w:rsidRDefault="009B694E" w:rsidP="004962AE">
            <w:pPr>
              <w:jc w:val="center"/>
            </w:pPr>
            <w:r>
              <w:rPr>
                <w:sz w:val="18"/>
                <w:szCs w:val="18"/>
              </w:rPr>
              <w:t xml:space="preserve"> </w:t>
            </w:r>
          </w:p>
        </w:tc>
      </w:tr>
    </w:tbl>
    <w:p w14:paraId="2A67578C" w14:textId="77777777" w:rsidR="0069183E" w:rsidRPr="009A515A" w:rsidRDefault="0069183E" w:rsidP="0069183E">
      <w:pPr>
        <w:spacing w:line="360" w:lineRule="auto"/>
        <w:jc w:val="both"/>
        <w:rPr>
          <w:i/>
          <w:iCs/>
          <w:color w:val="000000" w:themeColor="text1"/>
        </w:rPr>
      </w:pPr>
    </w:p>
    <w:p w14:paraId="599671CC" w14:textId="77777777" w:rsidR="0069183E" w:rsidRPr="009A515A" w:rsidRDefault="0069183E" w:rsidP="0069183E">
      <w:pPr>
        <w:spacing w:line="360" w:lineRule="auto"/>
        <w:jc w:val="both"/>
        <w:rPr>
          <w:i/>
          <w:iCs/>
          <w:color w:val="000000" w:themeColor="text1"/>
        </w:rPr>
      </w:pPr>
      <w:r w:rsidRPr="009A515A">
        <w:rPr>
          <w:i/>
          <w:iCs/>
          <w:color w:val="000000" w:themeColor="text1"/>
        </w:rPr>
        <w:t xml:space="preserve">Note: All HTMT values below 0.85 confirm discriminant validity. BSAT = Brand Satisfaction; BSUC = Brand Success; UX = User Experience; UE = User Engagement. Values derived from </w:t>
      </w:r>
      <w:proofErr w:type="spellStart"/>
      <w:r w:rsidRPr="009A515A">
        <w:rPr>
          <w:i/>
          <w:iCs/>
          <w:color w:val="000000" w:themeColor="text1"/>
        </w:rPr>
        <w:t>SmartPLS</w:t>
      </w:r>
      <w:proofErr w:type="spellEnd"/>
      <w:r w:rsidRPr="009A515A">
        <w:rPr>
          <w:i/>
          <w:iCs/>
          <w:color w:val="000000" w:themeColor="text1"/>
        </w:rPr>
        <w:t xml:space="preserve"> 4.1 bootstrapping procedure (5,000 subsamples). Source: Authors.</w:t>
      </w:r>
    </w:p>
    <w:p w14:paraId="4D3D0578" w14:textId="77777777" w:rsidR="00FD5EFD" w:rsidRPr="009A515A" w:rsidRDefault="005A1FB3" w:rsidP="00FD5EFD">
      <w:pPr>
        <w:tabs>
          <w:tab w:val="left" w:pos="426"/>
        </w:tabs>
        <w:spacing w:line="360" w:lineRule="auto"/>
        <w:jc w:val="both"/>
        <w:rPr>
          <w:color w:val="000000" w:themeColor="text1"/>
        </w:rPr>
      </w:pPr>
      <w:r w:rsidRPr="009A515A">
        <w:t>Figure 3 presents the Pearson correlation matrix (Jamovi), depicting inter-item relationships across the BSAT, UE, UX and BSUC items on a colour gradient from strong positive to strong negative correlations.</w:t>
      </w:r>
      <w:proofErr w:type="spellStart"/>
      <w:r w:rsidRPr="009A515A"/>
      <w:proofErr w:type="spellEnd"/>
      <w:r w:rsidRPr="009A515A"/>
    </w:p>
    <w:p w14:paraId="7820C41E" w14:textId="77777777" w:rsidR="004D6242" w:rsidRPr="009A515A" w:rsidRDefault="00FD5EFD" w:rsidP="00FD5EFD">
      <w:pPr>
        <w:tabs>
          <w:tab w:val="left" w:pos="426"/>
        </w:tabs>
        <w:spacing w:line="360" w:lineRule="auto"/>
        <w:jc w:val="both"/>
        <w:rPr>
          <w:color w:val="000000" w:themeColor="text1"/>
        </w:rPr>
      </w:pPr>
      <w:r w:rsidRPr="009A515A">
        <w:t>All standardized loadings were positive and significant, and the heatmaps (panels a–d) show significant positive inter-item correlations within each construct, consistent with unidimensionality; none approached the 0.95 multicollinearity ceiling.</w:t>
      </w:r>
    </w:p>
    <w:p w14:paraId="1C10B9C6" w14:textId="77777777" w:rsidR="00651853" w:rsidRPr="009A515A" w:rsidRDefault="00000000" w:rsidP="00DB66BA">
      <w:pPr>
        <w:spacing w:line="360" w:lineRule="auto"/>
        <w:jc w:val="both"/>
      </w:pPr>
      <w:r w:rsidRPr="009A515A">
        <w:t>The square root of AVE (0.72 BSAT, 0.69 UE, 0.69 UX, 0.67 BSUC) is close to the construct intercorrelations, reflecting conceptual proximity; discriminant validity is therefore established primarily through HTMT (Table 2a), all ratios below 0.85.</w:t>
      </w:r>
      <w:r w:rsidRPr="009A515A"/>
    </w:p>
    <w:p w14:paraId="48B3929B" w14:textId="77777777" w:rsidR="004D6242" w:rsidRPr="009A515A" w:rsidRDefault="000A6468" w:rsidP="00ED44A2">
      <w:pPr>
        <w:rPr>
          <w:color w:val="000000" w:themeColor="text1"/>
        </w:rPr>
      </w:pPr>
      <w:r w:rsidRPr="009A515A">
        <w:rPr>
          <w:noProof/>
          <w:color w:val="000000" w:themeColor="text1"/>
        </w:rPr>
        <w:drawing>
          <wp:inline distT="0" distB="0" distL="0" distR="0" wp14:anchorId="7FA7E29A" wp14:editId="335D91D8">
            <wp:extent cx="5725886" cy="6362096"/>
            <wp:effectExtent l="0" t="0" r="8255" b="635"/>
            <wp:docPr id="128349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4848" name=""/>
                    <pic:cNvPicPr/>
                  </pic:nvPicPr>
                  <pic:blipFill>
                    <a:blip r:embed="rId8"/>
                    <a:stretch>
                      <a:fillRect/>
                    </a:stretch>
                  </pic:blipFill>
                  <pic:spPr>
                    <a:xfrm>
                      <a:off x="0" y="0"/>
                      <a:ext cx="5735751" cy="6373057"/>
                    </a:xfrm>
                    <a:prstGeom prst="rect">
                      <a:avLst/>
                    </a:prstGeom>
                  </pic:spPr>
                </pic:pic>
              </a:graphicData>
            </a:graphic>
          </wp:inline>
        </w:drawing>
      </w:r>
    </w:p>
    <w:p w14:paraId="2C0C2E8F" w14:textId="77777777" w:rsidR="000A6468" w:rsidRPr="009A515A" w:rsidRDefault="004D6242" w:rsidP="00ED44A2">
      <w:pPr>
        <w:jc w:val="both"/>
        <w:rPr>
          <w:rFonts w:ascii="Segoe UI" w:hAnsi="Segoe UI" w:cs="Segoe UI"/>
          <w:i/>
          <w:iCs/>
          <w:sz w:val="20"/>
          <w:szCs w:val="20"/>
        </w:rPr>
      </w:pPr>
      <w:r w:rsidRPr="009A515A">
        <w:rPr>
          <w:b/>
          <w:bCs/>
          <w:i/>
          <w:iCs/>
          <w:color w:val="000000" w:themeColor="text1"/>
          <w:sz w:val="20"/>
          <w:szCs w:val="20"/>
        </w:rPr>
        <w:t>Fig</w:t>
      </w:r>
      <w:r w:rsidR="00C6582E" w:rsidRPr="009A515A">
        <w:rPr>
          <w:b/>
          <w:bCs/>
          <w:i/>
          <w:iCs/>
          <w:color w:val="000000" w:themeColor="text1"/>
          <w:sz w:val="20"/>
          <w:szCs w:val="20"/>
        </w:rPr>
        <w:t>ure</w:t>
      </w:r>
      <w:r w:rsidRPr="009A515A">
        <w:rPr>
          <w:b/>
          <w:bCs/>
          <w:i/>
          <w:iCs/>
          <w:color w:val="000000" w:themeColor="text1"/>
          <w:sz w:val="20"/>
          <w:szCs w:val="20"/>
        </w:rPr>
        <w:t xml:space="preserve"> </w:t>
      </w:r>
      <w:r w:rsidR="00C6582E" w:rsidRPr="009A515A">
        <w:rPr>
          <w:b/>
          <w:bCs/>
          <w:i/>
          <w:iCs/>
          <w:color w:val="000000" w:themeColor="text1"/>
          <w:sz w:val="20"/>
          <w:szCs w:val="20"/>
        </w:rPr>
        <w:t>3</w:t>
      </w:r>
      <w:r w:rsidRPr="009A515A">
        <w:rPr>
          <w:i/>
          <w:iCs/>
          <w:color w:val="000000" w:themeColor="text1"/>
          <w:sz w:val="20"/>
          <w:szCs w:val="20"/>
        </w:rPr>
        <w:t xml:space="preserve">. Correlation Heatmap Obtained using </w:t>
      </w:r>
      <w:proofErr w:type="spellStart"/>
      <w:r w:rsidRPr="009A515A">
        <w:rPr>
          <w:i/>
          <w:iCs/>
          <w:color w:val="000000" w:themeColor="text1"/>
          <w:sz w:val="20"/>
          <w:szCs w:val="20"/>
        </w:rPr>
        <w:t>Jamovi</w:t>
      </w:r>
      <w:proofErr w:type="spellEnd"/>
      <w:r w:rsidRPr="009A515A">
        <w:rPr>
          <w:i/>
          <w:iCs/>
          <w:color w:val="000000" w:themeColor="text1"/>
          <w:sz w:val="20"/>
          <w:szCs w:val="20"/>
        </w:rPr>
        <w:t xml:space="preserve"> Software</w:t>
      </w:r>
      <w:r w:rsidR="00EE5E3D" w:rsidRPr="009A515A">
        <w:rPr>
          <w:i/>
          <w:iCs/>
          <w:color w:val="000000" w:themeColor="text1"/>
          <w:sz w:val="20"/>
          <w:szCs w:val="20"/>
        </w:rPr>
        <w:t>.</w:t>
      </w:r>
      <w:r w:rsidR="00EE5E3D" w:rsidRPr="009A515A">
        <w:rPr>
          <w:rFonts w:ascii="Segoe UI" w:hAnsi="Segoe UI" w:cs="Segoe UI"/>
          <w:i/>
          <w:iCs/>
          <w:sz w:val="20"/>
          <w:szCs w:val="20"/>
        </w:rPr>
        <w:t xml:space="preserve"> </w:t>
      </w:r>
    </w:p>
    <w:p w14:paraId="6A62ED27" w14:textId="77777777" w:rsidR="000A6468" w:rsidRPr="009A515A" w:rsidRDefault="000A6468" w:rsidP="00ED44A2">
      <w:pPr>
        <w:jc w:val="both"/>
        <w:rPr>
          <w:i/>
          <w:iCs/>
          <w:color w:val="000000" w:themeColor="text1"/>
          <w:sz w:val="20"/>
          <w:szCs w:val="20"/>
        </w:rPr>
      </w:pPr>
      <w:r w:rsidRPr="009A515A">
        <w:t>Pearson correlation heatmaps for measurement items: (a) Brand Satisfaction (BSAT_1 to BSAT_5), (b) Brand Success (BSUC_1 to BSUC_4), (c) User Experience (UX_1 to UX_10), and (d) User Engagement (UE_1 to UE_10), illustrating positive inter-item correlations within each construct.</w:t>
      </w:r>
    </w:p>
    <w:p w14:paraId="7030DCC3" w14:textId="77777777" w:rsidR="004D6242" w:rsidRPr="009A515A" w:rsidRDefault="00B333C0" w:rsidP="00ED44A2">
      <w:pPr>
        <w:jc w:val="both"/>
        <w:rPr>
          <w:i/>
          <w:iCs/>
          <w:color w:val="000000" w:themeColor="text1"/>
          <w:sz w:val="20"/>
          <w:szCs w:val="20"/>
        </w:rPr>
      </w:pPr>
      <w:r w:rsidRPr="009A515A">
        <w:rPr>
          <w:i/>
          <w:iCs/>
          <w:color w:val="000000" w:themeColor="text1"/>
          <w:sz w:val="20"/>
          <w:szCs w:val="20"/>
        </w:rPr>
        <w:t>Source: Authors.</w:t>
      </w:r>
    </w:p>
    <w:p w14:paraId="1D921EC0" w14:textId="77777777" w:rsidR="00ED44A2" w:rsidRPr="009A515A" w:rsidRDefault="00ED44A2" w:rsidP="00EE5E3D">
      <w:pPr>
        <w:spacing w:line="360" w:lineRule="auto"/>
        <w:jc w:val="both"/>
        <w:rPr>
          <w:i/>
          <w:iCs/>
          <w:color w:val="000000" w:themeColor="text1"/>
        </w:rPr>
      </w:pPr>
    </w:p>
    <w:p w14:paraId="09B2739C" w14:textId="77777777" w:rsidR="00023327" w:rsidRPr="009A515A" w:rsidRDefault="00023327" w:rsidP="007648C5">
      <w:pPr>
        <w:tabs>
          <w:tab w:val="left" w:pos="426"/>
        </w:tabs>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lastRenderedPageBreak/>
        <w:t xml:space="preserve">5.3. Data Analysis using </w:t>
      </w:r>
      <w:proofErr w:type="spellStart"/>
      <w:r w:rsidR="00202EAC" w:rsidRPr="009A515A">
        <w:rPr>
          <w:b/>
          <w:bCs/>
          <w:i/>
          <w:iCs/>
          <w:color w:val="000000" w:themeColor="text1"/>
        </w:rPr>
        <w:t>FsQCA</w:t>
      </w:r>
      <w:proofErr w:type="spellEnd"/>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 xml:space="preserve">5.3.1. Data Driven Results from </w:t>
      </w:r>
      <w:proofErr w:type="spellStart"/>
      <w:r w:rsidR="00202EAC" w:rsidRPr="009A515A">
        <w:rPr>
          <w:b/>
          <w:bCs/>
          <w:i/>
          <w:iCs/>
          <w:color w:val="000000" w:themeColor="text1"/>
        </w:rPr>
        <w:t>FsQCA</w:t>
      </w:r>
      <w:proofErr w:type="spellEnd"/>
    </w:p>
    <w:p w14:paraId="16F19EE3" w14:textId="77777777" w:rsidR="007648C5" w:rsidRPr="009A515A" w:rsidRDefault="004309B6" w:rsidP="007648C5">
      <w:pPr>
        <w:tabs>
          <w:tab w:val="left" w:pos="426"/>
        </w:tabs>
        <w:spacing w:line="360" w:lineRule="auto"/>
        <w:jc w:val="both"/>
        <w:rPr>
          <w:color w:val="000000" w:themeColor="text1"/>
        </w:rPr>
      </w:pPr>
      <w:r w:rsidRPr="009A515A">
        <w:t>To analyse UE, UX, BSAT and BSUC, raw responses were calibrated (Ragin, 2008) into fuzzy-set membership scores expressing each case’s degree of belonging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bounding scores between 0 and 1 (Ragin, 2008; Douglas et al., 2020). This common scale enables comparison of the calibrated UE, UX, BSAT and BSUC values (Table 3).</w:t>
      </w:r>
      <w:proofErr w:type="spellStart"/>
      <w:r w:rsidRPr="009A515A"/>
      <w:proofErr w:type="spellEnd"/>
      <w:r w:rsidRPr="009A515A"/>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 xml:space="preserve">Table </w:t>
      </w:r>
      <w:r w:rsidR="00AA1ECE" w:rsidRPr="009A515A">
        <w:rPr>
          <w:b/>
          <w:bCs/>
          <w:i/>
          <w:iCs/>
        </w:rPr>
        <w:t>3</w:t>
      </w:r>
      <w:r w:rsidRPr="009A515A">
        <w:rPr>
          <w:b/>
          <w:bCs/>
          <w:i/>
          <w:iCs/>
        </w:rPr>
        <w:t>.</w:t>
      </w:r>
      <w:r w:rsidRPr="009A515A">
        <w:rPr>
          <w:i/>
          <w:iCs/>
        </w:rPr>
        <w:t xml:space="preserve"> </w:t>
      </w:r>
      <w:r w:rsidR="00092E0B" w:rsidRPr="009A515A">
        <w:rPr>
          <w:i/>
          <w:iCs/>
        </w:rPr>
        <w:t xml:space="preserve">Intermediate </w:t>
      </w:r>
      <w:r w:rsidR="001F7AD1" w:rsidRPr="009A515A">
        <w:rPr>
          <w:i/>
          <w:iCs/>
        </w:rPr>
        <w:t xml:space="preserve">Solution </w:t>
      </w:r>
    </w:p>
    <w:tbl>
      <w:tblPr>
        <w:tblStyle w:val="TableGrid"/>
        <w:tblW w:w="9154" w:type="dxa"/>
        <w:tblLook w:val="04A0" w:firstRow="1" w:lastRow="0" w:firstColumn="1" w:lastColumn="0" w:noHBand="0" w:noVBand="1"/>
      </w:tblPr>
      <w:tblGrid>
        <w:gridCol w:w="3409"/>
        <w:gridCol w:w="2398"/>
        <w:gridCol w:w="1985"/>
        <w:gridCol w:w="1362"/>
      </w:tblGrid>
      <w:tr w:rsidR="00201257" w:rsidRPr="009A515A" w14:paraId="57185280" w14:textId="77777777" w:rsidTr="00732C9D">
        <w:trPr>
          <w:trHeight w:val="309"/>
        </w:trPr>
        <w:tc>
          <w:tcPr>
            <w:tcW w:w="3409" w:type="dxa"/>
            <w:shd w:val="clear" w:color="auto" w:fill="D0CECE" w:themeFill="background2" w:themeFillShade="E6"/>
          </w:tcPr>
          <w:p w14:paraId="0B6FC0EB" w14:textId="77777777" w:rsidR="00201257" w:rsidRPr="009A515A" w:rsidRDefault="002066CD" w:rsidP="00AC22CF">
            <w:pPr>
              <w:autoSpaceDE w:val="0"/>
              <w:autoSpaceDN w:val="0"/>
              <w:adjustRightInd w:val="0"/>
              <w:spacing w:line="360" w:lineRule="auto"/>
              <w:rPr>
                <w:b/>
                <w:bCs/>
                <w:sz w:val="20"/>
                <w:szCs w:val="20"/>
              </w:rPr>
            </w:pPr>
            <w:r w:rsidRPr="009A515A">
              <w:t>Model: BSUC = f (BSAT, UX, UE)</w:t>
            </w:r>
          </w:p>
        </w:tc>
        <w:tc>
          <w:tcPr>
            <w:tcW w:w="2398" w:type="dxa"/>
            <w:shd w:val="clear" w:color="auto" w:fill="D0CECE" w:themeFill="background2" w:themeFillShade="E6"/>
          </w:tcPr>
          <w:p w14:paraId="59489C4F"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 xml:space="preserve">Raw coverage </w:t>
            </w:r>
          </w:p>
        </w:tc>
        <w:tc>
          <w:tcPr>
            <w:tcW w:w="1985" w:type="dxa"/>
            <w:shd w:val="clear" w:color="auto" w:fill="D0CECE" w:themeFill="background2" w:themeFillShade="E6"/>
          </w:tcPr>
          <w:p w14:paraId="51A17198"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Unique coverage</w:t>
            </w:r>
          </w:p>
        </w:tc>
        <w:tc>
          <w:tcPr>
            <w:tcW w:w="1362" w:type="dxa"/>
            <w:shd w:val="clear" w:color="auto" w:fill="D0CECE" w:themeFill="background2" w:themeFillShade="E6"/>
          </w:tcPr>
          <w:p w14:paraId="398FA777" w14:textId="77777777" w:rsidR="00201257" w:rsidRPr="009A515A" w:rsidRDefault="00201257" w:rsidP="00AC22CF">
            <w:pPr>
              <w:autoSpaceDE w:val="0"/>
              <w:autoSpaceDN w:val="0"/>
              <w:adjustRightInd w:val="0"/>
              <w:spacing w:line="360" w:lineRule="auto"/>
              <w:rPr>
                <w:b/>
                <w:bCs/>
                <w:sz w:val="20"/>
                <w:szCs w:val="20"/>
              </w:rPr>
            </w:pPr>
            <w:r w:rsidRPr="009A515A">
              <w:rPr>
                <w:b/>
                <w:bCs/>
                <w:sz w:val="20"/>
                <w:szCs w:val="20"/>
              </w:rPr>
              <w:t>consistency</w:t>
            </w:r>
          </w:p>
        </w:tc>
      </w:tr>
      <w:tr w:rsidR="006D3229" w:rsidRPr="009A515A" w14:paraId="1AF02A1F" w14:textId="77777777" w:rsidTr="001F2639">
        <w:trPr>
          <w:trHeight w:val="313"/>
        </w:trPr>
        <w:tc>
          <w:tcPr>
            <w:tcW w:w="3409" w:type="dxa"/>
          </w:tcPr>
          <w:p w14:paraId="5B21E345" w14:textId="77777777" w:rsidR="006D3229" w:rsidRPr="009A515A" w:rsidRDefault="0082790C" w:rsidP="006D3229">
            <w:pPr>
              <w:autoSpaceDE w:val="0"/>
              <w:autoSpaceDN w:val="0"/>
              <w:adjustRightInd w:val="0"/>
              <w:spacing w:line="360" w:lineRule="auto"/>
              <w:rPr>
                <w:sz w:val="20"/>
                <w:szCs w:val="20"/>
              </w:rPr>
            </w:pPr>
            <w:r w:rsidRPr="009A515A">
              <w:t>BSAT x UX</w:t>
            </w:r>
          </w:p>
        </w:tc>
        <w:tc>
          <w:tcPr>
            <w:tcW w:w="2398" w:type="dxa"/>
            <w:vAlign w:val="center"/>
          </w:tcPr>
          <w:p w14:paraId="3E18C80D"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0.208</w:t>
            </w:r>
          </w:p>
        </w:tc>
        <w:tc>
          <w:tcPr>
            <w:tcW w:w="1985" w:type="dxa"/>
            <w:vAlign w:val="center"/>
          </w:tcPr>
          <w:p w14:paraId="57BF697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0.036</w:t>
            </w:r>
          </w:p>
        </w:tc>
        <w:tc>
          <w:tcPr>
            <w:tcW w:w="1362" w:type="dxa"/>
            <w:vAlign w:val="center"/>
          </w:tcPr>
          <w:p w14:paraId="653E1D1F"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0.650</w:t>
            </w:r>
          </w:p>
        </w:tc>
      </w:tr>
      <w:tr w:rsidR="006D3229" w:rsidRPr="009A515A" w14:paraId="148D349A" w14:textId="77777777" w:rsidTr="001F2639">
        <w:trPr>
          <w:trHeight w:val="313"/>
        </w:trPr>
        <w:tc>
          <w:tcPr>
            <w:tcW w:w="3409" w:type="dxa"/>
          </w:tcPr>
          <w:p w14:paraId="0A8CA468" w14:textId="77777777" w:rsidR="006D3229" w:rsidRPr="009A515A" w:rsidRDefault="0082790C" w:rsidP="006D3229">
            <w:pPr>
              <w:autoSpaceDE w:val="0"/>
              <w:autoSpaceDN w:val="0"/>
              <w:adjustRightInd w:val="0"/>
              <w:spacing w:line="360" w:lineRule="auto"/>
              <w:rPr>
                <w:sz w:val="20"/>
                <w:szCs w:val="20"/>
              </w:rPr>
            </w:pPr>
            <w:r w:rsidRPr="009A515A">
              <w:t>BSAT x UE</w:t>
            </w:r>
          </w:p>
        </w:tc>
        <w:tc>
          <w:tcPr>
            <w:tcW w:w="2398" w:type="dxa"/>
            <w:vAlign w:val="center"/>
          </w:tcPr>
          <w:p w14:paraId="508BE5A6"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0.241</w:t>
            </w:r>
          </w:p>
        </w:tc>
        <w:tc>
          <w:tcPr>
            <w:tcW w:w="1985" w:type="dxa"/>
            <w:vAlign w:val="center"/>
          </w:tcPr>
          <w:p w14:paraId="21F5F02B"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0.069</w:t>
            </w:r>
          </w:p>
        </w:tc>
        <w:tc>
          <w:tcPr>
            <w:tcW w:w="1362" w:type="dxa"/>
            <w:vAlign w:val="center"/>
          </w:tcPr>
          <w:p w14:paraId="730B5372"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0.669</w:t>
            </w:r>
          </w:p>
        </w:tc>
      </w:tr>
      <w:tr w:rsidR="006D3229" w:rsidRPr="009A515A" w14:paraId="2B4A0429" w14:textId="77777777" w:rsidTr="001F2639">
        <w:trPr>
          <w:trHeight w:val="313"/>
        </w:trPr>
        <w:tc>
          <w:tcPr>
            <w:tcW w:w="3409" w:type="dxa"/>
          </w:tcPr>
          <w:p w14:paraId="0827B8E9" w14:textId="77777777" w:rsidR="006D3229" w:rsidRPr="009A515A" w:rsidRDefault="0082790C" w:rsidP="006D3229">
            <w:pPr>
              <w:autoSpaceDE w:val="0"/>
              <w:autoSpaceDN w:val="0"/>
              <w:adjustRightInd w:val="0"/>
              <w:spacing w:line="360" w:lineRule="auto"/>
              <w:rPr>
                <w:sz w:val="20"/>
                <w:szCs w:val="20"/>
              </w:rPr>
            </w:pPr>
            <w:r w:rsidRPr="009A515A">
              <w:t>UX  x UE</w:t>
            </w:r>
          </w:p>
        </w:tc>
        <w:tc>
          <w:tcPr>
            <w:tcW w:w="2398" w:type="dxa"/>
            <w:vAlign w:val="center"/>
          </w:tcPr>
          <w:p w14:paraId="76ED88A0"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0.219</w:t>
            </w:r>
          </w:p>
        </w:tc>
        <w:tc>
          <w:tcPr>
            <w:tcW w:w="1985" w:type="dxa"/>
            <w:vAlign w:val="center"/>
          </w:tcPr>
          <w:p w14:paraId="119F54FE"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0.046</w:t>
            </w:r>
          </w:p>
        </w:tc>
        <w:tc>
          <w:tcPr>
            <w:tcW w:w="1362" w:type="dxa"/>
            <w:vAlign w:val="center"/>
          </w:tcPr>
          <w:p w14:paraId="288C5949" w14:textId="77777777" w:rsidR="006D3229" w:rsidRPr="009A515A" w:rsidRDefault="006D3229" w:rsidP="006D3229">
            <w:pPr>
              <w:autoSpaceDE w:val="0"/>
              <w:autoSpaceDN w:val="0"/>
              <w:adjustRightInd w:val="0"/>
              <w:spacing w:line="360" w:lineRule="auto"/>
              <w:rPr>
                <w:rFonts w:eastAsiaTheme="majorEastAsia"/>
                <w:i/>
                <w:iCs/>
                <w:sz w:val="20"/>
                <w:szCs w:val="20"/>
              </w:rPr>
            </w:pPr>
            <w:r w:rsidRPr="009A515A">
              <w:rPr>
                <w:i/>
                <w:iCs/>
                <w:color w:val="000000"/>
                <w:sz w:val="20"/>
                <w:szCs w:val="20"/>
              </w:rPr>
              <w:t>0.600</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 xml:space="preserve">Note: </w:t>
      </w:r>
      <w:r w:rsidR="00201257" w:rsidRPr="009A515A">
        <w:rPr>
          <w:rFonts w:eastAsiaTheme="majorEastAsia"/>
          <w:i/>
          <w:iCs/>
          <w:sz w:val="20"/>
          <w:szCs w:val="20"/>
        </w:rPr>
        <w:t>solution coverage: 0.323827</w:t>
      </w:r>
      <w:r w:rsidR="008871CF" w:rsidRPr="009A515A">
        <w:rPr>
          <w:rFonts w:eastAsiaTheme="majorEastAsia"/>
          <w:i/>
          <w:iCs/>
          <w:sz w:val="20"/>
          <w:szCs w:val="20"/>
        </w:rPr>
        <w:t xml:space="preserve">; </w:t>
      </w:r>
      <w:r w:rsidR="00201257" w:rsidRPr="009A515A">
        <w:rPr>
          <w:rFonts w:eastAsiaTheme="majorEastAsia"/>
          <w:i/>
          <w:iCs/>
          <w:sz w:val="20"/>
          <w:szCs w:val="20"/>
        </w:rPr>
        <w:t xml:space="preserve">solution consistency: </w:t>
      </w:r>
      <w:r w:rsidR="00A449F3" w:rsidRPr="009A515A">
        <w:rPr>
          <w:rFonts w:eastAsiaTheme="majorEastAsia"/>
          <w:i/>
          <w:iCs/>
          <w:sz w:val="20"/>
          <w:szCs w:val="20"/>
        </w:rPr>
        <w:t>0.756327</w:t>
      </w:r>
      <w:r w:rsidR="008871CF" w:rsidRPr="009A515A">
        <w:rPr>
          <w:rFonts w:eastAsiaTheme="majorEastAsia"/>
          <w:i/>
          <w:iCs/>
          <w:sz w:val="20"/>
          <w:szCs w:val="20"/>
        </w:rPr>
        <w:tab/>
      </w:r>
      <w:r w:rsidR="008871CF" w:rsidRPr="009A515A">
        <w:rPr>
          <w:rFonts w:eastAsiaTheme="majorEastAsia"/>
          <w:b/>
          <w:bCs/>
          <w:i/>
          <w:iCs/>
          <w:sz w:val="20"/>
          <w:szCs w:val="20"/>
        </w:rPr>
        <w:t>Source:</w:t>
      </w:r>
      <w:r w:rsidR="008871CF" w:rsidRPr="009A515A">
        <w:rPr>
          <w:rFonts w:eastAsiaTheme="majorEastAsia"/>
          <w:i/>
          <w:iCs/>
          <w:sz w:val="20"/>
          <w:szCs w:val="20"/>
        </w:rPr>
        <w:t xml:space="preserve"> Authors</w:t>
      </w:r>
      <w:r w:rsidR="006D3229" w:rsidRPr="009A515A">
        <w:rPr>
          <w:rFonts w:eastAsiaTheme="majorEastAsia"/>
          <w:i/>
          <w:iCs/>
          <w:sz w:val="20"/>
          <w:szCs w:val="20"/>
        </w:rPr>
        <w:t xml:space="preserve"> </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As shown in Table 3, the intermediate solution models BSUC = f(BSAT, UX, UE). Raw coverage is about 20.84% for BSAT × UX, 24.15% for BSAT × UE and 21.90% for UX × UE; unique coverage is 3.59%, 6.90% and 4.65% respectively.</w:t>
      </w:r>
      <w:r w:rsidRPr="009A515A"/>
      <w:r w:rsidR="009B694E"/>
      <w:r w:rsidRPr="009A515A"/>
      <w:r w:rsidR="009B694E"/>
      <w:r w:rsidRPr="009A515A"/>
    </w:p>
    <w:p w14:paraId="33EA602A" w14:textId="66BC5300" w:rsidR="006D3229" w:rsidRPr="009A515A" w:rsidRDefault="005170CF" w:rsidP="008871CF">
      <w:pPr>
        <w:spacing w:line="360" w:lineRule="auto"/>
        <w:ind w:firstLine="426"/>
        <w:jc w:val="both"/>
        <w:rPr>
          <w:color w:val="000000" w:themeColor="text1"/>
        </w:rPr>
      </w:pPr>
      <w:r w:rsidRPr="009A515A">
        <w:t>Consistency indicates sufficiency (Table 4): 0.650 (BSAT × UX), 0.669 (BSAT × UE) and 0.600 (UX × UE). For the overall intermediate solution, coverage is 0.324 (about 32% of the outcome) and consistency 0.756.</w:t>
      </w:r>
      <w:r w:rsidR="009B694E"/>
      <w:r w:rsidRPr="009A515A"/>
      <w:r w:rsidR="009B694E"/>
      <w:r w:rsidRPr="009A515A"/>
    </w:p>
    <w:p w14:paraId="4177F0DE" w14:textId="77777777" w:rsidR="009D2FA9" w:rsidRPr="009A515A" w:rsidRDefault="00AF1DC4" w:rsidP="008871CF">
      <w:pPr>
        <w:spacing w:line="360" w:lineRule="auto"/>
        <w:ind w:firstLine="426"/>
        <w:jc w:val="both"/>
        <w:rPr>
          <w:color w:val="000000" w:themeColor="text1"/>
        </w:rPr>
      </w:pPr>
      <w:r w:rsidRPr="009A515A">
        <w:t>Figure 4 presents the framework for brand success, illustrating the proposed relationships among UX, UE, BSAT and BSUC in the metaverse.</w:t>
      </w:r>
    </w:p>
    <w:p w14:paraId="55375406" w14:textId="77777777" w:rsidR="00984644" w:rsidRPr="009A515A" w:rsidRDefault="00984644" w:rsidP="00984644">
      <w:pPr>
        <w:spacing w:line="360" w:lineRule="auto"/>
        <w:ind w:firstLine="426"/>
        <w:jc w:val="both"/>
        <w:rPr>
          <w:color w:val="000000" w:themeColor="text1"/>
        </w:rPr>
      </w:pPr>
      <w:r w:rsidRPr="009A515A">
        <w:t>In the model, UX, UE and BSAT are the antecedent conditions for BSUC; the subset–superset analysis evaluates which combinations are jointly sufficient for high brand success rather than estimating a single directional path, grounding the conceptual model in the empirical configurations.</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lastRenderedPageBreak/>
        <w:t>Figure 4. Conceptual model and hypotheses (H1–H3): user engagement (UE) and user experience (UX) as antecedents, brand satisfaction (BSAT) as mediator, and brand success (BSUC) as the outcome, framed by Flow Theory and Self-Determination Theory.</w:t>
      </w:r>
      <w:r w:rsidRPr="009A515A">
        <w:rPr>
          <w:b/>
          <w:bCs/>
          <w:i/>
          <w:iCs/>
          <w:color w:val="000000" w:themeColor="text1"/>
        </w:rPr>
        <w:tab/>
      </w:r>
      <w:r w:rsidRPr="009A515A">
        <w:rPr>
          <w:b/>
          <w:bCs/>
          <w:i/>
          <w:iCs/>
          <w:color w:val="000000" w:themeColor="text1"/>
        </w:rPr>
        <w:tab/>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6CA2DFC" w14:textId="77777777" w:rsidR="005E0F58" w:rsidRPr="009A515A" w:rsidRDefault="005E0F58" w:rsidP="005208D3">
      <w:pPr>
        <w:jc w:val="both"/>
        <w:rPr>
          <w:i/>
          <w:iCs/>
          <w:color w:val="000000" w:themeColor="text1"/>
        </w:rPr>
      </w:pPr>
    </w:p>
    <w:p w14:paraId="2552EE38" w14:textId="77777777" w:rsidR="00DD5D63" w:rsidRPr="009A515A" w:rsidRDefault="00DD5D63" w:rsidP="00B379F7">
      <w:pPr>
        <w:ind w:left="720" w:hanging="720"/>
        <w:rPr>
          <w:color w:val="000000" w:themeColor="text1"/>
        </w:rPr>
      </w:pPr>
    </w:p>
    <w:p w14:paraId="7989B3BB" w14:textId="77777777" w:rsidR="00A2512A" w:rsidRPr="009A515A" w:rsidRDefault="00A2512A" w:rsidP="007648C5">
      <w:pPr>
        <w:spacing w:line="360" w:lineRule="auto"/>
        <w:ind w:left="720" w:hanging="720"/>
        <w:rPr>
          <w:b/>
          <w:bCs/>
          <w:color w:val="000000" w:themeColor="text1"/>
        </w:rPr>
      </w:pPr>
      <w:r w:rsidRPr="009A515A">
        <w:rPr>
          <w:b/>
          <w:bCs/>
          <w:color w:val="000000" w:themeColor="text1"/>
        </w:rPr>
        <w:t xml:space="preserve">Table </w:t>
      </w:r>
      <w:r w:rsidR="00AA1ECE" w:rsidRPr="009A515A">
        <w:rPr>
          <w:b/>
          <w:bCs/>
          <w:color w:val="000000" w:themeColor="text1"/>
        </w:rPr>
        <w:t>4</w:t>
      </w:r>
      <w:r w:rsidRPr="009A515A">
        <w:rPr>
          <w:b/>
          <w:bCs/>
          <w:color w:val="000000" w:themeColor="text1"/>
        </w:rPr>
        <w:t xml:space="preserve">. </w:t>
      </w:r>
      <w:r w:rsidR="00FE33C2" w:rsidRPr="009A515A">
        <w:rPr>
          <w:b/>
          <w:bCs/>
          <w:color w:val="000000" w:themeColor="text1"/>
        </w:rPr>
        <w:t>Subset/Superset Analysis</w:t>
      </w:r>
    </w:p>
    <w:tbl>
      <w:tblPr>
        <w:tblStyle w:val="TableGrid"/>
        <w:tblW w:w="9351" w:type="dxa"/>
        <w:tblLook w:val="04A0" w:firstRow="1" w:lastRow="0" w:firstColumn="1" w:lastColumn="0" w:noHBand="0" w:noVBand="1"/>
      </w:tblPr>
      <w:tblGrid>
        <w:gridCol w:w="2555"/>
        <w:gridCol w:w="1963"/>
        <w:gridCol w:w="2257"/>
        <w:gridCol w:w="2576"/>
      </w:tblGrid>
      <w:tr w:rsidR="00A2512A" w:rsidRPr="009A515A" w14:paraId="36B6B727" w14:textId="77777777" w:rsidTr="00D41BBD">
        <w:trPr>
          <w:trHeight w:val="284"/>
        </w:trPr>
        <w:tc>
          <w:tcPr>
            <w:tcW w:w="2555" w:type="dxa"/>
            <w:shd w:val="clear" w:color="auto" w:fill="D0CECE" w:themeFill="background2" w:themeFillShade="E6"/>
          </w:tcPr>
          <w:p w14:paraId="32C10186" w14:textId="77777777" w:rsidR="00A2512A" w:rsidRPr="009A515A" w:rsidRDefault="00D41BBD" w:rsidP="005E0F58">
            <w:pPr>
              <w:rPr>
                <w:b/>
                <w:bCs/>
                <w:color w:val="000000" w:themeColor="text1"/>
                <w:sz w:val="20"/>
                <w:szCs w:val="20"/>
                <w:lang w:val="fr-FR"/>
              </w:rPr>
            </w:pPr>
            <w:r w:rsidRPr="009A515A">
              <w:t>BSUC = f (BSAT, UX, UE)</w:t>
            </w:r>
          </w:p>
        </w:tc>
        <w:tc>
          <w:tcPr>
            <w:tcW w:w="1963" w:type="dxa"/>
            <w:shd w:val="clear" w:color="auto" w:fill="D0CECE" w:themeFill="background2" w:themeFillShade="E6"/>
          </w:tcPr>
          <w:p w14:paraId="31643D6F" w14:textId="77777777" w:rsidR="00A2512A" w:rsidRPr="009A515A" w:rsidRDefault="00A2512A" w:rsidP="005E0F58">
            <w:pPr>
              <w:rPr>
                <w:b/>
                <w:bCs/>
                <w:color w:val="000000" w:themeColor="text1"/>
                <w:sz w:val="20"/>
                <w:szCs w:val="20"/>
              </w:rPr>
            </w:pPr>
            <w:r w:rsidRPr="009A515A">
              <w:rPr>
                <w:b/>
                <w:bCs/>
                <w:sz w:val="20"/>
                <w:szCs w:val="20"/>
              </w:rPr>
              <w:t>Consistency</w:t>
            </w:r>
          </w:p>
        </w:tc>
        <w:tc>
          <w:tcPr>
            <w:tcW w:w="2257" w:type="dxa"/>
            <w:shd w:val="clear" w:color="auto" w:fill="D0CECE" w:themeFill="background2" w:themeFillShade="E6"/>
          </w:tcPr>
          <w:p w14:paraId="6D95974D" w14:textId="77777777" w:rsidR="00A2512A" w:rsidRPr="009A515A" w:rsidRDefault="00A2512A" w:rsidP="005E0F58">
            <w:pPr>
              <w:rPr>
                <w:b/>
                <w:bCs/>
                <w:color w:val="000000" w:themeColor="text1"/>
                <w:sz w:val="20"/>
                <w:szCs w:val="20"/>
              </w:rPr>
            </w:pPr>
            <w:r w:rsidRPr="009A515A">
              <w:rPr>
                <w:b/>
                <w:bCs/>
                <w:sz w:val="20"/>
                <w:szCs w:val="20"/>
              </w:rPr>
              <w:t xml:space="preserve">Raw Coverage </w:t>
            </w:r>
          </w:p>
        </w:tc>
        <w:tc>
          <w:tcPr>
            <w:tcW w:w="2576" w:type="dxa"/>
            <w:shd w:val="clear" w:color="auto" w:fill="D0CECE" w:themeFill="background2" w:themeFillShade="E6"/>
          </w:tcPr>
          <w:p w14:paraId="1EDA45DB" w14:textId="77777777" w:rsidR="00FE33C2" w:rsidRPr="009A515A" w:rsidRDefault="00A2512A" w:rsidP="005E0F58">
            <w:pPr>
              <w:rPr>
                <w:b/>
                <w:bCs/>
                <w:i/>
                <w:iCs/>
                <w:sz w:val="20"/>
                <w:szCs w:val="20"/>
              </w:rPr>
            </w:pPr>
            <w:r w:rsidRPr="009A515A">
              <w:rPr>
                <w:b/>
                <w:bCs/>
                <w:sz w:val="20"/>
                <w:szCs w:val="20"/>
              </w:rPr>
              <w:t>Combined</w:t>
            </w:r>
          </w:p>
        </w:tc>
      </w:tr>
      <w:tr w:rsidR="00316E6B" w:rsidRPr="009A515A" w14:paraId="5E40FBFB" w14:textId="77777777" w:rsidTr="00D41BBD">
        <w:trPr>
          <w:trHeight w:val="284"/>
        </w:trPr>
        <w:tc>
          <w:tcPr>
            <w:tcW w:w="2555" w:type="dxa"/>
          </w:tcPr>
          <w:p w14:paraId="1A9D2FC8" w14:textId="77777777" w:rsidR="00316E6B" w:rsidRPr="009A515A" w:rsidRDefault="00D41BBD" w:rsidP="00316E6B">
            <w:pPr>
              <w:rPr>
                <w:sz w:val="20"/>
                <w:szCs w:val="20"/>
              </w:rPr>
            </w:pPr>
            <w:r w:rsidRPr="009A515A">
              <w:t>BSAT * UX * UE</w:t>
            </w:r>
          </w:p>
        </w:tc>
        <w:tc>
          <w:tcPr>
            <w:tcW w:w="1963" w:type="dxa"/>
          </w:tcPr>
          <w:p w14:paraId="1B3ED29E" w14:textId="77777777" w:rsidR="00316E6B" w:rsidRPr="009A515A" w:rsidRDefault="00316E6B" w:rsidP="00316E6B">
            <w:pPr>
              <w:rPr>
                <w:color w:val="000000" w:themeColor="text1"/>
                <w:sz w:val="20"/>
                <w:szCs w:val="20"/>
              </w:rPr>
            </w:pPr>
            <w:r w:rsidRPr="009A515A">
              <w:rPr>
                <w:i/>
                <w:iCs/>
                <w:sz w:val="20"/>
                <w:szCs w:val="20"/>
              </w:rPr>
              <w:t>0.713</w:t>
            </w:r>
          </w:p>
        </w:tc>
        <w:tc>
          <w:tcPr>
            <w:tcW w:w="2257" w:type="dxa"/>
          </w:tcPr>
          <w:p w14:paraId="5422AB66" w14:textId="77777777" w:rsidR="00316E6B" w:rsidRPr="009A515A" w:rsidRDefault="00316E6B" w:rsidP="00316E6B">
            <w:pPr>
              <w:rPr>
                <w:color w:val="000000" w:themeColor="text1"/>
                <w:sz w:val="20"/>
                <w:szCs w:val="20"/>
              </w:rPr>
            </w:pPr>
            <w:r w:rsidRPr="009A515A">
              <w:rPr>
                <w:i/>
                <w:iCs/>
                <w:sz w:val="20"/>
                <w:szCs w:val="20"/>
              </w:rPr>
              <w:t>0.172</w:t>
            </w:r>
          </w:p>
        </w:tc>
        <w:tc>
          <w:tcPr>
            <w:tcW w:w="2576" w:type="dxa"/>
          </w:tcPr>
          <w:p w14:paraId="51164424" w14:textId="77777777" w:rsidR="00316E6B" w:rsidRPr="009A515A" w:rsidRDefault="00316E6B" w:rsidP="00316E6B">
            <w:pPr>
              <w:rPr>
                <w:sz w:val="20"/>
                <w:szCs w:val="20"/>
              </w:rPr>
            </w:pPr>
            <w:r w:rsidRPr="009A515A">
              <w:rPr>
                <w:i/>
                <w:iCs/>
                <w:sz w:val="20"/>
                <w:szCs w:val="20"/>
              </w:rPr>
              <w:t>0.305</w:t>
            </w:r>
          </w:p>
        </w:tc>
      </w:tr>
      <w:tr w:rsidR="00316E6B" w:rsidRPr="009A515A" w14:paraId="50F10C3E" w14:textId="77777777" w:rsidTr="00D41BBD">
        <w:trPr>
          <w:trHeight w:val="284"/>
        </w:trPr>
        <w:tc>
          <w:tcPr>
            <w:tcW w:w="2555" w:type="dxa"/>
          </w:tcPr>
          <w:p w14:paraId="7E0FC364" w14:textId="77777777" w:rsidR="00316E6B" w:rsidRPr="009A515A" w:rsidRDefault="00D41BBD" w:rsidP="00316E6B">
            <w:pPr>
              <w:rPr>
                <w:sz w:val="20"/>
                <w:szCs w:val="20"/>
              </w:rPr>
            </w:pPr>
            <w:r w:rsidRPr="009A515A">
              <w:t>BSAT * UX</w:t>
            </w:r>
          </w:p>
        </w:tc>
        <w:tc>
          <w:tcPr>
            <w:tcW w:w="1963" w:type="dxa"/>
          </w:tcPr>
          <w:p w14:paraId="3DC7D328" w14:textId="77777777" w:rsidR="00316E6B" w:rsidRPr="009A515A" w:rsidRDefault="00316E6B" w:rsidP="00316E6B">
            <w:pPr>
              <w:rPr>
                <w:color w:val="000000" w:themeColor="text1"/>
                <w:sz w:val="20"/>
                <w:szCs w:val="20"/>
              </w:rPr>
            </w:pPr>
            <w:r w:rsidRPr="009A515A">
              <w:rPr>
                <w:i/>
                <w:iCs/>
                <w:sz w:val="20"/>
                <w:szCs w:val="20"/>
              </w:rPr>
              <w:t>0.650</w:t>
            </w:r>
          </w:p>
        </w:tc>
        <w:tc>
          <w:tcPr>
            <w:tcW w:w="2257" w:type="dxa"/>
          </w:tcPr>
          <w:p w14:paraId="35FC7ABA" w14:textId="77777777" w:rsidR="00316E6B" w:rsidRPr="009A515A" w:rsidRDefault="00316E6B" w:rsidP="00316E6B">
            <w:pPr>
              <w:rPr>
                <w:color w:val="000000" w:themeColor="text1"/>
                <w:sz w:val="20"/>
                <w:szCs w:val="20"/>
              </w:rPr>
            </w:pPr>
            <w:r w:rsidRPr="009A515A">
              <w:rPr>
                <w:sz w:val="20"/>
                <w:szCs w:val="20"/>
              </w:rPr>
              <w:t>0.208</w:t>
            </w:r>
          </w:p>
        </w:tc>
        <w:tc>
          <w:tcPr>
            <w:tcW w:w="2576" w:type="dxa"/>
          </w:tcPr>
          <w:p w14:paraId="31FCF934" w14:textId="77777777" w:rsidR="00316E6B" w:rsidRPr="009A515A" w:rsidRDefault="00316E6B" w:rsidP="00316E6B">
            <w:pPr>
              <w:rPr>
                <w:sz w:val="20"/>
                <w:szCs w:val="20"/>
              </w:rPr>
            </w:pPr>
            <w:r w:rsidRPr="009A515A">
              <w:rPr>
                <w:sz w:val="20"/>
                <w:szCs w:val="20"/>
              </w:rPr>
              <w:t>0.246</w:t>
            </w:r>
          </w:p>
        </w:tc>
      </w:tr>
      <w:tr w:rsidR="00316E6B" w:rsidRPr="009A515A" w14:paraId="6BA9100A" w14:textId="77777777" w:rsidTr="00D41BBD">
        <w:trPr>
          <w:trHeight w:val="284"/>
        </w:trPr>
        <w:tc>
          <w:tcPr>
            <w:tcW w:w="2555" w:type="dxa"/>
          </w:tcPr>
          <w:p w14:paraId="4A6F83E2" w14:textId="77777777" w:rsidR="00316E6B" w:rsidRPr="009A515A" w:rsidRDefault="00D41BBD" w:rsidP="00316E6B">
            <w:pPr>
              <w:rPr>
                <w:sz w:val="20"/>
                <w:szCs w:val="20"/>
              </w:rPr>
            </w:pPr>
            <w:r w:rsidRPr="009A515A">
              <w:t>UX * UE</w:t>
            </w:r>
          </w:p>
        </w:tc>
        <w:tc>
          <w:tcPr>
            <w:tcW w:w="1963" w:type="dxa"/>
          </w:tcPr>
          <w:p w14:paraId="33235B61" w14:textId="77777777" w:rsidR="00316E6B" w:rsidRPr="009A515A" w:rsidRDefault="00316E6B" w:rsidP="00316E6B">
            <w:pPr>
              <w:rPr>
                <w:color w:val="000000" w:themeColor="text1"/>
                <w:sz w:val="20"/>
                <w:szCs w:val="20"/>
              </w:rPr>
            </w:pPr>
            <w:r w:rsidRPr="009A515A">
              <w:rPr>
                <w:i/>
                <w:iCs/>
                <w:sz w:val="20"/>
                <w:szCs w:val="20"/>
              </w:rPr>
              <w:t>0.600</w:t>
            </w:r>
          </w:p>
        </w:tc>
        <w:tc>
          <w:tcPr>
            <w:tcW w:w="2257" w:type="dxa"/>
          </w:tcPr>
          <w:p w14:paraId="6E756FC1" w14:textId="77777777" w:rsidR="00316E6B" w:rsidRPr="009A515A" w:rsidRDefault="00316E6B" w:rsidP="00316E6B">
            <w:pPr>
              <w:rPr>
                <w:color w:val="000000" w:themeColor="text1"/>
                <w:sz w:val="20"/>
                <w:szCs w:val="20"/>
              </w:rPr>
            </w:pPr>
            <w:r w:rsidRPr="009A515A">
              <w:rPr>
                <w:color w:val="000000"/>
                <w:sz w:val="20"/>
                <w:szCs w:val="20"/>
              </w:rPr>
              <w:t>0.219</w:t>
            </w:r>
          </w:p>
        </w:tc>
        <w:tc>
          <w:tcPr>
            <w:tcW w:w="2576" w:type="dxa"/>
          </w:tcPr>
          <w:p w14:paraId="2A4D1EF3" w14:textId="77777777" w:rsidR="00316E6B" w:rsidRPr="009A515A" w:rsidRDefault="00316E6B" w:rsidP="00316E6B">
            <w:pPr>
              <w:rPr>
                <w:sz w:val="20"/>
                <w:szCs w:val="20"/>
              </w:rPr>
            </w:pPr>
            <w:r w:rsidRPr="009A515A">
              <w:rPr>
                <w:color w:val="000000"/>
                <w:sz w:val="20"/>
                <w:szCs w:val="20"/>
              </w:rPr>
              <w:t>0.181</w:t>
            </w:r>
          </w:p>
        </w:tc>
      </w:tr>
      <w:tr w:rsidR="00316E6B" w:rsidRPr="009A515A" w14:paraId="17470757" w14:textId="77777777" w:rsidTr="00D41BBD">
        <w:trPr>
          <w:trHeight w:val="284"/>
        </w:trPr>
        <w:tc>
          <w:tcPr>
            <w:tcW w:w="2555" w:type="dxa"/>
          </w:tcPr>
          <w:p w14:paraId="4FD93F93" w14:textId="77777777" w:rsidR="00316E6B" w:rsidRPr="009A515A" w:rsidRDefault="00316E6B" w:rsidP="00316E6B">
            <w:pPr>
              <w:rPr>
                <w:sz w:val="20"/>
                <w:szCs w:val="20"/>
              </w:rPr>
            </w:pPr>
            <w:r w:rsidRPr="009A515A">
              <w:t>BSAT * UE</w:t>
            </w:r>
          </w:p>
        </w:tc>
        <w:tc>
          <w:tcPr>
            <w:tcW w:w="1963" w:type="dxa"/>
          </w:tcPr>
          <w:p w14:paraId="5C68D27A" w14:textId="77777777" w:rsidR="00316E6B" w:rsidRPr="009A515A" w:rsidRDefault="00316E6B" w:rsidP="00316E6B">
            <w:pPr>
              <w:rPr>
                <w:color w:val="000000" w:themeColor="text1"/>
                <w:sz w:val="20"/>
                <w:szCs w:val="20"/>
              </w:rPr>
            </w:pPr>
            <w:r w:rsidRPr="009A515A">
              <w:rPr>
                <w:i/>
                <w:iCs/>
                <w:sz w:val="20"/>
                <w:szCs w:val="20"/>
              </w:rPr>
              <w:t>0.669</w:t>
            </w:r>
          </w:p>
        </w:tc>
        <w:tc>
          <w:tcPr>
            <w:tcW w:w="2257" w:type="dxa"/>
          </w:tcPr>
          <w:p w14:paraId="3C5F77A0" w14:textId="77777777" w:rsidR="00316E6B" w:rsidRPr="009A515A" w:rsidRDefault="00316E6B" w:rsidP="00316E6B">
            <w:pPr>
              <w:rPr>
                <w:color w:val="000000" w:themeColor="text1"/>
                <w:sz w:val="20"/>
                <w:szCs w:val="20"/>
              </w:rPr>
            </w:pPr>
            <w:r w:rsidRPr="009A515A">
              <w:rPr>
                <w:sz w:val="20"/>
                <w:szCs w:val="20"/>
              </w:rPr>
              <w:t>0.241</w:t>
            </w:r>
          </w:p>
        </w:tc>
        <w:tc>
          <w:tcPr>
            <w:tcW w:w="2576" w:type="dxa"/>
          </w:tcPr>
          <w:p w14:paraId="357CFEC8" w14:textId="77777777" w:rsidR="00316E6B" w:rsidRPr="009A515A" w:rsidRDefault="00316E6B" w:rsidP="00316E6B">
            <w:pPr>
              <w:rPr>
                <w:sz w:val="20"/>
                <w:szCs w:val="20"/>
              </w:rPr>
            </w:pPr>
            <w:r w:rsidRPr="009A515A">
              <w:rPr>
                <w:sz w:val="20"/>
                <w:szCs w:val="20"/>
              </w:rPr>
              <w:t>0.295</w:t>
            </w:r>
          </w:p>
        </w:tc>
      </w:tr>
      <w:tr w:rsidR="00316E6B" w:rsidRPr="009A515A" w14:paraId="42030D01" w14:textId="77777777" w:rsidTr="00D41BBD">
        <w:trPr>
          <w:trHeight w:val="284"/>
        </w:trPr>
        <w:tc>
          <w:tcPr>
            <w:tcW w:w="2555" w:type="dxa"/>
          </w:tcPr>
          <w:p w14:paraId="1AF14F6D" w14:textId="77777777" w:rsidR="00316E6B" w:rsidRPr="009A515A" w:rsidRDefault="00D41BBD" w:rsidP="00316E6B">
            <w:pPr>
              <w:rPr>
                <w:sz w:val="20"/>
                <w:szCs w:val="20"/>
              </w:rPr>
            </w:pPr>
            <w:r w:rsidRPr="009A515A">
              <w:rPr>
                <w:sz w:val="20"/>
                <w:szCs w:val="20"/>
              </w:rPr>
              <w:t>UX</w:t>
            </w:r>
          </w:p>
        </w:tc>
        <w:tc>
          <w:tcPr>
            <w:tcW w:w="1963" w:type="dxa"/>
          </w:tcPr>
          <w:p w14:paraId="3680D2A1" w14:textId="77777777" w:rsidR="00316E6B" w:rsidRPr="009A515A" w:rsidRDefault="00316E6B" w:rsidP="00316E6B">
            <w:pPr>
              <w:rPr>
                <w:color w:val="000000" w:themeColor="text1"/>
                <w:sz w:val="20"/>
                <w:szCs w:val="20"/>
              </w:rPr>
            </w:pPr>
            <w:r w:rsidRPr="009A515A">
              <w:rPr>
                <w:i/>
                <w:iCs/>
                <w:sz w:val="20"/>
                <w:szCs w:val="20"/>
              </w:rPr>
              <w:t>0.362</w:t>
            </w:r>
          </w:p>
        </w:tc>
        <w:tc>
          <w:tcPr>
            <w:tcW w:w="2257" w:type="dxa"/>
          </w:tcPr>
          <w:p w14:paraId="071D2FA7"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05B9BFE3" w14:textId="77777777" w:rsidR="00316E6B" w:rsidRPr="009A515A" w:rsidRDefault="00316E6B" w:rsidP="00316E6B">
            <w:pPr>
              <w:rPr>
                <w:sz w:val="20"/>
                <w:szCs w:val="20"/>
              </w:rPr>
            </w:pPr>
            <w:r w:rsidRPr="009A515A">
              <w:rPr>
                <w:color w:val="000000"/>
                <w:sz w:val="20"/>
                <w:szCs w:val="20"/>
              </w:rPr>
              <w:t>0.084</w:t>
            </w:r>
          </w:p>
        </w:tc>
      </w:tr>
      <w:tr w:rsidR="00316E6B" w:rsidRPr="009A515A" w14:paraId="28864586" w14:textId="77777777" w:rsidTr="00D41BBD">
        <w:trPr>
          <w:trHeight w:val="271"/>
        </w:trPr>
        <w:tc>
          <w:tcPr>
            <w:tcW w:w="2555" w:type="dxa"/>
          </w:tcPr>
          <w:p w14:paraId="0A16B948" w14:textId="77777777" w:rsidR="00316E6B" w:rsidRPr="009A515A" w:rsidRDefault="00D41BBD" w:rsidP="00316E6B">
            <w:pPr>
              <w:rPr>
                <w:sz w:val="20"/>
                <w:szCs w:val="20"/>
              </w:rPr>
            </w:pPr>
            <w:r w:rsidRPr="009A515A">
              <w:t>BSAT</w:t>
            </w:r>
          </w:p>
        </w:tc>
        <w:tc>
          <w:tcPr>
            <w:tcW w:w="1963" w:type="dxa"/>
          </w:tcPr>
          <w:p w14:paraId="24CEB16F" w14:textId="77777777" w:rsidR="00316E6B" w:rsidRPr="009A515A" w:rsidRDefault="00316E6B" w:rsidP="00316E6B">
            <w:pPr>
              <w:rPr>
                <w:color w:val="000000" w:themeColor="text1"/>
                <w:sz w:val="20"/>
                <w:szCs w:val="20"/>
              </w:rPr>
            </w:pPr>
            <w:r w:rsidRPr="009A515A">
              <w:rPr>
                <w:i/>
                <w:iCs/>
                <w:sz w:val="20"/>
                <w:szCs w:val="20"/>
              </w:rPr>
              <w:t>0.410</w:t>
            </w:r>
          </w:p>
        </w:tc>
        <w:tc>
          <w:tcPr>
            <w:tcW w:w="2257" w:type="dxa"/>
          </w:tcPr>
          <w:p w14:paraId="2879C498" w14:textId="77777777" w:rsidR="00316E6B" w:rsidRPr="009A515A" w:rsidRDefault="00316E6B" w:rsidP="00316E6B">
            <w:pPr>
              <w:rPr>
                <w:color w:val="000000" w:themeColor="text1"/>
                <w:sz w:val="20"/>
                <w:szCs w:val="20"/>
              </w:rPr>
            </w:pPr>
            <w:r w:rsidRPr="009A515A">
              <w:rPr>
                <w:sz w:val="20"/>
                <w:szCs w:val="20"/>
              </w:rPr>
              <w:t>0.368</w:t>
            </w:r>
          </w:p>
        </w:tc>
        <w:tc>
          <w:tcPr>
            <w:tcW w:w="2576" w:type="dxa"/>
          </w:tcPr>
          <w:p w14:paraId="6277C9D1" w14:textId="77777777" w:rsidR="00316E6B" w:rsidRPr="009A515A" w:rsidRDefault="00316E6B" w:rsidP="00316E6B">
            <w:pPr>
              <w:rPr>
                <w:sz w:val="20"/>
                <w:szCs w:val="20"/>
              </w:rPr>
            </w:pPr>
            <w:r w:rsidRPr="009A515A">
              <w:rPr>
                <w:sz w:val="20"/>
                <w:szCs w:val="20"/>
              </w:rPr>
              <w:t>0.086</w:t>
            </w:r>
          </w:p>
        </w:tc>
      </w:tr>
      <w:tr w:rsidR="00316E6B" w:rsidRPr="009A515A" w14:paraId="2D456F8B" w14:textId="77777777" w:rsidTr="00D41BBD">
        <w:trPr>
          <w:trHeight w:val="176"/>
        </w:trPr>
        <w:tc>
          <w:tcPr>
            <w:tcW w:w="2555" w:type="dxa"/>
          </w:tcPr>
          <w:p w14:paraId="4225DD0D" w14:textId="77777777" w:rsidR="00316E6B" w:rsidRPr="009A515A" w:rsidRDefault="00316E6B" w:rsidP="00316E6B">
            <w:pPr>
              <w:rPr>
                <w:sz w:val="20"/>
                <w:szCs w:val="20"/>
              </w:rPr>
            </w:pPr>
            <w:r w:rsidRPr="009A515A">
              <w:t>UE</w:t>
            </w:r>
          </w:p>
        </w:tc>
        <w:tc>
          <w:tcPr>
            <w:tcW w:w="1963" w:type="dxa"/>
          </w:tcPr>
          <w:p w14:paraId="419E1E7A" w14:textId="77777777" w:rsidR="00316E6B" w:rsidRPr="009A515A" w:rsidRDefault="00316E6B" w:rsidP="00316E6B">
            <w:pPr>
              <w:rPr>
                <w:color w:val="000000" w:themeColor="text1"/>
                <w:sz w:val="20"/>
                <w:szCs w:val="20"/>
              </w:rPr>
            </w:pPr>
            <w:r w:rsidRPr="009A515A">
              <w:rPr>
                <w:i/>
                <w:iCs/>
                <w:sz w:val="20"/>
                <w:szCs w:val="20"/>
              </w:rPr>
              <w:t>0.373</w:t>
            </w:r>
          </w:p>
        </w:tc>
        <w:tc>
          <w:tcPr>
            <w:tcW w:w="2257" w:type="dxa"/>
          </w:tcPr>
          <w:p w14:paraId="6A041798" w14:textId="77777777" w:rsidR="00316E6B" w:rsidRPr="009A515A" w:rsidRDefault="00316E6B" w:rsidP="00316E6B">
            <w:pPr>
              <w:rPr>
                <w:color w:val="000000" w:themeColor="text1"/>
                <w:sz w:val="20"/>
                <w:szCs w:val="20"/>
              </w:rPr>
            </w:pPr>
            <w:r w:rsidRPr="009A515A">
              <w:rPr>
                <w:color w:val="000000"/>
                <w:sz w:val="20"/>
                <w:szCs w:val="20"/>
              </w:rPr>
              <w:t>0.349</w:t>
            </w:r>
          </w:p>
        </w:tc>
        <w:tc>
          <w:tcPr>
            <w:tcW w:w="2576" w:type="dxa"/>
          </w:tcPr>
          <w:p w14:paraId="3A0A03ED" w14:textId="77777777" w:rsidR="00316E6B" w:rsidRPr="009A515A" w:rsidRDefault="00316E6B" w:rsidP="00316E6B">
            <w:pPr>
              <w:rPr>
                <w:color w:val="000000" w:themeColor="text1"/>
                <w:sz w:val="20"/>
                <w:szCs w:val="20"/>
              </w:rPr>
            </w:pPr>
            <w:r w:rsidRPr="009A515A">
              <w:rPr>
                <w:color w:val="000000"/>
                <w:sz w:val="20"/>
                <w:szCs w:val="20"/>
              </w:rPr>
              <w:t>0.084</w:t>
            </w:r>
          </w:p>
        </w:tc>
      </w:tr>
    </w:tbl>
    <w:p w14:paraId="5BD4F62B"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13F4C530" w14:textId="77777777" w:rsidR="00A731C8" w:rsidRPr="009A515A" w:rsidRDefault="00DD5D63" w:rsidP="00B379F7">
      <w:pPr>
        <w:jc w:val="both"/>
        <w:rPr>
          <w:i/>
          <w:iCs/>
          <w:color w:val="000000" w:themeColor="text1"/>
          <w:sz w:val="20"/>
          <w:szCs w:val="20"/>
        </w:rPr>
      </w:pPr>
      <w:r w:rsidRPr="009A515A">
        <w:rPr>
          <w:i/>
          <w:iCs/>
          <w:color w:val="000000" w:themeColor="text1"/>
          <w:sz w:val="20"/>
          <w:szCs w:val="20"/>
        </w:rPr>
        <w:t>Source: Authors</w:t>
      </w:r>
    </w:p>
    <w:p w14:paraId="303D75B1" w14:textId="77777777" w:rsidR="00112445" w:rsidRPr="009A515A" w:rsidRDefault="00112445" w:rsidP="00112445">
      <w:pPr>
        <w:spacing w:line="360" w:lineRule="auto"/>
        <w:jc w:val="both"/>
        <w:rPr>
          <w:color w:val="000000" w:themeColor="text1"/>
        </w:rPr>
      </w:pPr>
    </w:p>
    <w:p w14:paraId="40D8C411" w14:textId="77777777" w:rsidR="00144F14" w:rsidRPr="009A515A" w:rsidRDefault="00234967" w:rsidP="00234967">
      <w:pPr>
        <w:spacing w:line="360" w:lineRule="auto"/>
        <w:ind w:left="720" w:hanging="720"/>
        <w:rPr>
          <w:b/>
          <w:bCs/>
          <w:color w:val="000000" w:themeColor="text1"/>
        </w:rPr>
      </w:pPr>
      <w:r w:rsidRPr="009A515A">
        <w:t>Table 5. Configuration Analysis for High Brand Success (BSUC) in the Metaverse</w:t>
      </w:r>
    </w:p>
    <w:tbl>
      <w:tblPr>
        <w:tblStyle w:val="TableGrid"/>
        <w:tblW w:w="9096" w:type="dxa"/>
        <w:tblLayout w:type="fixed"/>
        <w:tblLook w:val="04A0" w:firstRow="1" w:lastRow="0" w:firstColumn="1" w:lastColumn="0" w:noHBand="0" w:noVBand="1"/>
      </w:tblPr>
      <w:tblGrid>
        <w:gridCol w:w="2837"/>
        <w:gridCol w:w="3128"/>
        <w:gridCol w:w="2275"/>
        <w:gridCol w:w="856"/>
      </w:tblGrid>
      <w:tr w:rsidR="00466030" w:rsidRPr="009A515A" w14:paraId="1AF56BA3" w14:textId="77777777" w:rsidTr="00316E6B">
        <w:trPr>
          <w:trHeight w:val="260"/>
        </w:trPr>
        <w:tc>
          <w:tcPr>
            <w:tcW w:w="2837" w:type="dxa"/>
            <w:shd w:val="clear" w:color="auto" w:fill="D0CECE" w:themeFill="background2" w:themeFillShade="E6"/>
            <w:hideMark/>
          </w:tcPr>
          <w:p w14:paraId="56E6A5ED" w14:textId="77777777" w:rsidR="00466030" w:rsidRPr="009A515A" w:rsidRDefault="00466030">
            <w:pPr>
              <w:jc w:val="center"/>
              <w:rPr>
                <w:b/>
                <w:bCs/>
                <w:i/>
                <w:iCs/>
                <w:color w:val="000000"/>
                <w:sz w:val="20"/>
                <w:szCs w:val="20"/>
              </w:rPr>
            </w:pPr>
            <w:r w:rsidRPr="009A515A">
              <w:rPr>
                <w:b/>
                <w:bCs/>
                <w:i/>
                <w:iCs/>
                <w:color w:val="000000" w:themeColor="text1"/>
                <w:sz w:val="20"/>
                <w:szCs w:val="20"/>
              </w:rPr>
              <w:t>Configuration</w:t>
            </w:r>
          </w:p>
        </w:tc>
        <w:tc>
          <w:tcPr>
            <w:tcW w:w="3128" w:type="dxa"/>
            <w:shd w:val="clear" w:color="auto" w:fill="D0CECE" w:themeFill="background2" w:themeFillShade="E6"/>
            <w:hideMark/>
          </w:tcPr>
          <w:p w14:paraId="6978688F" w14:textId="77777777" w:rsidR="00466030" w:rsidRPr="009A515A" w:rsidRDefault="00466030">
            <w:pPr>
              <w:jc w:val="center"/>
              <w:rPr>
                <w:b/>
                <w:bCs/>
                <w:i/>
                <w:iCs/>
                <w:color w:val="000000"/>
                <w:sz w:val="20"/>
                <w:szCs w:val="20"/>
              </w:rPr>
            </w:pPr>
            <w:r w:rsidRPr="009A515A">
              <w:rPr>
                <w:b/>
                <w:bCs/>
                <w:i/>
                <w:iCs/>
                <w:color w:val="000000" w:themeColor="text1"/>
                <w:sz w:val="20"/>
                <w:szCs w:val="20"/>
              </w:rPr>
              <w:t>1</w:t>
            </w:r>
          </w:p>
        </w:tc>
        <w:tc>
          <w:tcPr>
            <w:tcW w:w="2275" w:type="dxa"/>
            <w:shd w:val="clear" w:color="auto" w:fill="D0CECE" w:themeFill="background2" w:themeFillShade="E6"/>
            <w:hideMark/>
          </w:tcPr>
          <w:p w14:paraId="4B5032A1" w14:textId="77777777" w:rsidR="00466030" w:rsidRPr="009A515A" w:rsidRDefault="00466030">
            <w:pPr>
              <w:jc w:val="center"/>
              <w:rPr>
                <w:b/>
                <w:bCs/>
                <w:i/>
                <w:iCs/>
                <w:color w:val="000000"/>
                <w:sz w:val="20"/>
                <w:szCs w:val="20"/>
              </w:rPr>
            </w:pPr>
            <w:r w:rsidRPr="009A515A">
              <w:rPr>
                <w:b/>
                <w:bCs/>
                <w:i/>
                <w:iCs/>
                <w:color w:val="000000" w:themeColor="text1"/>
                <w:sz w:val="20"/>
                <w:szCs w:val="20"/>
              </w:rPr>
              <w:t>2</w:t>
            </w:r>
          </w:p>
        </w:tc>
        <w:tc>
          <w:tcPr>
            <w:tcW w:w="855" w:type="dxa"/>
            <w:shd w:val="clear" w:color="auto" w:fill="D0CECE" w:themeFill="background2" w:themeFillShade="E6"/>
            <w:hideMark/>
          </w:tcPr>
          <w:p w14:paraId="5EB32DEB" w14:textId="77777777" w:rsidR="00466030" w:rsidRPr="009A515A" w:rsidRDefault="00466030">
            <w:pPr>
              <w:jc w:val="center"/>
              <w:rPr>
                <w:b/>
                <w:bCs/>
                <w:i/>
                <w:iCs/>
                <w:color w:val="000000"/>
                <w:sz w:val="20"/>
                <w:szCs w:val="20"/>
              </w:rPr>
            </w:pPr>
            <w:r w:rsidRPr="009A515A">
              <w:rPr>
                <w:b/>
                <w:bCs/>
                <w:i/>
                <w:iCs/>
                <w:color w:val="000000" w:themeColor="text1"/>
                <w:sz w:val="20"/>
                <w:szCs w:val="20"/>
              </w:rPr>
              <w:t>3</w:t>
            </w:r>
          </w:p>
        </w:tc>
      </w:tr>
      <w:tr w:rsidR="00466030" w:rsidRPr="009A515A" w14:paraId="52D9E838" w14:textId="77777777" w:rsidTr="00316E6B">
        <w:trPr>
          <w:trHeight w:val="240"/>
        </w:trPr>
        <w:tc>
          <w:tcPr>
            <w:tcW w:w="2837" w:type="dxa"/>
            <w:hideMark/>
          </w:tcPr>
          <w:p w14:paraId="542F08D5" w14:textId="77777777" w:rsidR="00466030" w:rsidRPr="009A515A" w:rsidRDefault="00466030">
            <w:pPr>
              <w:jc w:val="center"/>
              <w:rPr>
                <w:b/>
                <w:bCs/>
                <w:i/>
                <w:iCs/>
                <w:color w:val="000000"/>
                <w:sz w:val="20"/>
                <w:szCs w:val="20"/>
              </w:rPr>
            </w:pPr>
            <w:r w:rsidRPr="009A515A">
              <w:rPr>
                <w:i/>
                <w:iCs/>
                <w:color w:val="000000"/>
                <w:sz w:val="20"/>
                <w:szCs w:val="20"/>
              </w:rPr>
              <w:t>Causal Conditions</w:t>
            </w:r>
          </w:p>
        </w:tc>
        <w:tc>
          <w:tcPr>
            <w:tcW w:w="3128" w:type="dxa"/>
            <w:hideMark/>
          </w:tcPr>
          <w:p w14:paraId="2B72AB3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691E7281"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01BBACB"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71FCB819" w14:textId="77777777" w:rsidTr="00316E6B">
        <w:trPr>
          <w:trHeight w:val="260"/>
        </w:trPr>
        <w:tc>
          <w:tcPr>
            <w:tcW w:w="2837" w:type="dxa"/>
            <w:hideMark/>
          </w:tcPr>
          <w:p w14:paraId="0CAE8A75" w14:textId="77777777" w:rsidR="00466030" w:rsidRPr="009A515A" w:rsidRDefault="00D41BBD">
            <w:pPr>
              <w:jc w:val="center"/>
              <w:rPr>
                <w:b/>
                <w:bCs/>
                <w:i/>
                <w:iCs/>
                <w:sz w:val="20"/>
                <w:szCs w:val="20"/>
              </w:rPr>
            </w:pPr>
            <w:r w:rsidRPr="009A515A">
              <w:t>BSAT (Brand Satisfaction)</w:t>
            </w:r>
          </w:p>
        </w:tc>
        <w:tc>
          <w:tcPr>
            <w:tcW w:w="3128" w:type="dxa"/>
            <w:hideMark/>
          </w:tcPr>
          <w:p w14:paraId="1F026360"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39AB2E8B"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7256E13"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r>
      <w:tr w:rsidR="00466030" w:rsidRPr="009A515A" w14:paraId="5C8398ED" w14:textId="77777777" w:rsidTr="00316E6B">
        <w:trPr>
          <w:trHeight w:val="260"/>
        </w:trPr>
        <w:tc>
          <w:tcPr>
            <w:tcW w:w="2837" w:type="dxa"/>
            <w:hideMark/>
          </w:tcPr>
          <w:p w14:paraId="072F9830" w14:textId="77777777" w:rsidR="00466030" w:rsidRPr="009A515A" w:rsidRDefault="00D41BBD">
            <w:pPr>
              <w:jc w:val="center"/>
              <w:rPr>
                <w:b/>
                <w:bCs/>
                <w:i/>
                <w:iCs/>
                <w:sz w:val="20"/>
                <w:szCs w:val="20"/>
              </w:rPr>
            </w:pPr>
            <w:r w:rsidRPr="009A515A">
              <w:rPr>
                <w:i/>
                <w:iCs/>
                <w:sz w:val="20"/>
                <w:szCs w:val="20"/>
              </w:rPr>
              <w:t xml:space="preserve">UX </w:t>
            </w:r>
            <w:r w:rsidR="00466030" w:rsidRPr="009A515A">
              <w:rPr>
                <w:i/>
                <w:iCs/>
                <w:sz w:val="20"/>
                <w:szCs w:val="20"/>
              </w:rPr>
              <w:t>(User Experience)</w:t>
            </w:r>
          </w:p>
        </w:tc>
        <w:tc>
          <w:tcPr>
            <w:tcW w:w="3128" w:type="dxa"/>
            <w:hideMark/>
          </w:tcPr>
          <w:p w14:paraId="47EE1BB7" w14:textId="77777777" w:rsidR="00466030" w:rsidRPr="009A515A" w:rsidRDefault="00466030">
            <w:pPr>
              <w:jc w:val="center"/>
              <w:rPr>
                <w:color w:val="000000"/>
                <w:sz w:val="20"/>
                <w:szCs w:val="20"/>
              </w:rPr>
            </w:pPr>
            <w:r w:rsidRPr="009A515A">
              <w:rPr>
                <w:color w:val="000000" w:themeColor="text1"/>
                <w:sz w:val="20"/>
                <w:szCs w:val="20"/>
              </w:rPr>
              <w:t>●</w:t>
            </w:r>
          </w:p>
        </w:tc>
        <w:tc>
          <w:tcPr>
            <w:tcW w:w="2275" w:type="dxa"/>
            <w:hideMark/>
          </w:tcPr>
          <w:p w14:paraId="14AA10C0"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855" w:type="dxa"/>
            <w:hideMark/>
          </w:tcPr>
          <w:p w14:paraId="5B516459"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70BC06D2" w14:textId="77777777" w:rsidTr="00316E6B">
        <w:trPr>
          <w:trHeight w:val="260"/>
        </w:trPr>
        <w:tc>
          <w:tcPr>
            <w:tcW w:w="2837" w:type="dxa"/>
            <w:hideMark/>
          </w:tcPr>
          <w:p w14:paraId="3F8E99D5" w14:textId="77777777" w:rsidR="00466030" w:rsidRPr="009A515A" w:rsidRDefault="00466030">
            <w:pPr>
              <w:jc w:val="center"/>
              <w:rPr>
                <w:b/>
                <w:bCs/>
                <w:i/>
                <w:iCs/>
                <w:sz w:val="20"/>
                <w:szCs w:val="20"/>
              </w:rPr>
            </w:pPr>
            <w:r w:rsidRPr="009A515A">
              <w:t>UE (User Engagement)</w:t>
            </w:r>
          </w:p>
        </w:tc>
        <w:tc>
          <w:tcPr>
            <w:tcW w:w="3128" w:type="dxa"/>
            <w:hideMark/>
          </w:tcPr>
          <w:p w14:paraId="5CB06322" w14:textId="77777777" w:rsidR="00466030" w:rsidRPr="009A515A" w:rsidRDefault="00466030">
            <w:pPr>
              <w:rPr>
                <w:rFonts w:ascii="Calibri" w:hAnsi="Calibri" w:cs="Calibri"/>
                <w:color w:val="000000"/>
                <w:sz w:val="20"/>
                <w:szCs w:val="20"/>
              </w:rPr>
            </w:pPr>
            <w:r w:rsidRPr="009A515A">
              <w:rPr>
                <w:rFonts w:ascii="Calibri" w:hAnsi="Calibri" w:cs="Calibri"/>
                <w:color w:val="000000"/>
                <w:sz w:val="20"/>
                <w:szCs w:val="20"/>
              </w:rPr>
              <w:t> </w:t>
            </w:r>
          </w:p>
        </w:tc>
        <w:tc>
          <w:tcPr>
            <w:tcW w:w="2275" w:type="dxa"/>
            <w:hideMark/>
          </w:tcPr>
          <w:p w14:paraId="75D7F89F" w14:textId="77777777" w:rsidR="00466030" w:rsidRPr="009A515A" w:rsidRDefault="00466030">
            <w:pPr>
              <w:jc w:val="center"/>
              <w:rPr>
                <w:color w:val="000000"/>
                <w:sz w:val="20"/>
                <w:szCs w:val="20"/>
              </w:rPr>
            </w:pPr>
            <w:r w:rsidRPr="009A515A">
              <w:rPr>
                <w:color w:val="000000" w:themeColor="text1"/>
                <w:sz w:val="20"/>
                <w:szCs w:val="20"/>
              </w:rPr>
              <w:t>●</w:t>
            </w:r>
          </w:p>
        </w:tc>
        <w:tc>
          <w:tcPr>
            <w:tcW w:w="855" w:type="dxa"/>
            <w:hideMark/>
          </w:tcPr>
          <w:p w14:paraId="7969F3D4" w14:textId="77777777" w:rsidR="00466030" w:rsidRPr="009A515A" w:rsidRDefault="00466030">
            <w:pPr>
              <w:jc w:val="center"/>
              <w:rPr>
                <w:color w:val="000000"/>
                <w:sz w:val="20"/>
                <w:szCs w:val="20"/>
              </w:rPr>
            </w:pPr>
            <w:r w:rsidRPr="009A515A">
              <w:rPr>
                <w:color w:val="000000" w:themeColor="text1"/>
                <w:sz w:val="20"/>
                <w:szCs w:val="20"/>
              </w:rPr>
              <w:t>●</w:t>
            </w:r>
          </w:p>
        </w:tc>
      </w:tr>
      <w:tr w:rsidR="00466030" w:rsidRPr="009A515A" w14:paraId="607C94A9" w14:textId="77777777" w:rsidTr="00316E6B">
        <w:trPr>
          <w:trHeight w:val="240"/>
        </w:trPr>
        <w:tc>
          <w:tcPr>
            <w:tcW w:w="9096" w:type="dxa"/>
            <w:gridSpan w:val="4"/>
            <w:hideMark/>
          </w:tcPr>
          <w:p w14:paraId="785E9B66" w14:textId="77777777" w:rsidR="00466030" w:rsidRPr="009A515A" w:rsidRDefault="00466030">
            <w:pPr>
              <w:jc w:val="center"/>
              <w:rPr>
                <w:b/>
                <w:bCs/>
                <w:i/>
                <w:iCs/>
                <w:sz w:val="20"/>
                <w:szCs w:val="20"/>
              </w:rPr>
            </w:pPr>
            <w:r w:rsidRPr="009A515A">
              <w:rPr>
                <w:i/>
                <w:iCs/>
                <w:sz w:val="20"/>
                <w:szCs w:val="20"/>
              </w:rPr>
              <w:t>Performance Metrics</w:t>
            </w:r>
          </w:p>
        </w:tc>
      </w:tr>
      <w:tr w:rsidR="00466030" w:rsidRPr="009A515A" w14:paraId="62D5ADF7" w14:textId="77777777" w:rsidTr="00316E6B">
        <w:trPr>
          <w:trHeight w:val="260"/>
        </w:trPr>
        <w:tc>
          <w:tcPr>
            <w:tcW w:w="2837" w:type="dxa"/>
            <w:hideMark/>
          </w:tcPr>
          <w:p w14:paraId="265FF3EF" w14:textId="77777777" w:rsidR="00466030" w:rsidRPr="009A515A" w:rsidRDefault="00466030">
            <w:pPr>
              <w:jc w:val="center"/>
              <w:rPr>
                <w:b/>
                <w:bCs/>
                <w:i/>
                <w:iCs/>
                <w:sz w:val="20"/>
                <w:szCs w:val="20"/>
              </w:rPr>
            </w:pPr>
            <w:r w:rsidRPr="009A515A">
              <w:rPr>
                <w:i/>
                <w:iCs/>
                <w:sz w:val="20"/>
                <w:szCs w:val="20"/>
              </w:rPr>
              <w:t>Raw Coverage</w:t>
            </w:r>
          </w:p>
        </w:tc>
        <w:tc>
          <w:tcPr>
            <w:tcW w:w="3128" w:type="dxa"/>
            <w:hideMark/>
          </w:tcPr>
          <w:p w14:paraId="4A1DD7D0" w14:textId="77777777" w:rsidR="00466030" w:rsidRPr="009A515A" w:rsidRDefault="00466030">
            <w:pPr>
              <w:jc w:val="center"/>
              <w:rPr>
                <w:color w:val="000000"/>
                <w:sz w:val="20"/>
                <w:szCs w:val="20"/>
              </w:rPr>
            </w:pPr>
            <w:r w:rsidRPr="009A515A">
              <w:rPr>
                <w:color w:val="000000" w:themeColor="text1"/>
                <w:sz w:val="20"/>
                <w:szCs w:val="20"/>
              </w:rPr>
              <w:t>0.208</w:t>
            </w:r>
          </w:p>
        </w:tc>
        <w:tc>
          <w:tcPr>
            <w:tcW w:w="2275" w:type="dxa"/>
            <w:hideMark/>
          </w:tcPr>
          <w:p w14:paraId="75ED250B" w14:textId="77777777" w:rsidR="00466030" w:rsidRPr="009A515A" w:rsidRDefault="00466030">
            <w:pPr>
              <w:jc w:val="center"/>
              <w:rPr>
                <w:color w:val="000000"/>
                <w:sz w:val="20"/>
                <w:szCs w:val="20"/>
              </w:rPr>
            </w:pPr>
            <w:r w:rsidRPr="009A515A">
              <w:rPr>
                <w:color w:val="000000" w:themeColor="text1"/>
                <w:sz w:val="20"/>
                <w:szCs w:val="20"/>
              </w:rPr>
              <w:t>0.241</w:t>
            </w:r>
          </w:p>
        </w:tc>
        <w:tc>
          <w:tcPr>
            <w:tcW w:w="855" w:type="dxa"/>
            <w:hideMark/>
          </w:tcPr>
          <w:p w14:paraId="25B31913" w14:textId="77777777" w:rsidR="00466030" w:rsidRPr="009A515A" w:rsidRDefault="00466030">
            <w:pPr>
              <w:jc w:val="center"/>
              <w:rPr>
                <w:color w:val="000000"/>
                <w:sz w:val="20"/>
                <w:szCs w:val="20"/>
              </w:rPr>
            </w:pPr>
            <w:r w:rsidRPr="009A515A">
              <w:rPr>
                <w:color w:val="000000" w:themeColor="text1"/>
                <w:sz w:val="20"/>
                <w:szCs w:val="20"/>
              </w:rPr>
              <w:t>0.21</w:t>
            </w:r>
            <w:r w:rsidR="00F62BDD" w:rsidRPr="009A515A">
              <w:rPr>
                <w:color w:val="000000" w:themeColor="text1"/>
                <w:sz w:val="20"/>
                <w:szCs w:val="20"/>
              </w:rPr>
              <w:t>8</w:t>
            </w:r>
          </w:p>
        </w:tc>
      </w:tr>
      <w:tr w:rsidR="00466030" w:rsidRPr="009A515A" w14:paraId="13AF8017" w14:textId="77777777" w:rsidTr="00316E6B">
        <w:trPr>
          <w:trHeight w:val="260"/>
        </w:trPr>
        <w:tc>
          <w:tcPr>
            <w:tcW w:w="2837" w:type="dxa"/>
            <w:hideMark/>
          </w:tcPr>
          <w:p w14:paraId="3A7FC22F" w14:textId="77777777" w:rsidR="00466030" w:rsidRPr="009A515A" w:rsidRDefault="00466030">
            <w:pPr>
              <w:jc w:val="center"/>
              <w:rPr>
                <w:b/>
                <w:bCs/>
                <w:i/>
                <w:iCs/>
                <w:sz w:val="20"/>
                <w:szCs w:val="20"/>
              </w:rPr>
            </w:pPr>
            <w:r w:rsidRPr="009A515A">
              <w:rPr>
                <w:i/>
                <w:iCs/>
                <w:sz w:val="20"/>
                <w:szCs w:val="20"/>
              </w:rPr>
              <w:t>Unique Coverage</w:t>
            </w:r>
          </w:p>
        </w:tc>
        <w:tc>
          <w:tcPr>
            <w:tcW w:w="3128" w:type="dxa"/>
            <w:hideMark/>
          </w:tcPr>
          <w:p w14:paraId="52495CAA" w14:textId="77777777" w:rsidR="00466030" w:rsidRPr="009A515A" w:rsidRDefault="00466030">
            <w:pPr>
              <w:jc w:val="center"/>
              <w:rPr>
                <w:color w:val="000000"/>
                <w:sz w:val="20"/>
                <w:szCs w:val="20"/>
              </w:rPr>
            </w:pPr>
            <w:r w:rsidRPr="009A515A">
              <w:rPr>
                <w:color w:val="000000" w:themeColor="text1"/>
                <w:sz w:val="20"/>
                <w:szCs w:val="20"/>
              </w:rPr>
              <w:t>0.036</w:t>
            </w:r>
          </w:p>
        </w:tc>
        <w:tc>
          <w:tcPr>
            <w:tcW w:w="2275" w:type="dxa"/>
            <w:hideMark/>
          </w:tcPr>
          <w:p w14:paraId="6374CC8F" w14:textId="77777777" w:rsidR="00466030" w:rsidRPr="009A515A" w:rsidRDefault="00466030">
            <w:pPr>
              <w:jc w:val="center"/>
              <w:rPr>
                <w:color w:val="000000"/>
                <w:sz w:val="20"/>
                <w:szCs w:val="20"/>
              </w:rPr>
            </w:pPr>
            <w:r w:rsidRPr="009A515A">
              <w:rPr>
                <w:color w:val="000000" w:themeColor="text1"/>
                <w:sz w:val="20"/>
                <w:szCs w:val="20"/>
              </w:rPr>
              <w:t>0.069</w:t>
            </w:r>
          </w:p>
        </w:tc>
        <w:tc>
          <w:tcPr>
            <w:tcW w:w="855" w:type="dxa"/>
            <w:hideMark/>
          </w:tcPr>
          <w:p w14:paraId="12D86BE2" w14:textId="77777777" w:rsidR="00466030" w:rsidRPr="009A515A" w:rsidRDefault="00466030">
            <w:pPr>
              <w:jc w:val="center"/>
              <w:rPr>
                <w:color w:val="000000"/>
                <w:sz w:val="20"/>
                <w:szCs w:val="20"/>
              </w:rPr>
            </w:pPr>
            <w:r w:rsidRPr="009A515A">
              <w:rPr>
                <w:color w:val="000000" w:themeColor="text1"/>
                <w:sz w:val="20"/>
                <w:szCs w:val="20"/>
              </w:rPr>
              <w:t>0.047</w:t>
            </w:r>
          </w:p>
        </w:tc>
      </w:tr>
      <w:tr w:rsidR="00466030" w:rsidRPr="009A515A" w14:paraId="10BBF7A8" w14:textId="77777777" w:rsidTr="00316E6B">
        <w:trPr>
          <w:trHeight w:val="260"/>
        </w:trPr>
        <w:tc>
          <w:tcPr>
            <w:tcW w:w="2837" w:type="dxa"/>
            <w:hideMark/>
          </w:tcPr>
          <w:p w14:paraId="4ED1B4AB" w14:textId="77777777" w:rsidR="00466030" w:rsidRPr="009A515A" w:rsidRDefault="00466030">
            <w:pPr>
              <w:jc w:val="center"/>
              <w:rPr>
                <w:b/>
                <w:bCs/>
                <w:i/>
                <w:iCs/>
                <w:sz w:val="20"/>
                <w:szCs w:val="20"/>
              </w:rPr>
            </w:pPr>
            <w:r w:rsidRPr="009A515A">
              <w:rPr>
                <w:i/>
                <w:iCs/>
                <w:sz w:val="20"/>
                <w:szCs w:val="20"/>
              </w:rPr>
              <w:t>Consistency</w:t>
            </w:r>
          </w:p>
        </w:tc>
        <w:tc>
          <w:tcPr>
            <w:tcW w:w="3128" w:type="dxa"/>
            <w:hideMark/>
          </w:tcPr>
          <w:p w14:paraId="5E0CD471" w14:textId="77777777" w:rsidR="00466030" w:rsidRPr="009A515A" w:rsidRDefault="00466030">
            <w:pPr>
              <w:jc w:val="center"/>
              <w:rPr>
                <w:color w:val="000000"/>
                <w:sz w:val="20"/>
                <w:szCs w:val="20"/>
              </w:rPr>
            </w:pPr>
            <w:r w:rsidRPr="009A515A">
              <w:rPr>
                <w:color w:val="000000" w:themeColor="text1"/>
                <w:sz w:val="20"/>
                <w:szCs w:val="20"/>
              </w:rPr>
              <w:t>0.65</w:t>
            </w:r>
            <w:r w:rsidR="007A0834" w:rsidRPr="009A515A">
              <w:rPr>
                <w:color w:val="000000" w:themeColor="text1"/>
                <w:sz w:val="20"/>
                <w:szCs w:val="20"/>
              </w:rPr>
              <w:t>0</w:t>
            </w:r>
          </w:p>
        </w:tc>
        <w:tc>
          <w:tcPr>
            <w:tcW w:w="2275" w:type="dxa"/>
            <w:hideMark/>
          </w:tcPr>
          <w:p w14:paraId="2D3EE877" w14:textId="77777777" w:rsidR="00466030" w:rsidRPr="009A515A" w:rsidRDefault="00466030">
            <w:pPr>
              <w:jc w:val="center"/>
              <w:rPr>
                <w:color w:val="000000"/>
                <w:sz w:val="20"/>
                <w:szCs w:val="20"/>
              </w:rPr>
            </w:pPr>
            <w:r w:rsidRPr="009A515A">
              <w:rPr>
                <w:color w:val="000000" w:themeColor="text1"/>
                <w:sz w:val="20"/>
                <w:szCs w:val="20"/>
              </w:rPr>
              <w:t>0.669</w:t>
            </w:r>
          </w:p>
        </w:tc>
        <w:tc>
          <w:tcPr>
            <w:tcW w:w="855" w:type="dxa"/>
            <w:hideMark/>
          </w:tcPr>
          <w:p w14:paraId="6168E8E8" w14:textId="77777777" w:rsidR="00466030" w:rsidRPr="009A515A" w:rsidRDefault="00466030">
            <w:pPr>
              <w:jc w:val="center"/>
              <w:rPr>
                <w:color w:val="000000"/>
                <w:sz w:val="20"/>
                <w:szCs w:val="20"/>
              </w:rPr>
            </w:pPr>
            <w:r w:rsidRPr="009A515A">
              <w:rPr>
                <w:color w:val="000000" w:themeColor="text1"/>
                <w:sz w:val="20"/>
                <w:szCs w:val="20"/>
              </w:rPr>
              <w:t>0.6</w:t>
            </w:r>
          </w:p>
        </w:tc>
      </w:tr>
      <w:tr w:rsidR="00466030" w:rsidRPr="009A515A" w14:paraId="4DD9EBCF" w14:textId="77777777" w:rsidTr="00316E6B">
        <w:trPr>
          <w:trHeight w:val="260"/>
        </w:trPr>
        <w:tc>
          <w:tcPr>
            <w:tcW w:w="2837" w:type="dxa"/>
            <w:hideMark/>
          </w:tcPr>
          <w:p w14:paraId="1618A6AD" w14:textId="77777777" w:rsidR="00466030" w:rsidRPr="009A515A" w:rsidRDefault="00466030">
            <w:pPr>
              <w:jc w:val="center"/>
              <w:rPr>
                <w:b/>
                <w:bCs/>
                <w:i/>
                <w:iCs/>
                <w:sz w:val="20"/>
                <w:szCs w:val="20"/>
              </w:rPr>
            </w:pPr>
            <w:r w:rsidRPr="009A515A">
              <w:rPr>
                <w:i/>
                <w:iCs/>
                <w:sz w:val="20"/>
                <w:szCs w:val="20"/>
              </w:rPr>
              <w:t>Overall Solution</w:t>
            </w:r>
          </w:p>
        </w:tc>
        <w:tc>
          <w:tcPr>
            <w:tcW w:w="3128" w:type="dxa"/>
            <w:hideMark/>
          </w:tcPr>
          <w:p w14:paraId="4ABEE8A1" w14:textId="77777777" w:rsidR="00466030" w:rsidRPr="009A515A" w:rsidRDefault="00466030">
            <w:pPr>
              <w:jc w:val="center"/>
              <w:rPr>
                <w:color w:val="000000"/>
                <w:sz w:val="20"/>
                <w:szCs w:val="20"/>
              </w:rPr>
            </w:pPr>
            <w:r w:rsidRPr="009A515A">
              <w:rPr>
                <w:color w:val="000000" w:themeColor="text1"/>
                <w:sz w:val="20"/>
                <w:szCs w:val="20"/>
              </w:rPr>
              <w:t>Coverage: 0.324</w:t>
            </w:r>
          </w:p>
        </w:tc>
        <w:tc>
          <w:tcPr>
            <w:tcW w:w="2275" w:type="dxa"/>
            <w:hideMark/>
          </w:tcPr>
          <w:p w14:paraId="18EF41A8" w14:textId="77777777" w:rsidR="00466030" w:rsidRPr="009A515A" w:rsidRDefault="00E16418">
            <w:pPr>
              <w:jc w:val="center"/>
              <w:rPr>
                <w:color w:val="000000"/>
                <w:sz w:val="20"/>
                <w:szCs w:val="20"/>
              </w:rPr>
            </w:pPr>
            <w:r w:rsidRPr="009A515A">
              <w:rPr>
                <w:color w:val="000000" w:themeColor="text1"/>
                <w:sz w:val="20"/>
                <w:szCs w:val="20"/>
              </w:rPr>
              <w:t>Consistency</w:t>
            </w:r>
            <w:r w:rsidR="00466030" w:rsidRPr="009A515A">
              <w:rPr>
                <w:color w:val="000000" w:themeColor="text1"/>
                <w:sz w:val="20"/>
                <w:szCs w:val="20"/>
              </w:rPr>
              <w:t>: 0.756</w:t>
            </w:r>
          </w:p>
        </w:tc>
        <w:tc>
          <w:tcPr>
            <w:tcW w:w="855" w:type="dxa"/>
            <w:hideMark/>
          </w:tcPr>
          <w:p w14:paraId="2DB6835A" w14:textId="77777777" w:rsidR="00466030" w:rsidRPr="009A515A" w:rsidRDefault="00466030">
            <w:pPr>
              <w:jc w:val="center"/>
              <w:rPr>
                <w:color w:val="000000"/>
                <w:sz w:val="20"/>
                <w:szCs w:val="20"/>
              </w:rPr>
            </w:pPr>
          </w:p>
        </w:tc>
      </w:tr>
    </w:tbl>
    <w:p w14:paraId="3C38556B" w14:textId="77777777" w:rsidR="00466030" w:rsidRPr="009A515A" w:rsidRDefault="00466030"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5831AEF4" w14:textId="77777777" w:rsidR="00BE1864" w:rsidRPr="009A515A" w:rsidRDefault="00BE1864" w:rsidP="00466030">
      <w:pPr>
        <w:spacing w:line="360" w:lineRule="auto"/>
        <w:jc w:val="both"/>
        <w:rPr>
          <w:color w:val="000000" w:themeColor="text1"/>
          <w:sz w:val="20"/>
          <w:szCs w:val="20"/>
        </w:rPr>
      </w:pPr>
    </w:p>
    <w:p w14:paraId="0511B29E" w14:textId="77777777" w:rsidR="00BE1864" w:rsidRPr="009A515A" w:rsidRDefault="00BE1864" w:rsidP="00BE1864">
      <w:pPr>
        <w:spacing w:line="360" w:lineRule="auto"/>
        <w:ind w:left="720" w:hanging="720"/>
        <w:rPr>
          <w:b/>
          <w:bCs/>
          <w:color w:val="000000" w:themeColor="text1"/>
        </w:rPr>
      </w:pPr>
      <w:r w:rsidRPr="009A515A">
        <w:t>Table 6. Configuration Analysis for High Brand Success (BSUC) – Expanded Subset–Superset Configurations in the Metaverse</w:t>
      </w:r>
    </w:p>
    <w:tbl>
      <w:tblPr>
        <w:tblStyle w:val="TableGrid"/>
        <w:tblW w:w="9138" w:type="dxa"/>
        <w:tblLook w:val="04A0" w:firstRow="1" w:lastRow="0" w:firstColumn="1" w:lastColumn="0" w:noHBand="0" w:noVBand="1"/>
      </w:tblPr>
      <w:tblGrid>
        <w:gridCol w:w="2830"/>
        <w:gridCol w:w="1985"/>
        <w:gridCol w:w="1559"/>
        <w:gridCol w:w="1497"/>
        <w:gridCol w:w="1267"/>
      </w:tblGrid>
      <w:tr w:rsidR="00BE1864" w:rsidRPr="009A515A" w14:paraId="3A7449A3" w14:textId="77777777" w:rsidTr="00316E6B">
        <w:trPr>
          <w:trHeight w:val="693"/>
        </w:trPr>
        <w:tc>
          <w:tcPr>
            <w:tcW w:w="2830" w:type="dxa"/>
            <w:shd w:val="clear" w:color="auto" w:fill="D0CECE" w:themeFill="background2" w:themeFillShade="E6"/>
            <w:hideMark/>
          </w:tcPr>
          <w:p w14:paraId="12FE0110" w14:textId="77777777" w:rsidR="00BE1864" w:rsidRPr="009A515A" w:rsidRDefault="00BE1864">
            <w:pPr>
              <w:jc w:val="center"/>
              <w:rPr>
                <w:i/>
                <w:iCs/>
                <w:color w:val="000000"/>
                <w:sz w:val="20"/>
                <w:szCs w:val="20"/>
              </w:rPr>
            </w:pPr>
            <w:r w:rsidRPr="009A515A">
              <w:rPr>
                <w:i/>
                <w:iCs/>
                <w:color w:val="000000"/>
                <w:sz w:val="20"/>
                <w:szCs w:val="20"/>
              </w:rPr>
              <w:t>Configuration Type</w:t>
            </w:r>
          </w:p>
        </w:tc>
        <w:tc>
          <w:tcPr>
            <w:tcW w:w="1985" w:type="dxa"/>
            <w:shd w:val="clear" w:color="auto" w:fill="D0CECE" w:themeFill="background2" w:themeFillShade="E6"/>
            <w:hideMark/>
          </w:tcPr>
          <w:p w14:paraId="357B75FD" w14:textId="77777777" w:rsidR="00BE1864" w:rsidRPr="009A515A" w:rsidRDefault="00BE1864">
            <w:pPr>
              <w:jc w:val="center"/>
              <w:rPr>
                <w:i/>
                <w:iCs/>
                <w:color w:val="000000"/>
                <w:sz w:val="20"/>
                <w:szCs w:val="20"/>
              </w:rPr>
            </w:pPr>
            <w:r w:rsidRPr="009A515A">
              <w:t>Triple Path (BSAT+UX+UE)</w:t>
            </w:r>
          </w:p>
        </w:tc>
        <w:tc>
          <w:tcPr>
            <w:tcW w:w="1559" w:type="dxa"/>
            <w:shd w:val="clear" w:color="auto" w:fill="D0CECE" w:themeFill="background2" w:themeFillShade="E6"/>
            <w:hideMark/>
          </w:tcPr>
          <w:p w14:paraId="5C6A4712" w14:textId="77777777" w:rsidR="00BE1864" w:rsidRPr="009A515A" w:rsidRDefault="00BE1864">
            <w:pPr>
              <w:jc w:val="center"/>
              <w:rPr>
                <w:i/>
                <w:iCs/>
                <w:color w:val="000000"/>
                <w:sz w:val="20"/>
                <w:szCs w:val="20"/>
              </w:rPr>
            </w:pPr>
            <w:r w:rsidRPr="009A515A">
              <w:rPr>
                <w:i/>
                <w:iCs/>
                <w:color w:val="000000"/>
                <w:sz w:val="20"/>
                <w:szCs w:val="20"/>
              </w:rPr>
              <w:t>Satisfaction + Experience</w:t>
            </w:r>
          </w:p>
        </w:tc>
        <w:tc>
          <w:tcPr>
            <w:tcW w:w="1497" w:type="dxa"/>
            <w:shd w:val="clear" w:color="auto" w:fill="D0CECE" w:themeFill="background2" w:themeFillShade="E6"/>
            <w:hideMark/>
          </w:tcPr>
          <w:p w14:paraId="74356769" w14:textId="77777777" w:rsidR="00BE1864" w:rsidRPr="009A515A" w:rsidRDefault="00BE1864">
            <w:pPr>
              <w:jc w:val="center"/>
              <w:rPr>
                <w:i/>
                <w:iCs/>
                <w:color w:val="000000"/>
                <w:sz w:val="20"/>
                <w:szCs w:val="20"/>
              </w:rPr>
            </w:pPr>
            <w:r w:rsidRPr="009A515A">
              <w:rPr>
                <w:i/>
                <w:iCs/>
                <w:color w:val="000000"/>
                <w:sz w:val="20"/>
                <w:szCs w:val="20"/>
              </w:rPr>
              <w:t>Experience + Engagement</w:t>
            </w:r>
          </w:p>
        </w:tc>
        <w:tc>
          <w:tcPr>
            <w:tcW w:w="1267" w:type="dxa"/>
            <w:shd w:val="clear" w:color="auto" w:fill="D0CECE" w:themeFill="background2" w:themeFillShade="E6"/>
            <w:hideMark/>
          </w:tcPr>
          <w:p w14:paraId="3FCD1A3C" w14:textId="77777777" w:rsidR="00BE1864" w:rsidRPr="009A515A" w:rsidRDefault="00BE1864">
            <w:pPr>
              <w:jc w:val="center"/>
              <w:rPr>
                <w:i/>
                <w:iCs/>
                <w:color w:val="000000"/>
                <w:sz w:val="20"/>
                <w:szCs w:val="20"/>
              </w:rPr>
            </w:pPr>
            <w:r w:rsidRPr="009A515A">
              <w:rPr>
                <w:i/>
                <w:iCs/>
                <w:color w:val="000000"/>
                <w:sz w:val="20"/>
                <w:szCs w:val="20"/>
              </w:rPr>
              <w:t>Satisfaction + Engagement</w:t>
            </w:r>
          </w:p>
        </w:tc>
      </w:tr>
      <w:tr w:rsidR="00BE1864" w:rsidRPr="009A515A" w14:paraId="02B1A92B" w14:textId="77777777" w:rsidTr="00316E6B">
        <w:trPr>
          <w:trHeight w:val="304"/>
        </w:trPr>
        <w:tc>
          <w:tcPr>
            <w:tcW w:w="2830" w:type="dxa"/>
            <w:hideMark/>
          </w:tcPr>
          <w:p w14:paraId="1A39C3E4" w14:textId="77777777" w:rsidR="00BE1864" w:rsidRPr="009A515A" w:rsidRDefault="00BE1864">
            <w:pPr>
              <w:jc w:val="center"/>
              <w:rPr>
                <w:b/>
                <w:bCs/>
                <w:i/>
                <w:iCs/>
                <w:sz w:val="20"/>
                <w:szCs w:val="20"/>
              </w:rPr>
            </w:pPr>
            <w:r w:rsidRPr="009A515A">
              <w:rPr>
                <w:i/>
                <w:iCs/>
                <w:sz w:val="20"/>
                <w:szCs w:val="20"/>
              </w:rPr>
              <w:t>Configuration</w:t>
            </w:r>
          </w:p>
        </w:tc>
        <w:tc>
          <w:tcPr>
            <w:tcW w:w="1985" w:type="dxa"/>
            <w:hideMark/>
          </w:tcPr>
          <w:p w14:paraId="351CB4DB" w14:textId="77777777" w:rsidR="00BE1864" w:rsidRPr="009A515A" w:rsidRDefault="00BE1864">
            <w:pPr>
              <w:jc w:val="center"/>
              <w:rPr>
                <w:i/>
                <w:iCs/>
                <w:color w:val="000000"/>
                <w:sz w:val="20"/>
                <w:szCs w:val="20"/>
              </w:rPr>
            </w:pPr>
            <w:r w:rsidRPr="009A515A">
              <w:rPr>
                <w:i/>
                <w:iCs/>
                <w:color w:val="000000"/>
                <w:sz w:val="20"/>
                <w:szCs w:val="20"/>
              </w:rPr>
              <w:t>A</w:t>
            </w:r>
          </w:p>
        </w:tc>
        <w:tc>
          <w:tcPr>
            <w:tcW w:w="1559" w:type="dxa"/>
            <w:hideMark/>
          </w:tcPr>
          <w:p w14:paraId="295303C9" w14:textId="77777777" w:rsidR="00BE1864" w:rsidRPr="009A515A" w:rsidRDefault="00BE1864">
            <w:pPr>
              <w:jc w:val="center"/>
              <w:rPr>
                <w:i/>
                <w:iCs/>
                <w:color w:val="000000"/>
                <w:sz w:val="20"/>
                <w:szCs w:val="20"/>
              </w:rPr>
            </w:pPr>
            <w:r w:rsidRPr="009A515A">
              <w:rPr>
                <w:i/>
                <w:iCs/>
                <w:color w:val="000000"/>
                <w:sz w:val="20"/>
                <w:szCs w:val="20"/>
              </w:rPr>
              <w:t>B</w:t>
            </w:r>
          </w:p>
        </w:tc>
        <w:tc>
          <w:tcPr>
            <w:tcW w:w="1497" w:type="dxa"/>
            <w:hideMark/>
          </w:tcPr>
          <w:p w14:paraId="70C501C5" w14:textId="77777777" w:rsidR="00BE1864" w:rsidRPr="009A515A" w:rsidRDefault="00BE1864">
            <w:pPr>
              <w:jc w:val="center"/>
              <w:rPr>
                <w:i/>
                <w:iCs/>
                <w:color w:val="000000"/>
                <w:sz w:val="20"/>
                <w:szCs w:val="20"/>
              </w:rPr>
            </w:pPr>
            <w:r w:rsidRPr="009A515A">
              <w:rPr>
                <w:i/>
                <w:iCs/>
                <w:color w:val="000000"/>
                <w:sz w:val="20"/>
                <w:szCs w:val="20"/>
              </w:rPr>
              <w:t>C</w:t>
            </w:r>
          </w:p>
        </w:tc>
        <w:tc>
          <w:tcPr>
            <w:tcW w:w="1267" w:type="dxa"/>
            <w:hideMark/>
          </w:tcPr>
          <w:p w14:paraId="50E1D4E8" w14:textId="77777777" w:rsidR="00BE1864" w:rsidRPr="009A515A" w:rsidRDefault="00BE1864">
            <w:pPr>
              <w:jc w:val="center"/>
              <w:rPr>
                <w:i/>
                <w:iCs/>
                <w:color w:val="000000"/>
                <w:sz w:val="20"/>
                <w:szCs w:val="20"/>
              </w:rPr>
            </w:pPr>
            <w:r w:rsidRPr="009A515A">
              <w:rPr>
                <w:i/>
                <w:iCs/>
                <w:color w:val="000000"/>
                <w:sz w:val="20"/>
                <w:szCs w:val="20"/>
              </w:rPr>
              <w:t>D</w:t>
            </w:r>
          </w:p>
        </w:tc>
      </w:tr>
      <w:tr w:rsidR="00BE1864" w:rsidRPr="009A515A" w14:paraId="5722CA1D" w14:textId="77777777" w:rsidTr="00316E6B">
        <w:trPr>
          <w:trHeight w:val="304"/>
        </w:trPr>
        <w:tc>
          <w:tcPr>
            <w:tcW w:w="2830" w:type="dxa"/>
            <w:hideMark/>
          </w:tcPr>
          <w:p w14:paraId="74B384C6" w14:textId="77777777" w:rsidR="00BE1864" w:rsidRPr="009A515A" w:rsidRDefault="00BE1864" w:rsidP="00BE1864">
            <w:pPr>
              <w:jc w:val="center"/>
              <w:rPr>
                <w:b/>
                <w:bCs/>
                <w:i/>
                <w:iCs/>
                <w:sz w:val="20"/>
                <w:szCs w:val="20"/>
              </w:rPr>
            </w:pPr>
            <w:r w:rsidRPr="009A515A">
              <w:t>BSAT (Brand Satisfaction)</w:t>
            </w:r>
          </w:p>
        </w:tc>
        <w:tc>
          <w:tcPr>
            <w:tcW w:w="1985" w:type="dxa"/>
            <w:hideMark/>
          </w:tcPr>
          <w:p w14:paraId="25F99BF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73E02844"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7975AFF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32ED5D58"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30F20CD3" w14:textId="77777777" w:rsidTr="00316E6B">
        <w:trPr>
          <w:trHeight w:val="304"/>
        </w:trPr>
        <w:tc>
          <w:tcPr>
            <w:tcW w:w="2830" w:type="dxa"/>
            <w:hideMark/>
          </w:tcPr>
          <w:p w14:paraId="6CB0AFDF" w14:textId="77777777" w:rsidR="00BE1864" w:rsidRPr="009A515A" w:rsidRDefault="00BE1864" w:rsidP="00BE1864">
            <w:pPr>
              <w:jc w:val="center"/>
              <w:rPr>
                <w:b/>
                <w:bCs/>
                <w:i/>
                <w:iCs/>
                <w:sz w:val="20"/>
                <w:szCs w:val="20"/>
              </w:rPr>
            </w:pPr>
            <w:r w:rsidRPr="009A515A">
              <w:t>UX (User Experience)</w:t>
            </w:r>
          </w:p>
        </w:tc>
        <w:tc>
          <w:tcPr>
            <w:tcW w:w="1985" w:type="dxa"/>
            <w:hideMark/>
          </w:tcPr>
          <w:p w14:paraId="5157E91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3495BA33"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6F14FBC2" w14:textId="77777777" w:rsidR="00BE1864" w:rsidRPr="009A515A" w:rsidRDefault="00BE1864" w:rsidP="00BE1864">
            <w:pPr>
              <w:jc w:val="center"/>
              <w:rPr>
                <w:i/>
                <w:iCs/>
                <w:color w:val="000000"/>
                <w:sz w:val="20"/>
                <w:szCs w:val="20"/>
              </w:rPr>
            </w:pPr>
            <w:r w:rsidRPr="009A515A">
              <w:rPr>
                <w:i/>
                <w:iCs/>
                <w:color w:val="000000"/>
                <w:sz w:val="20"/>
                <w:szCs w:val="20"/>
              </w:rPr>
              <w:t> </w:t>
            </w:r>
          </w:p>
        </w:tc>
        <w:tc>
          <w:tcPr>
            <w:tcW w:w="1267" w:type="dxa"/>
            <w:hideMark/>
          </w:tcPr>
          <w:p w14:paraId="130B3B63" w14:textId="77777777" w:rsidR="00BE1864" w:rsidRPr="009A515A" w:rsidRDefault="00BE1864" w:rsidP="00BE1864">
            <w:pPr>
              <w:jc w:val="center"/>
              <w:rPr>
                <w:i/>
                <w:iCs/>
                <w:color w:val="000000"/>
                <w:sz w:val="20"/>
                <w:szCs w:val="20"/>
              </w:rPr>
            </w:pPr>
            <w:r w:rsidRPr="009A515A">
              <w:rPr>
                <w:i/>
                <w:iCs/>
                <w:color w:val="000000"/>
                <w:sz w:val="20"/>
                <w:szCs w:val="20"/>
              </w:rPr>
              <w:t>●</w:t>
            </w:r>
          </w:p>
        </w:tc>
      </w:tr>
      <w:tr w:rsidR="00BE1864" w:rsidRPr="009A515A" w14:paraId="7211454A" w14:textId="77777777" w:rsidTr="00316E6B">
        <w:trPr>
          <w:trHeight w:val="304"/>
        </w:trPr>
        <w:tc>
          <w:tcPr>
            <w:tcW w:w="2830" w:type="dxa"/>
            <w:hideMark/>
          </w:tcPr>
          <w:p w14:paraId="50E2B58C" w14:textId="77777777" w:rsidR="00BE1864" w:rsidRPr="009A515A" w:rsidRDefault="00BE1864" w:rsidP="00BE1864">
            <w:pPr>
              <w:jc w:val="center"/>
              <w:rPr>
                <w:b/>
                <w:bCs/>
                <w:i/>
                <w:iCs/>
                <w:sz w:val="20"/>
                <w:szCs w:val="20"/>
              </w:rPr>
            </w:pPr>
            <w:r w:rsidRPr="009A515A">
              <w:t>UE (User Engagement)</w:t>
            </w:r>
          </w:p>
        </w:tc>
        <w:tc>
          <w:tcPr>
            <w:tcW w:w="1985" w:type="dxa"/>
            <w:hideMark/>
          </w:tcPr>
          <w:p w14:paraId="245B8CDC"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559" w:type="dxa"/>
            <w:hideMark/>
          </w:tcPr>
          <w:p w14:paraId="673794F5"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497" w:type="dxa"/>
            <w:hideMark/>
          </w:tcPr>
          <w:p w14:paraId="5A5A6E51" w14:textId="77777777" w:rsidR="00BE1864" w:rsidRPr="009A515A" w:rsidRDefault="00BE1864" w:rsidP="00BE1864">
            <w:pPr>
              <w:jc w:val="center"/>
              <w:rPr>
                <w:i/>
                <w:iCs/>
                <w:color w:val="000000"/>
                <w:sz w:val="20"/>
                <w:szCs w:val="20"/>
              </w:rPr>
            </w:pPr>
            <w:r w:rsidRPr="009A515A">
              <w:rPr>
                <w:i/>
                <w:iCs/>
                <w:color w:val="000000"/>
                <w:sz w:val="20"/>
                <w:szCs w:val="20"/>
              </w:rPr>
              <w:t>●</w:t>
            </w:r>
          </w:p>
        </w:tc>
        <w:tc>
          <w:tcPr>
            <w:tcW w:w="1267" w:type="dxa"/>
            <w:hideMark/>
          </w:tcPr>
          <w:p w14:paraId="5A47082B" w14:textId="77777777" w:rsidR="00BE1864" w:rsidRPr="009A515A" w:rsidRDefault="00BE1864" w:rsidP="00BE1864">
            <w:pPr>
              <w:jc w:val="center"/>
              <w:rPr>
                <w:i/>
                <w:iCs/>
                <w:color w:val="000000"/>
                <w:sz w:val="20"/>
                <w:szCs w:val="20"/>
              </w:rPr>
            </w:pPr>
            <w:r w:rsidRPr="009A515A">
              <w:rPr>
                <w:i/>
                <w:iCs/>
                <w:color w:val="000000"/>
                <w:sz w:val="20"/>
                <w:szCs w:val="20"/>
              </w:rPr>
              <w:t> </w:t>
            </w:r>
          </w:p>
        </w:tc>
      </w:tr>
      <w:tr w:rsidR="00BE1864" w:rsidRPr="009A515A" w14:paraId="7AE99387" w14:textId="77777777" w:rsidTr="00316E6B">
        <w:trPr>
          <w:trHeight w:val="304"/>
        </w:trPr>
        <w:tc>
          <w:tcPr>
            <w:tcW w:w="2830" w:type="dxa"/>
            <w:hideMark/>
          </w:tcPr>
          <w:p w14:paraId="1B9C28C3" w14:textId="77777777" w:rsidR="00BE1864" w:rsidRPr="009A515A" w:rsidRDefault="00BE1864" w:rsidP="00BE1864">
            <w:pPr>
              <w:jc w:val="center"/>
              <w:rPr>
                <w:b/>
                <w:bCs/>
                <w:i/>
                <w:iCs/>
                <w:sz w:val="20"/>
                <w:szCs w:val="20"/>
              </w:rPr>
            </w:pPr>
            <w:r w:rsidRPr="009A515A">
              <w:rPr>
                <w:i/>
                <w:iCs/>
                <w:sz w:val="20"/>
                <w:szCs w:val="20"/>
              </w:rPr>
              <w:t>Raw Coverage</w:t>
            </w:r>
          </w:p>
        </w:tc>
        <w:tc>
          <w:tcPr>
            <w:tcW w:w="1985" w:type="dxa"/>
          </w:tcPr>
          <w:p w14:paraId="50D48480" w14:textId="77777777" w:rsidR="00BE1864" w:rsidRPr="009A515A" w:rsidRDefault="00BE1864" w:rsidP="00BE1864">
            <w:pPr>
              <w:jc w:val="center"/>
              <w:rPr>
                <w:i/>
                <w:iCs/>
                <w:color w:val="000000"/>
                <w:sz w:val="20"/>
                <w:szCs w:val="20"/>
              </w:rPr>
            </w:pPr>
            <w:r w:rsidRPr="009A515A">
              <w:rPr>
                <w:i/>
                <w:iCs/>
                <w:color w:val="000000"/>
                <w:sz w:val="20"/>
                <w:szCs w:val="20"/>
              </w:rPr>
              <w:t>0.172</w:t>
            </w:r>
          </w:p>
        </w:tc>
        <w:tc>
          <w:tcPr>
            <w:tcW w:w="1559" w:type="dxa"/>
          </w:tcPr>
          <w:p w14:paraId="03EBFD2B" w14:textId="77777777" w:rsidR="00BE1864" w:rsidRPr="009A515A" w:rsidRDefault="00BE1864" w:rsidP="00BE1864">
            <w:pPr>
              <w:jc w:val="center"/>
              <w:rPr>
                <w:i/>
                <w:iCs/>
                <w:color w:val="000000"/>
                <w:sz w:val="20"/>
                <w:szCs w:val="20"/>
              </w:rPr>
            </w:pPr>
            <w:r w:rsidRPr="009A515A">
              <w:rPr>
                <w:i/>
                <w:iCs/>
                <w:color w:val="000000"/>
                <w:sz w:val="20"/>
                <w:szCs w:val="20"/>
              </w:rPr>
              <w:t>0.208</w:t>
            </w:r>
          </w:p>
        </w:tc>
        <w:tc>
          <w:tcPr>
            <w:tcW w:w="1497" w:type="dxa"/>
          </w:tcPr>
          <w:p w14:paraId="0F5C05DC" w14:textId="77777777" w:rsidR="00BE1864" w:rsidRPr="009A515A" w:rsidRDefault="00BE1864" w:rsidP="00BE1864">
            <w:pPr>
              <w:jc w:val="center"/>
              <w:rPr>
                <w:i/>
                <w:iCs/>
                <w:color w:val="000000"/>
                <w:sz w:val="20"/>
                <w:szCs w:val="20"/>
              </w:rPr>
            </w:pPr>
            <w:r w:rsidRPr="009A515A">
              <w:rPr>
                <w:i/>
                <w:iCs/>
                <w:color w:val="000000"/>
                <w:sz w:val="20"/>
                <w:szCs w:val="20"/>
              </w:rPr>
              <w:t>0.219</w:t>
            </w:r>
          </w:p>
        </w:tc>
        <w:tc>
          <w:tcPr>
            <w:tcW w:w="1267" w:type="dxa"/>
          </w:tcPr>
          <w:p w14:paraId="585974FB" w14:textId="77777777" w:rsidR="00BE1864" w:rsidRPr="009A515A" w:rsidRDefault="00BE1864" w:rsidP="00BE1864">
            <w:pPr>
              <w:jc w:val="center"/>
              <w:rPr>
                <w:i/>
                <w:iCs/>
                <w:color w:val="000000"/>
                <w:sz w:val="20"/>
                <w:szCs w:val="20"/>
              </w:rPr>
            </w:pPr>
            <w:r w:rsidRPr="009A515A">
              <w:rPr>
                <w:i/>
                <w:iCs/>
                <w:color w:val="000000"/>
                <w:sz w:val="20"/>
                <w:szCs w:val="20"/>
              </w:rPr>
              <w:t>0.241</w:t>
            </w:r>
          </w:p>
        </w:tc>
      </w:tr>
      <w:tr w:rsidR="00BE1864" w:rsidRPr="009A515A" w14:paraId="3F5996E1" w14:textId="77777777" w:rsidTr="00316E6B">
        <w:trPr>
          <w:trHeight w:val="304"/>
        </w:trPr>
        <w:tc>
          <w:tcPr>
            <w:tcW w:w="2830" w:type="dxa"/>
            <w:hideMark/>
          </w:tcPr>
          <w:p w14:paraId="6DCD93C8" w14:textId="77777777" w:rsidR="00BE1864" w:rsidRPr="009A515A" w:rsidRDefault="00BE1864" w:rsidP="00BE1864">
            <w:pPr>
              <w:jc w:val="center"/>
              <w:rPr>
                <w:b/>
                <w:bCs/>
                <w:i/>
                <w:iCs/>
                <w:sz w:val="20"/>
                <w:szCs w:val="20"/>
              </w:rPr>
            </w:pPr>
            <w:r w:rsidRPr="009A515A">
              <w:rPr>
                <w:i/>
                <w:iCs/>
                <w:sz w:val="20"/>
                <w:szCs w:val="20"/>
              </w:rPr>
              <w:t>Consistency</w:t>
            </w:r>
          </w:p>
        </w:tc>
        <w:tc>
          <w:tcPr>
            <w:tcW w:w="1985" w:type="dxa"/>
          </w:tcPr>
          <w:p w14:paraId="02AB5586" w14:textId="77777777" w:rsidR="00BE1864" w:rsidRPr="009A515A" w:rsidRDefault="00BE1864" w:rsidP="00BE1864">
            <w:pPr>
              <w:jc w:val="center"/>
              <w:rPr>
                <w:i/>
                <w:iCs/>
                <w:color w:val="000000"/>
                <w:sz w:val="20"/>
                <w:szCs w:val="20"/>
              </w:rPr>
            </w:pPr>
            <w:r w:rsidRPr="009A515A">
              <w:rPr>
                <w:i/>
                <w:iCs/>
                <w:color w:val="000000"/>
                <w:sz w:val="20"/>
                <w:szCs w:val="20"/>
              </w:rPr>
              <w:t>0.713</w:t>
            </w:r>
          </w:p>
        </w:tc>
        <w:tc>
          <w:tcPr>
            <w:tcW w:w="1559" w:type="dxa"/>
          </w:tcPr>
          <w:p w14:paraId="01FC9E85" w14:textId="77777777" w:rsidR="00BE1864" w:rsidRPr="009A515A" w:rsidRDefault="00BE1864" w:rsidP="00BE1864">
            <w:pPr>
              <w:jc w:val="center"/>
              <w:rPr>
                <w:i/>
                <w:iCs/>
                <w:color w:val="000000"/>
                <w:sz w:val="20"/>
                <w:szCs w:val="20"/>
              </w:rPr>
            </w:pPr>
            <w:r w:rsidRPr="009A515A">
              <w:rPr>
                <w:i/>
                <w:iCs/>
                <w:color w:val="000000"/>
                <w:sz w:val="20"/>
                <w:szCs w:val="20"/>
              </w:rPr>
              <w:t>0.65</w:t>
            </w:r>
          </w:p>
        </w:tc>
        <w:tc>
          <w:tcPr>
            <w:tcW w:w="1497" w:type="dxa"/>
          </w:tcPr>
          <w:p w14:paraId="535A0792" w14:textId="77777777" w:rsidR="00BE1864" w:rsidRPr="009A515A" w:rsidRDefault="00BE1864" w:rsidP="00BE1864">
            <w:pPr>
              <w:jc w:val="center"/>
              <w:rPr>
                <w:i/>
                <w:iCs/>
                <w:color w:val="000000"/>
                <w:sz w:val="20"/>
                <w:szCs w:val="20"/>
              </w:rPr>
            </w:pPr>
            <w:r w:rsidRPr="009A515A">
              <w:rPr>
                <w:i/>
                <w:iCs/>
                <w:color w:val="000000"/>
                <w:sz w:val="20"/>
                <w:szCs w:val="20"/>
              </w:rPr>
              <w:t>0.6</w:t>
            </w:r>
          </w:p>
        </w:tc>
        <w:tc>
          <w:tcPr>
            <w:tcW w:w="1267" w:type="dxa"/>
          </w:tcPr>
          <w:p w14:paraId="3FE13FCE" w14:textId="77777777" w:rsidR="00BE1864" w:rsidRPr="009A515A" w:rsidRDefault="00BE1864" w:rsidP="00BE1864">
            <w:pPr>
              <w:jc w:val="center"/>
              <w:rPr>
                <w:i/>
                <w:iCs/>
                <w:color w:val="000000"/>
                <w:sz w:val="20"/>
                <w:szCs w:val="20"/>
              </w:rPr>
            </w:pPr>
            <w:r w:rsidRPr="009A515A">
              <w:rPr>
                <w:i/>
                <w:iCs/>
                <w:color w:val="000000"/>
                <w:sz w:val="20"/>
                <w:szCs w:val="20"/>
              </w:rPr>
              <w:t>0.669</w:t>
            </w:r>
          </w:p>
        </w:tc>
      </w:tr>
      <w:tr w:rsidR="00BE1864" w:rsidRPr="009A515A" w14:paraId="250D1276" w14:textId="77777777" w:rsidTr="00316E6B">
        <w:trPr>
          <w:trHeight w:val="304"/>
        </w:trPr>
        <w:tc>
          <w:tcPr>
            <w:tcW w:w="2830" w:type="dxa"/>
            <w:hideMark/>
          </w:tcPr>
          <w:p w14:paraId="6AFE15CB" w14:textId="77777777" w:rsidR="00BE1864" w:rsidRPr="009A515A" w:rsidRDefault="00BE1864" w:rsidP="00BE1864">
            <w:pPr>
              <w:jc w:val="center"/>
              <w:rPr>
                <w:b/>
                <w:bCs/>
                <w:i/>
                <w:iCs/>
                <w:sz w:val="20"/>
                <w:szCs w:val="20"/>
              </w:rPr>
            </w:pPr>
            <w:r w:rsidRPr="009A515A">
              <w:rPr>
                <w:i/>
                <w:iCs/>
                <w:sz w:val="20"/>
                <w:szCs w:val="20"/>
              </w:rPr>
              <w:lastRenderedPageBreak/>
              <w:t xml:space="preserve">Combined Coverage </w:t>
            </w:r>
          </w:p>
        </w:tc>
        <w:tc>
          <w:tcPr>
            <w:tcW w:w="1985" w:type="dxa"/>
          </w:tcPr>
          <w:p w14:paraId="309707B4" w14:textId="77777777" w:rsidR="00BE1864" w:rsidRPr="009A515A" w:rsidRDefault="00BE1864" w:rsidP="00BE1864">
            <w:pPr>
              <w:jc w:val="center"/>
              <w:rPr>
                <w:i/>
                <w:iCs/>
                <w:color w:val="000000"/>
                <w:sz w:val="20"/>
                <w:szCs w:val="20"/>
              </w:rPr>
            </w:pPr>
            <w:r w:rsidRPr="009A515A">
              <w:rPr>
                <w:i/>
                <w:iCs/>
                <w:color w:val="000000"/>
                <w:sz w:val="20"/>
                <w:szCs w:val="20"/>
              </w:rPr>
              <w:t>0.305</w:t>
            </w:r>
          </w:p>
        </w:tc>
        <w:tc>
          <w:tcPr>
            <w:tcW w:w="1559" w:type="dxa"/>
          </w:tcPr>
          <w:p w14:paraId="2D0F6114" w14:textId="77777777" w:rsidR="00BE1864" w:rsidRPr="009A515A" w:rsidRDefault="00BE1864" w:rsidP="00BE1864">
            <w:pPr>
              <w:jc w:val="center"/>
              <w:rPr>
                <w:i/>
                <w:iCs/>
                <w:color w:val="000000"/>
                <w:sz w:val="20"/>
                <w:szCs w:val="20"/>
              </w:rPr>
            </w:pPr>
            <w:r w:rsidRPr="009A515A">
              <w:rPr>
                <w:i/>
                <w:iCs/>
                <w:color w:val="000000"/>
                <w:sz w:val="20"/>
                <w:szCs w:val="20"/>
              </w:rPr>
              <w:t>0.246</w:t>
            </w:r>
          </w:p>
        </w:tc>
        <w:tc>
          <w:tcPr>
            <w:tcW w:w="1497" w:type="dxa"/>
          </w:tcPr>
          <w:p w14:paraId="420C0A31" w14:textId="77777777" w:rsidR="00BE1864" w:rsidRPr="009A515A" w:rsidRDefault="00BE1864" w:rsidP="00BE1864">
            <w:pPr>
              <w:jc w:val="center"/>
              <w:rPr>
                <w:i/>
                <w:iCs/>
                <w:color w:val="000000"/>
                <w:sz w:val="20"/>
                <w:szCs w:val="20"/>
              </w:rPr>
            </w:pPr>
            <w:r w:rsidRPr="009A515A">
              <w:rPr>
                <w:i/>
                <w:iCs/>
                <w:color w:val="000000"/>
                <w:sz w:val="20"/>
                <w:szCs w:val="20"/>
              </w:rPr>
              <w:t>0.181</w:t>
            </w:r>
          </w:p>
        </w:tc>
        <w:tc>
          <w:tcPr>
            <w:tcW w:w="1267" w:type="dxa"/>
          </w:tcPr>
          <w:p w14:paraId="62EFD00B" w14:textId="77777777" w:rsidR="00BE1864" w:rsidRPr="009A515A" w:rsidRDefault="00BE1864" w:rsidP="00BE1864">
            <w:pPr>
              <w:jc w:val="center"/>
              <w:rPr>
                <w:i/>
                <w:iCs/>
                <w:color w:val="000000"/>
                <w:sz w:val="20"/>
                <w:szCs w:val="20"/>
              </w:rPr>
            </w:pPr>
            <w:r w:rsidRPr="009A515A">
              <w:rPr>
                <w:i/>
                <w:iCs/>
                <w:color w:val="000000"/>
                <w:sz w:val="20"/>
                <w:szCs w:val="20"/>
              </w:rPr>
              <w:t>0.295</w:t>
            </w:r>
          </w:p>
        </w:tc>
      </w:tr>
    </w:tbl>
    <w:p w14:paraId="0189F1E4" w14:textId="77777777" w:rsidR="00144F14" w:rsidRPr="009A515A" w:rsidRDefault="009F75B7" w:rsidP="00ED44A2">
      <w:pPr>
        <w:jc w:val="both"/>
        <w:rPr>
          <w:i/>
          <w:iCs/>
          <w:color w:val="000000" w:themeColor="text1"/>
          <w:sz w:val="20"/>
          <w:szCs w:val="20"/>
        </w:rPr>
      </w:pPr>
      <w:r w:rsidRPr="009A515A">
        <w:t>Note: Key: ● = Core condition present (essential for outcome), Blank = "Don't care" (condition irrelevant for configuration), User Experience (UX), User Engagement (UE), Brand Satisfaction (BSAT), and Brand Success (BSUC) (Outcome variable)</w:t>
      </w: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Drawing on Tables 5 and 6, the analysis underscores equifinality: multiple distinct paths lead to the same outcome (Ragin, 2008). No single factor BSAT, UX or UE is necessary alone; their interaction drives brand outcomes in immersive digital environments.</w:t>
      </w:r>
      <w:r w:rsidR="009B694E"/>
      <w:r w:rsidRPr="009A515A"/>
      <w:r w:rsidR="00A4459A" w:rsidRPr="009A515A"/>
      <w:r w:rsidRPr="009A515A"/>
    </w:p>
    <w:p w14:paraId="7F1AD3D2" w14:textId="77777777" w:rsidR="00596F8F" w:rsidRPr="009A515A" w:rsidRDefault="00581E44" w:rsidP="00596F8F">
      <w:pPr>
        <w:spacing w:line="360" w:lineRule="auto"/>
        <w:ind w:firstLine="426"/>
        <w:jc w:val="both"/>
        <w:rPr>
          <w:color w:val="000000" w:themeColor="text1"/>
        </w:rPr>
      </w:pPr>
      <w:r w:rsidRPr="009A515A">
        <w:t>Table 5 presents three core configurations for high BSUC. Configuration 1 (BSAT + UX) shows brand success even without strong engagement, as satisfied users with positive immersive experiences form lasting relationships (Bilgihan et al., 2024). Configuration 2 (BSAT + UE) highlights satisfaction with active participation, enhancing loyalty and advocacy (Hollebeek et al., 2022). Configuration 3 (UX + UE) indicates that even without reported satisfaction, immersive interactive environments yield favourable outcomes, supporting Flow Theory (Csikszentmihalyi, 1990).</w:t>
      </w:r>
      <w:proofErr w:type="spellStart"/>
      <w:r w:rsidRPr="009A515A"/>
      <w:proofErr w:type="spellEnd"/>
      <w:r w:rsidRPr="009A515A"/>
      <w:proofErr w:type="spellStart"/>
      <w:r w:rsidRPr="009A515A"/>
      <w:proofErr w:type="spellEnd"/>
      <w:r w:rsidRPr="009A515A"/>
      <w:proofErr w:type="spellStart"/>
      <w:r w:rsidRPr="009A515A"/>
      <w:proofErr w:type="spellEnd"/>
      <w:r w:rsidRPr="009A515A"/>
    </w:p>
    <w:p w14:paraId="433D2809" w14:textId="140490A5" w:rsidR="00596F8F" w:rsidRPr="009A515A" w:rsidRDefault="00581E44" w:rsidP="00596F8F">
      <w:pPr>
        <w:spacing w:line="360" w:lineRule="auto"/>
        <w:ind w:firstLine="426"/>
        <w:jc w:val="both"/>
        <w:rPr>
          <w:color w:val="000000" w:themeColor="text1"/>
        </w:rPr>
      </w:pPr>
      <w:r w:rsidRPr="009A515A">
        <w:t>Table 6 expands these via subset–superset analysis. Configuration A, the “Triple Path” (BSAT, UX, UE), shows the highest combined coverage (0.305): satisfied, engaged and immersed users maximise brand success, aligning with service-dominant logic and value co-creation.</w:t>
      </w:r>
      <w:r w:rsidR="009B694E"/>
      <w:r w:rsidRPr="009A515A"/>
      <w:r w:rsidR="009B694E"/>
      <w:r w:rsidRPr="009A515A"/>
    </w:p>
    <w:p w14:paraId="6BBC605D" w14:textId="77777777" w:rsidR="00EF6F71" w:rsidRDefault="00581E44" w:rsidP="00EF6F71">
      <w:pPr>
        <w:spacing w:line="360" w:lineRule="auto"/>
        <w:ind w:firstLine="426"/>
        <w:jc w:val="both"/>
        <w:rPr>
          <w:color w:val="000000" w:themeColor="text1"/>
        </w:rPr>
      </w:pPr>
      <w:r w:rsidRPr="009A515A">
        <w:t>Other configurations show versatility: B (BSAT + UX) and D (BSAT + UE) reaffirm satisfaction combined with either experience or engagement, letting brands tailor strategies; C (UX + UE), despite lower consistency, validates immersive participatory experiences even without explicit satisfaction (Shin, 2019).</w:t>
      </w:r>
      <w:r w:rsidR="009B694E"/>
      <w:r w:rsidRPr="009A515A"/>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lastRenderedPageBreak/>
        <w:t xml:space="preserve">5.3.2. </w:t>
      </w:r>
      <w:r w:rsidR="00112445" w:rsidRPr="009A515A">
        <w:rPr>
          <w:b/>
          <w:bCs/>
          <w:i/>
          <w:iCs/>
          <w:color w:val="000000" w:themeColor="text1"/>
        </w:rPr>
        <w:t>Necessity Analysis</w:t>
      </w:r>
    </w:p>
    <w:p w14:paraId="427B5011" w14:textId="77777777" w:rsidR="00112445" w:rsidRPr="009A515A" w:rsidRDefault="00112445" w:rsidP="00732C9D">
      <w:pPr>
        <w:spacing w:line="360" w:lineRule="auto"/>
        <w:jc w:val="both"/>
        <w:rPr>
          <w:color w:val="000000" w:themeColor="text1"/>
        </w:rPr>
      </w:pPr>
      <w:r w:rsidRPr="009A515A">
        <w:t>The necessity analysis tests whether any single condition must be present; a condition is necessary only when its consistency exceeds 0.90 (Schneider and Wagemann, 2012). No condition met this: UE, UX and BSAT recorded single-condition consistency of 0.373, 0.362 and 0.410 respectively. High brand success thus arises from combinations, not any single necessary condition, motivating the sufficiency analysis.</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w:t>
      </w:r>
      <w:r w:rsidR="00104B31" w:rsidRPr="009A515A">
        <w:rPr>
          <w:b/>
          <w:bCs/>
          <w:i/>
          <w:iCs/>
          <w:color w:val="000000" w:themeColor="text1"/>
        </w:rPr>
        <w:t>3.3.</w:t>
      </w:r>
      <w:r w:rsidRPr="009A515A">
        <w:rPr>
          <w:b/>
          <w:bCs/>
          <w:i/>
          <w:iCs/>
          <w:color w:val="000000" w:themeColor="text1"/>
        </w:rPr>
        <w:t xml:space="preserve"> </w:t>
      </w:r>
      <w:r w:rsidR="00F3782F" w:rsidRPr="009A515A">
        <w:rPr>
          <w:b/>
          <w:bCs/>
          <w:i/>
          <w:iCs/>
          <w:color w:val="000000" w:themeColor="text1"/>
        </w:rPr>
        <w:t xml:space="preserve">Sufficiency </w:t>
      </w:r>
      <w:r w:rsidR="00104B31" w:rsidRPr="009A515A">
        <w:rPr>
          <w:b/>
          <w:bCs/>
          <w:i/>
          <w:iCs/>
          <w:color w:val="000000" w:themeColor="text1"/>
        </w:rPr>
        <w:t>A</w:t>
      </w:r>
      <w:r w:rsidR="00F3782F" w:rsidRPr="009A515A">
        <w:rPr>
          <w:b/>
          <w:bCs/>
          <w:i/>
          <w:iCs/>
          <w:color w:val="000000" w:themeColor="text1"/>
        </w:rPr>
        <w:t>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jointly sufficient configurations. UE, UX and BSAT were entered into the truth table with consistency and frequency thresholds applied (Ragin, 2008; Schneider and Wagemann, 2012). As reported in Tables 5 and 6, brand satisfaction is present in every high-consistency sufficient path, while engagement and experience contribute in combination rather than in isolation.</w:t>
      </w:r>
      <w:r w:rsidR="009B694E"/>
      <w:r w:rsidRPr="009A515A"/>
      <w:r w:rsidR="009B694E"/>
      <w:r w:rsidRPr="009A515A"/>
    </w:p>
    <w:p w14:paraId="5E9BBE8A" w14:textId="77777777" w:rsidR="007D1E36" w:rsidRPr="009A515A" w:rsidRDefault="007D1E36" w:rsidP="004B0CFD">
      <w:pPr>
        <w:spacing w:line="360" w:lineRule="auto"/>
        <w:jc w:val="both"/>
        <w:rPr>
          <w:color w:val="000000" w:themeColor="text1"/>
        </w:rPr>
      </w:pPr>
      <w:r w:rsidRPr="009A515A">
        <w:t>The three sufficient configurations align with prior evidence. BSAT × UX records high coverage and consistency: satisfied users enjoying well-designed experiences remain loyal and recommend the brand. BSAT × UE is likewise favourable, consistent with engagement–loyalty links (Jeong and Kim, 2019) and social-media effects on customer equity (Ebrahim, 2020). UX × UE contributes with slightly lower consistency, reflecting the interplay of experience and engagement central to brand success in immersive settings.</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here is multifaceted spanning asset trading, event attendance, social interaction and content creation reflecting psychological, social and experiential motivations captured through the UE and UX constructs rather than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9A515A" w:rsidRDefault="00000000">
      <w:r w:rsidRPr="009A515A">
        <w:t>5.4 Structural Model and Hypothesis Evaluation</w:t>
      </w:r>
    </w:p>
    <w:p w14:paraId="2F1F4272" w14:textId="77777777" w:rsidR="00651853" w:rsidRPr="009A515A" w:rsidRDefault="00000000" w:rsidP="004A788B">
      <w:pPr>
        <w:spacing w:line="360" w:lineRule="auto"/>
        <w:jc w:val="both"/>
      </w:pPr>
      <w:r w:rsidRPr="009A515A">
        <w:t>Because fsQCA tests sufficiency rather than net linear effects, hypotheses are evaluated configurationally (Table 7). Consistent with the necessity result, user engagement (single-condition consistency 0.373) and user experience (0.362) are not sufficient alone; they support brand success only in combination, supporting H1 and H2 within sufficient configurations. Brand satisfaction appears in every high-consistency path the triadic BSAT × UX × UE (0.713), BSAT × UE (0.669) and BSAT × UX (0.650) and shows the highest single-condition consistency (0.410), indicating a central, mediation-consistent role supporting H3. A formal bootstrap mediation test is recommended as a complement.</w:t>
      </w:r>
      <w:proofErr w:type="spellStart"/>
      <w:r w:rsidRPr="009A515A"/>
      <w:proofErr w:type="spellEnd"/>
      <w:r w:rsidRPr="009A515A"/>
    </w:p>
    <w:p w14:paraId="5D44CECD" w14:textId="77777777" w:rsidR="00651853" w:rsidRDefault="00000000" w:rsidP="002F08A5">
      <w:pPr>
        <w:spacing w:line="360" w:lineRule="auto"/>
        <w:jc w:val="both"/>
      </w:pPr>
      <w:r w:rsidRPr="009A515A">
        <w:rPr>
          <w:b/>
        </w:rPr>
        <w:t xml:space="preserve">Table 7. Hypothesis Evaluation Based on </w:t>
      </w:r>
      <w:proofErr w:type="spellStart"/>
      <w:r w:rsidRPr="009A515A">
        <w:rPr>
          <w:b/>
        </w:rPr>
        <w:t>fsQCA</w:t>
      </w:r>
      <w:proofErr w:type="spellEnd"/>
      <w:r w:rsidRPr="009A515A">
        <w:rPr>
          <w:b/>
        </w:rPr>
        <w:t xml:space="preserve"> Sufficiency Analysis.</w:t>
      </w:r>
      <w:r w:rsidRPr="009A515A">
        <w:t xml:space="preserve"> Source: Authors, from configurational results reported in Tables 5 and 6.</w:t>
      </w:r>
    </w:p>
    <w:p w14:paraId="7CCE7D31" w14:textId="77777777" w:rsidR="001E09DE" w:rsidRPr="009A515A" w:rsidRDefault="001E09DE" w:rsidP="002F08A5">
      <w:pPr>
        <w:spacing w:line="360" w:lineRule="auto"/>
        <w:jc w:val="both"/>
      </w:pPr>
    </w:p>
    <w:tbl>
      <w:tblPr>
        <w:tblStyle w:val="TableGrid"/>
        <w:tblW w:w="0" w:type="auto"/>
        <w:tblLook w:val="04A0" w:firstRow="1" w:lastRow="0" w:firstColumn="1" w:lastColumn="0" w:noHBand="0" w:noVBand="1"/>
      </w:tblPr>
      <w:tblGrid>
        <w:gridCol w:w="2253"/>
        <w:gridCol w:w="2255"/>
        <w:gridCol w:w="2253"/>
        <w:gridCol w:w="2255"/>
      </w:tblGrid>
      <w:tr w:rsidR="00651853" w:rsidRPr="009A515A" w14:paraId="079F6036" w14:textId="77777777" w:rsidTr="001E09DE">
        <w:tc>
          <w:tcPr>
            <w:tcW w:w="2256" w:type="dxa"/>
          </w:tcPr>
          <w:p w14:paraId="33BE81F0" w14:textId="77777777" w:rsidR="00651853" w:rsidRPr="009A515A" w:rsidRDefault="00000000">
            <w:r w:rsidRPr="009A515A">
              <w:rPr>
                <w:b/>
              </w:rPr>
              <w:t>Hypothesis</w:t>
            </w:r>
          </w:p>
        </w:tc>
        <w:tc>
          <w:tcPr>
            <w:tcW w:w="2256" w:type="dxa"/>
          </w:tcPr>
          <w:p w14:paraId="2E8BAA82" w14:textId="77777777" w:rsidR="00651853" w:rsidRPr="009A515A" w:rsidRDefault="00000000">
            <w:r w:rsidRPr="009A515A">
              <w:rPr>
                <w:b/>
              </w:rPr>
              <w:t>Configurational evidence (</w:t>
            </w:r>
            <w:proofErr w:type="spellStart"/>
            <w:r w:rsidRPr="009A515A">
              <w:rPr>
                <w:b/>
              </w:rPr>
              <w:t>fsQCA</w:t>
            </w:r>
            <w:proofErr w:type="spellEnd"/>
            <w:r w:rsidRPr="009A515A">
              <w:rPr>
                <w:b/>
              </w:rPr>
              <w:t>)</w:t>
            </w:r>
          </w:p>
        </w:tc>
        <w:tc>
          <w:tcPr>
            <w:tcW w:w="2256" w:type="dxa"/>
          </w:tcPr>
          <w:p w14:paraId="3F18FA4B" w14:textId="77777777" w:rsidR="00651853" w:rsidRPr="009A515A" w:rsidRDefault="00000000">
            <w:r w:rsidRPr="009A515A">
              <w:rPr>
                <w:b/>
              </w:rPr>
              <w:t>Key values</w:t>
            </w:r>
          </w:p>
        </w:tc>
        <w:tc>
          <w:tcPr>
            <w:tcW w:w="2256" w:type="dxa"/>
          </w:tcPr>
          <w:p w14:paraId="3C46EA82" w14:textId="77777777" w:rsidR="00651853" w:rsidRPr="009A515A" w:rsidRDefault="00000000">
            <w:r w:rsidRPr="009A515A">
              <w:rPr>
                <w:b/>
              </w:rPr>
              <w:t>Outcome</w:t>
            </w:r>
          </w:p>
        </w:tc>
      </w:tr>
      <w:tr w:rsidR="00651853" w:rsidRPr="009A515A" w14:paraId="6F19EE53" w14:textId="77777777" w:rsidTr="001E09DE">
        <w:tc>
          <w:tcPr>
            <w:tcW w:w="2256" w:type="dxa"/>
          </w:tcPr>
          <w:p w14:paraId="083AA913" w14:textId="77777777" w:rsidR="00651853" w:rsidRPr="009A515A" w:rsidRDefault="00000000">
            <w:r w:rsidRPr="009A515A">
              <w:t>H1: User engagement (UE) → brand success (BSUC)</w:t>
            </w:r>
          </w:p>
        </w:tc>
        <w:tc>
          <w:tcPr>
            <w:tcW w:w="2256" w:type="dxa"/>
          </w:tcPr>
          <w:p w14:paraId="4D74ECE2" w14:textId="77777777" w:rsidR="00651853" w:rsidRPr="009A515A" w:rsidRDefault="00000000">
            <w:r w:rsidRPr="009A515A">
              <w:t>UE not sufficient alone; sufficient in BSAT×UE and UX×UE</w:t>
            </w:r>
          </w:p>
        </w:tc>
        <w:tc>
          <w:tcPr>
            <w:tcW w:w="2256" w:type="dxa"/>
          </w:tcPr>
          <w:p w14:paraId="19B06FAC" w14:textId="77777777" w:rsidR="00651853" w:rsidRPr="009A515A" w:rsidRDefault="00000000">
            <w:r w:rsidRPr="009A515A">
              <w:t>UE alone consistency 0.373; BSAT×UE 0.669; UX×UE 0.600</w:t>
            </w:r>
          </w:p>
        </w:tc>
        <w:tc>
          <w:tcPr>
            <w:tcW w:w="2256" w:type="dxa"/>
          </w:tcPr>
          <w:p w14:paraId="20B8DD99" w14:textId="77777777" w:rsidR="00651853" w:rsidRPr="009A515A" w:rsidRDefault="00000000">
            <w:r w:rsidRPr="009A515A">
              <w:t>Supported within configurations</w:t>
            </w:r>
          </w:p>
        </w:tc>
      </w:tr>
      <w:tr w:rsidR="00651853" w:rsidRPr="009A515A" w14:paraId="477FDEC3" w14:textId="77777777" w:rsidTr="001E09DE">
        <w:tc>
          <w:tcPr>
            <w:tcW w:w="2256" w:type="dxa"/>
          </w:tcPr>
          <w:p w14:paraId="50D8EBC0" w14:textId="77777777" w:rsidR="00651853" w:rsidRPr="009A515A" w:rsidRDefault="00000000">
            <w:r w:rsidRPr="009A515A">
              <w:lastRenderedPageBreak/>
              <w:t>H2: User experience (UX) → brand success (BSUC)</w:t>
            </w:r>
          </w:p>
        </w:tc>
        <w:tc>
          <w:tcPr>
            <w:tcW w:w="2256" w:type="dxa"/>
          </w:tcPr>
          <w:p w14:paraId="2CD8F97F" w14:textId="77777777" w:rsidR="00651853" w:rsidRPr="009A515A" w:rsidRDefault="00000000">
            <w:r w:rsidRPr="009A515A">
              <w:t>UX not sufficient alone; sufficient in BSAT×UX and triadic path</w:t>
            </w:r>
          </w:p>
        </w:tc>
        <w:tc>
          <w:tcPr>
            <w:tcW w:w="2256" w:type="dxa"/>
          </w:tcPr>
          <w:p w14:paraId="1AE84153" w14:textId="77777777" w:rsidR="00651853" w:rsidRPr="009A515A" w:rsidRDefault="00000000">
            <w:r w:rsidRPr="009A515A">
              <w:t>UX alone consistency 0.362; BSAT×UX 0.650; triadic 0.713</w:t>
            </w:r>
          </w:p>
        </w:tc>
        <w:tc>
          <w:tcPr>
            <w:tcW w:w="2256" w:type="dxa"/>
          </w:tcPr>
          <w:p w14:paraId="5B1ECBDE" w14:textId="77777777" w:rsidR="00651853" w:rsidRPr="009A515A" w:rsidRDefault="00000000">
            <w:r w:rsidRPr="009A515A">
              <w:t>Supported within configurations</w:t>
            </w:r>
          </w:p>
        </w:tc>
      </w:tr>
      <w:tr w:rsidR="00651853" w:rsidRPr="009A515A" w14:paraId="0C243F24" w14:textId="77777777" w:rsidTr="001E09DE">
        <w:tc>
          <w:tcPr>
            <w:tcW w:w="2256" w:type="dxa"/>
          </w:tcPr>
          <w:p w14:paraId="0F91B3E3" w14:textId="77777777" w:rsidR="00651853" w:rsidRPr="009A515A" w:rsidRDefault="00000000">
            <w:r w:rsidRPr="009A515A">
              <w:t>H3: Brand satisfaction (BSAT) mediates UE/UX → BSUC</w:t>
            </w:r>
          </w:p>
        </w:tc>
        <w:tc>
          <w:tcPr>
            <w:tcW w:w="2256" w:type="dxa"/>
          </w:tcPr>
          <w:p w14:paraId="63AEC528" w14:textId="77777777" w:rsidR="00651853" w:rsidRPr="009A515A" w:rsidRDefault="00000000">
            <w:r w:rsidRPr="009A515A">
              <w:t>BSAT present in all high-consistency sufficient paths; highest single-condition consistency</w:t>
            </w:r>
          </w:p>
        </w:tc>
        <w:tc>
          <w:tcPr>
            <w:tcW w:w="2256" w:type="dxa"/>
          </w:tcPr>
          <w:p w14:paraId="42CE8A7D" w14:textId="77777777" w:rsidR="00651853" w:rsidRPr="009A515A" w:rsidRDefault="00000000">
            <w:r w:rsidRPr="009A515A">
              <w:t>Triadic 0.713; BSAT×UE 0.669; BSAT×UX 0.650; BSAT alone 0.410</w:t>
            </w:r>
          </w:p>
        </w:tc>
        <w:tc>
          <w:tcPr>
            <w:tcW w:w="2256" w:type="dxa"/>
          </w:tcPr>
          <w:p w14:paraId="08A3BA06" w14:textId="77777777" w:rsidR="00651853" w:rsidRPr="009A515A" w:rsidRDefault="00000000">
            <w:r w:rsidRPr="009A515A">
              <w:t>Supported (configurationally); SEM mediation test recommended</w:t>
            </w:r>
          </w:p>
        </w:tc>
      </w:tr>
      <w:tr w:rsidR="00651853" w:rsidRPr="009A515A" w14:paraId="06F3B337" w14:textId="77777777" w:rsidTr="001E09DE">
        <w:tc>
          <w:tcPr>
            <w:tcW w:w="2256" w:type="dxa"/>
          </w:tcPr>
          <w:p w14:paraId="6596FC14" w14:textId="77777777" w:rsidR="00651853" w:rsidRPr="009A515A" w:rsidRDefault="00000000">
            <w:r w:rsidRPr="009A515A">
              <w:t>Overall solution</w:t>
            </w:r>
          </w:p>
        </w:tc>
        <w:tc>
          <w:tcPr>
            <w:tcW w:w="2256" w:type="dxa"/>
          </w:tcPr>
          <w:p w14:paraId="6C51675A" w14:textId="77777777" w:rsidR="00651853" w:rsidRPr="009A515A" w:rsidRDefault="00000000">
            <w:r w:rsidRPr="009A515A">
              <w:t>Three sufficient configurations (equifinality)</w:t>
            </w:r>
          </w:p>
        </w:tc>
        <w:tc>
          <w:tcPr>
            <w:tcW w:w="2256" w:type="dxa"/>
          </w:tcPr>
          <w:p w14:paraId="09F6CA9B" w14:textId="77777777" w:rsidR="00651853" w:rsidRPr="009A515A" w:rsidRDefault="00000000">
            <w:r w:rsidRPr="009A515A">
              <w:t>Solution coverage 0.324; solution consistency 0.756</w:t>
            </w:r>
          </w:p>
        </w:tc>
        <w:tc>
          <w:tcPr>
            <w:tcW w:w="2256" w:type="dxa"/>
          </w:tcPr>
          <w:p w14:paraId="5BC746CB" w14:textId="2F5BA608" w:rsidR="00651853" w:rsidRPr="009A515A" w:rsidRDefault="009B694E">
            <w:r>
              <w:t xml:space="preserve"> </w:t>
            </w:r>
          </w:p>
        </w:tc>
      </w:tr>
    </w:tbl>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identifying key pathways to favourable outcomes.</w:t>
      </w:r>
      <w:proofErr w:type="spellStart"/>
      <w:r w:rsidRPr="009A515A"/>
      <w:proofErr w:type="spellEnd"/>
      <w:r w:rsidRPr="009A515A"/>
    </w:p>
    <w:p w14:paraId="59615C84" w14:textId="13F159B4" w:rsidR="00B4046B" w:rsidRPr="009A515A" w:rsidRDefault="00B4046B" w:rsidP="00B4046B">
      <w:pPr>
        <w:spacing w:line="360" w:lineRule="auto"/>
        <w:jc w:val="both"/>
        <w:rPr>
          <w:color w:val="000000" w:themeColor="text1"/>
        </w:rPr>
      </w:pPr>
      <w:r w:rsidRPr="009A515A">
        <w:t>BSAT × UX emerged as a significant configuration (consistency 0.650, raw coverage 20.84%): satisfied users perceiving high-quality immersive experiences develop loyalty and advocacy, consistent with prior work on satisfaction, experience and emotional connection (Thaichon et al., 2022; Bilgihan et al., 2024). Brands should prioritise seamless immersive experiences while addressing ethical concerns such as data-privacy risks and excessive use.</w:t>
      </w:r>
      <w:proofErr w:type="spellStart"/>
      <w:r w:rsidRPr="009A515A"/>
      <w:proofErr w:type="spellEnd"/>
      <w:r w:rsidRPr="009A515A"/>
      <w:proofErr w:type="spellStart"/>
      <w:r w:rsidRPr="009A515A"/>
      <w:proofErr w:type="spellEnd"/>
      <w:r w:rsidRPr="009A515A"/>
      <w:r w:rsidR="009B694E"/>
      <w:r w:rsidRPr="009A515A"/>
      <w:r w:rsidR="009B694E"/>
      <w:r w:rsidRPr="009A515A"/>
    </w:p>
    <w:p w14:paraId="07271164" w14:textId="77777777" w:rsidR="00B4046B" w:rsidRPr="009A515A" w:rsidRDefault="00B4046B" w:rsidP="00B4046B">
      <w:pPr>
        <w:spacing w:line="360" w:lineRule="auto"/>
        <w:ind w:firstLine="360"/>
        <w:jc w:val="both"/>
        <w:rPr>
          <w:color w:val="000000" w:themeColor="text1"/>
        </w:rPr>
      </w:pPr>
      <w:r w:rsidRPr="009A515A">
        <w:t>BSAT × UE showed a strong association (consistency 0.669, coverage 24.15%): active participation with high satisfaction enhances outcomes, echoing engagement–equity links (Jeong and Kim, 2019). Brands should encourage gamified and co-creation activities that deepen involvement while sustaining satisfaction.</w:t>
      </w:r>
    </w:p>
    <w:p w14:paraId="00D2F037" w14:textId="1A0E766D" w:rsidR="00B4046B" w:rsidRPr="009A515A" w:rsidRDefault="00B4046B" w:rsidP="00B4046B">
      <w:pPr>
        <w:spacing w:line="360" w:lineRule="auto"/>
        <w:ind w:firstLine="360"/>
        <w:jc w:val="both"/>
        <w:rPr>
          <w:color w:val="000000" w:themeColor="text1"/>
        </w:rPr>
      </w:pPr>
      <w:r w:rsidRPr="009A515A">
        <w:t>UX × UE, though slightly lower in consistency (0.600, coverage 21.90%), shows engagement is most effective when paired with high-quality experience even where satisfaction is not dominant, consistent with Flow Theory’s challenge–skill balance (Csikszentmihalyi, 1990; Shin, 2019).</w:t>
      </w:r>
      <w:r w:rsidRPr="009A515A"/>
      <w:r w:rsidR="009B694E"/>
      <w:r w:rsidRPr="009A515A"/>
    </w:p>
    <w:p w14:paraId="37561B03" w14:textId="7F3971D8" w:rsidR="00B4046B" w:rsidRPr="009A515A" w:rsidRDefault="00B4046B" w:rsidP="00B4046B">
      <w:pPr>
        <w:spacing w:line="360" w:lineRule="auto"/>
        <w:ind w:firstLine="360"/>
        <w:jc w:val="both"/>
        <w:rPr>
          <w:color w:val="000000" w:themeColor="text1"/>
        </w:rPr>
      </w:pPr>
      <w:r w:rsidRPr="009A515A">
        <w:t>Individual factors showed lower consistency than their combinations, emphasising holistic strategies: BSAT × UX × UE achieved the highest consistency (0.713), reinforcing Flow Theory’s premise that optimal engagement arises from a balance between challenge and skill in immersive environments (Csikszentmihalyi, 1990).</w:t>
      </w:r>
      <w:r w:rsidR="009B694E"/>
      <w:r w:rsidRPr="009A515A"/>
      <w:r w:rsidR="009B694E"/>
      <w:r w:rsidRPr="009A515A"/>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w:t>
      </w:r>
      <w:r w:rsidR="003734B4" w:rsidRPr="009A515A">
        <w:rPr>
          <w:b/>
          <w:bCs/>
          <w:color w:val="000000" w:themeColor="text1"/>
        </w:rPr>
        <w:t xml:space="preserve"> </w:t>
      </w:r>
      <w:r w:rsidR="008B39DB" w:rsidRPr="009A515A">
        <w:rPr>
          <w:b/>
          <w:bCs/>
          <w:color w:val="000000" w:themeColor="text1"/>
        </w:rPr>
        <w:t>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integrates SDT and Flow Theory within immersive, digitally mediated environments characterised by persistent communities, avatar-based identity and interactive interfaces, clarifying how psychological needs and experiential states jointly shape engagement, satisfaction and brand outcomes. Unlike earlier applications in traditional or gamified settings, metaverse interactions involve a distinctive interplay of intrinsic motivation and experiential absorption, extending both theories into co-created domains.</w:t>
      </w:r>
      <w:r w:rsidR="009B694E"/>
      <w:r w:rsidRPr="009A515A"/>
      <w:r w:rsidR="009B694E"/>
      <w:r w:rsidRPr="009A515A"/>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take distinctive forms: autonomy through customisable avatars and digital-asset ownership, competence through skill-based challenges and achievement, and relatedness through persistent social interaction in branded communities (Bilgihan et al., 2024). These are advanced as conceptual mechanisms underlying engagement and experience rather than separately measured effects.</w:t>
      </w:r>
      <w:proofErr w:type="spellStart"/>
      <w:r w:rsidRPr="009A515A"/>
      <w:proofErr w:type="spellEnd"/>
      <w:r w:rsidRPr="009A515A"/>
      <w:r w:rsidRPr="009A515A"/>
    </w:p>
    <w:p w14:paraId="144F2C07" w14:textId="29C2D2FA" w:rsidR="00BE64E6" w:rsidRPr="009A515A" w:rsidRDefault="00BE64E6" w:rsidP="00BE64E6">
      <w:pPr>
        <w:spacing w:line="360" w:lineRule="auto"/>
        <w:ind w:firstLine="426"/>
        <w:jc w:val="both"/>
        <w:rPr>
          <w:color w:val="000000" w:themeColor="text1"/>
        </w:rPr>
      </w:pPr>
      <w:r w:rsidRPr="009A515A">
        <w:t>Flow Theory is extended by proposing that experiential immersion depends on aligning task challenge and user skill, calibrated by digital affordances and interaction design (Zhong and Hamouda, 2024); gamified missions and event-based interactions act as flow facilitators. Consistent with our findings, deep immersive engagement can yield favourable outcomes even when satisfaction is not the dominant condition.</w:t>
      </w:r>
      <w:r w:rsidR="009B694E"/>
      <w:r w:rsidRPr="009A515A"/>
    </w:p>
    <w:p w14:paraId="3576835E" w14:textId="77777777" w:rsidR="00BE64E6" w:rsidRPr="009A515A" w:rsidRDefault="00BE64E6" w:rsidP="00BE64E6">
      <w:pPr>
        <w:spacing w:line="360" w:lineRule="auto"/>
        <w:ind w:firstLine="426"/>
        <w:jc w:val="both"/>
        <w:rPr>
          <w:color w:val="000000" w:themeColor="text1"/>
        </w:rPr>
      </w:pPr>
      <w:r w:rsidRPr="009A515A">
        <w:t>Collectively, the study advances marketing and psychological theory by suggesting that the confluence of need satisfaction and experiential immersion is associated with engagement, satisfaction and brand performance, extending SDT and Flow Theory into co-created digital domains while distinguishing tested associations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is a key determinant of both satisfaction and favourable outcomes, appearing consistently in the configurations associated with success. Crafting engaging, interactive and personalised metaverse experiences is therefore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Brands should create immersive experiences connected to users’ virtual identities. Personalisation customisable avatars and interactive environments lets users express identity and strengthens presence, reinforcing the emotional bond. Aligning a brand’s virtual presence with users’ self-concept cultivates connection; tailored experiences deepen engagement, loyalty and advocacy (Thaichon et al., 2022; Xie and Muralidharan, 2023).</w:t>
      </w:r>
      <w:r w:rsidRPr="009A515A"/>
      <w:proofErr w:type="spellStart"/>
      <w:r w:rsidRPr="009A515A"/>
      <w:proofErr w:type="spellEnd"/>
      <w:r w:rsidRPr="009A515A"/>
    </w:p>
    <w:p w14:paraId="723A13EE" w14:textId="6CB21AB9" w:rsidR="005E7707" w:rsidRPr="009A515A" w:rsidRDefault="005E7707" w:rsidP="005E7707">
      <w:pPr>
        <w:spacing w:line="360" w:lineRule="auto"/>
        <w:ind w:firstLine="426"/>
        <w:jc w:val="both"/>
        <w:rPr>
          <w:color w:val="000000" w:themeColor="text1"/>
        </w:rPr>
      </w:pPr>
      <w:r w:rsidRPr="009A515A">
        <w:t>Frequently discussed features such as NFT interoperability, smart contracts and rarity dynamics may strengthen exclusivity and trust, but were not measured here and are presented as future avenues rather than findings; the evidence speaks to combinations of engagement, experience and satisfaction, not blockchain-specific mechanisms.</w:t>
      </w:r>
      <w:r w:rsidR="009B694E"/>
      <w:r w:rsidRPr="009A515A"/>
      <w:r w:rsidR="009B694E"/>
      <w:r w:rsidRPr="009A515A"/>
    </w:p>
    <w:p w14:paraId="391B9749" w14:textId="4BB81894" w:rsidR="005E7707" w:rsidRPr="009A515A" w:rsidRDefault="005E7707" w:rsidP="005E7707">
      <w:pPr>
        <w:spacing w:line="360" w:lineRule="auto"/>
        <w:ind w:firstLine="426"/>
        <w:jc w:val="both"/>
        <w:rPr>
          <w:color w:val="000000" w:themeColor="text1"/>
        </w:rPr>
      </w:pPr>
      <w:r w:rsidRPr="009A515A">
        <w:t>The results show synergy between satisfaction and engagement: combining participation with high satisfaction strengthens equity and loyalty (Jeong and Kim, 2019). Managers should build gamified, co-creation and reward opportunities that deepen involvement, as users’ sense of ownership reinforces attachment and long-term loyalty.</w:t>
      </w:r>
      <w:r w:rsidR="009B694E"/>
      <w:r w:rsidRPr="009A515A"/>
      <w:r w:rsidR="009B694E"/>
      <w:r w:rsidRPr="009A515A"/>
    </w:p>
    <w:p w14:paraId="557B7326" w14:textId="77777777" w:rsidR="00BE64E6" w:rsidRPr="009A515A" w:rsidRDefault="00BE64E6" w:rsidP="00BE64E6">
      <w:pPr>
        <w:spacing w:line="360" w:lineRule="auto"/>
        <w:ind w:firstLine="426"/>
        <w:jc w:val="both"/>
        <w:rPr>
          <w:color w:val="000000" w:themeColor="text1"/>
        </w:rPr>
      </w:pPr>
      <w:r w:rsidRPr="009A515A">
        <w:t>Overall, user experience is central to both satisfaction and success: to remain competitive, brands must ensure immersive experiences are emotionally resonant, consistent and aligned with users’ values and identities (Jung and Pawlowski, 2014); functional or visually appealing assets are no longer sufficient. Those delivering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lastRenderedPageBreak/>
        <w:t>8</w:t>
      </w:r>
      <w:r w:rsidR="003734B4" w:rsidRPr="009A515A">
        <w:rPr>
          <w:b/>
          <w:bCs/>
          <w:color w:val="000000" w:themeColor="text1"/>
        </w:rPr>
        <w:t xml:space="preserve">. </w:t>
      </w:r>
      <w:r w:rsidR="00EB7038" w:rsidRPr="009A515A">
        <w:rPr>
          <w:b/>
          <w:bCs/>
          <w:color w:val="000000" w:themeColor="text1"/>
        </w:rPr>
        <w:t>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This study has several limitations. First, the sample of 312 active, experienced users, while ensuring expertise, may bias results toward highly engaged participants and underrepresents casual or novice users, limiting generalisability; a more diverse and representative sampling frame is needed.</w:t>
      </w:r>
      <w:r w:rsidR="00113F0C" w:rsidRPr="009A515A">
        <w:rPr>
          <w:color w:val="000000" w:themeColor="text1"/>
        </w:rPr>
      </w:r>
      <w:r w:rsidRPr="009A515A">
        <w:rPr>
          <w:color w:val="000000" w:themeColor="text1"/>
        </w:rPr>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Second, inclusion/exclusion decisions may have overlooked relevant factors, and the absence of a control group limits causal attribution. While effective for complex causal analysis, fsQCA’s small-N, qualitative orientation reduces robustness relative to larger quantitative models and limits methodological triangulation.</w:t>
      </w:r>
      <w:proofErr w:type="spellStart"/>
      <w:r w:rsidR="00202EAC" w:rsidRPr="009A515A">
        <w:rPr>
          <w:color w:val="000000" w:themeColor="text1"/>
        </w:rPr>
      </w:r>
      <w:proofErr w:type="spellEnd"/>
      <w:r w:rsidRPr="009A515A">
        <w:rPr>
          <w:color w:val="000000" w:themeColor="text1"/>
        </w:rPr>
      </w:r>
      <w:proofErr w:type="spellStart"/>
      <w:r w:rsidR="00202EAC" w:rsidRPr="009A515A">
        <w:rPr>
          <w:color w:val="000000" w:themeColor="text1"/>
        </w:rPr>
      </w:r>
      <w:proofErr w:type="spellEnd"/>
      <w:r w:rsidRPr="009A515A">
        <w:rPr>
          <w:color w:val="000000" w:themeColor="text1"/>
        </w:rPr>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Third, the cross-sectional design precludes analysis of how engagement and experience evolve; longitudinal studies are needed to assess the sustainability of engagement. Ethical implications privacy, addiction, cyberbullying and exploitation remain underexplored, and future work should develop safeguards for user well-being.</w:t>
      </w:r>
      <w:r w:rsidR="00DF7521" w:rsidRPr="009A515A">
        <w:rPr>
          <w:color w:val="000000" w:themeColor="text1"/>
        </w:rPr>
      </w:r>
      <w:r w:rsidR="009B694E">
        <w:rPr>
          <w:color w:val="000000" w:themeColor="text1"/>
        </w:rPr>
      </w:r>
      <w:r w:rsidR="00DF7521" w:rsidRPr="009A515A">
        <w:rPr>
          <w:color w:val="000000" w:themeColor="text1"/>
        </w:rPr>
      </w:r>
      <w:r w:rsidR="009B694E">
        <w:rPr>
          <w:color w:val="000000" w:themeColor="text1"/>
        </w:rPr>
      </w:r>
      <w:r w:rsidR="00DF7521" w:rsidRPr="009A515A">
        <w:rPr>
          <w:color w:val="000000" w:themeColor="text1"/>
        </w:rPr>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Finally, as several large technology firms have scaled back metaverse investments, we frame our contribution conservatively: the findings speak most directly to brands active on large, metaverse-like platforms game-based worlds such as Roblox and Fortnite and social virtual reality and to the design of future immersive environments. We position avatar-mediated branding as an evolving phenomenon whose psychological mechanisms engagement, experience and satisfaction are likely to persist across successive technological forms.</w:t>
      </w:r>
      <w:r w:rsidR="009B694E">
        <w:rPr>
          <w:color w:val="000000" w:themeColor="text1"/>
        </w:rPr>
      </w:r>
      <w:r w:rsidRPr="009A515A">
        <w:rPr>
          <w:color w:val="000000" w:themeColor="text1"/>
        </w:rPr>
      </w:r>
      <w:r w:rsidR="009B694E">
        <w:rPr>
          <w:color w:val="000000" w:themeColor="text1"/>
        </w:rPr>
      </w:r>
      <w:r w:rsidRPr="009A515A">
        <w:rPr>
          <w:color w:val="000000" w:themeColor="text1"/>
        </w:rPr>
      </w:r>
      <w:r w:rsidR="009B694E">
        <w:rPr>
          <w:color w:val="000000" w:themeColor="text1"/>
        </w:rPr>
      </w:r>
      <w:r w:rsidRPr="009A515A">
        <w:rPr>
          <w:color w:val="000000" w:themeColor="text1"/>
        </w:rPr>
      </w:r>
    </w:p>
    <w:p w14:paraId="23929B52" w14:textId="77777777" w:rsidR="00ED21A3" w:rsidRPr="009A515A" w:rsidRDefault="00ED21A3" w:rsidP="001F1C59">
      <w:pPr>
        <w:pStyle w:val="NormalWeb"/>
        <w:spacing w:before="0" w:beforeAutospacing="0" w:after="0" w:afterAutospacing="0" w:line="360" w:lineRule="auto"/>
        <w:jc w:val="both"/>
        <w:rPr>
          <w:color w:val="000000" w:themeColor="text1"/>
        </w:rPr>
      </w:pPr>
    </w:p>
    <w:p w14:paraId="73317B19" w14:textId="77777777" w:rsidR="00DF7521" w:rsidRPr="009A515A" w:rsidRDefault="00DF7521" w:rsidP="001F1C59">
      <w:pPr>
        <w:pStyle w:val="NormalWeb"/>
        <w:spacing w:before="0" w:beforeAutospacing="0" w:after="0" w:afterAutospacing="0" w:line="360" w:lineRule="auto"/>
        <w:ind w:firstLine="426"/>
        <w:jc w:val="both"/>
        <w:rPr>
          <w:color w:val="000000" w:themeColor="text1"/>
        </w:rPr>
      </w:pPr>
    </w:p>
    <w:p w14:paraId="26E2C9BA" w14:textId="77777777" w:rsidR="00816F08" w:rsidRPr="009A515A" w:rsidRDefault="00816F08" w:rsidP="00D05FD0">
      <w:pPr>
        <w:spacing w:line="360" w:lineRule="auto"/>
        <w:ind w:left="720" w:hanging="720"/>
        <w:jc w:val="both"/>
        <w:rPr>
          <w:b/>
          <w:bCs/>
          <w:color w:val="000000" w:themeColor="text1"/>
        </w:rPr>
      </w:pPr>
    </w:p>
    <w:p w14:paraId="34CBE32E" w14:textId="1F612BBA" w:rsidR="00ED21A3" w:rsidRDefault="00ED21A3" w:rsidP="00ED21A3">
      <w:pPr>
        <w:spacing w:line="360" w:lineRule="auto"/>
        <w:jc w:val="both"/>
        <w:rPr>
          <w:b/>
          <w:bCs/>
        </w:rPr>
      </w:pPr>
      <w:r w:rsidRPr="00ED21A3">
        <w:rPr>
          <w:b/>
          <w:bCs/>
        </w:rPr>
        <w:lastRenderedPageBreak/>
        <w:t>Acknowledgement:</w:t>
      </w:r>
    </w:p>
    <w:p w14:paraId="7725BFCF" w14:textId="77777777" w:rsidR="00ED21A3" w:rsidRPr="00ED21A3" w:rsidRDefault="00ED21A3" w:rsidP="00ED21A3">
      <w:pPr>
        <w:spacing w:line="360" w:lineRule="auto"/>
        <w:jc w:val="both"/>
        <w:rPr>
          <w:b/>
          <w:bCs/>
        </w:rPr>
      </w:pPr>
    </w:p>
    <w:p w14:paraId="19A4A3ED" w14:textId="5DD3BF5D" w:rsidR="00ED21A3" w:rsidRPr="00ED21A3" w:rsidRDefault="00ED21A3" w:rsidP="00ED21A3">
      <w:pPr>
        <w:spacing w:line="360" w:lineRule="auto"/>
        <w:ind w:right="-188"/>
        <w:jc w:val="both"/>
      </w:pPr>
      <w:r w:rsidRPr="00ED21A3">
        <w:t>The author(s) acknowledge the use of generative AI tools to enhance the linguistic quality</w:t>
      </w:r>
      <w:r>
        <w:t xml:space="preserve"> </w:t>
      </w:r>
      <w:r w:rsidRPr="00ED21A3">
        <w:t>and</w:t>
      </w:r>
      <w:r>
        <w:t xml:space="preserve"> </w:t>
      </w:r>
      <w:r w:rsidRPr="00ED21A3">
        <w:t>readability of this manuscript. These tools were employed solely to improve spelling,</w:t>
      </w:r>
      <w:r>
        <w:t xml:space="preserve"> </w:t>
      </w:r>
      <w:r w:rsidRPr="00ED21A3">
        <w:t>grammar,</w:t>
      </w:r>
      <w:r>
        <w:t xml:space="preserve"> </w:t>
      </w:r>
      <w:r w:rsidRPr="00ED21A3">
        <w:t>and overall clarity, based on the original content created by the author(s). The</w:t>
      </w:r>
      <w:r>
        <w:t xml:space="preserve"> </w:t>
      </w:r>
      <w:r w:rsidRPr="00ED21A3">
        <w:t>author(s) take full</w:t>
      </w:r>
      <w:r>
        <w:t xml:space="preserve"> </w:t>
      </w:r>
      <w:r w:rsidRPr="00ED21A3">
        <w:t>responsibility for the original content, interpretations, and conclusions</w:t>
      </w:r>
      <w:r>
        <w:t xml:space="preserve"> </w:t>
      </w:r>
      <w:r w:rsidRPr="00ED21A3">
        <w:t>presented in this work.</w:t>
      </w:r>
    </w:p>
    <w:p w14:paraId="19F7DF85" w14:textId="77777777" w:rsidR="00ED21A3" w:rsidRDefault="00ED21A3" w:rsidP="00ED21A3">
      <w:pPr>
        <w:spacing w:line="360" w:lineRule="auto"/>
        <w:jc w:val="both"/>
        <w:rPr>
          <w:b/>
          <w:bCs/>
        </w:rPr>
      </w:pPr>
    </w:p>
    <w:p w14:paraId="47679D0D" w14:textId="244F84C1" w:rsidR="00EE3E19" w:rsidRPr="00811BA2" w:rsidRDefault="00EE3E19" w:rsidP="00EE3E19">
      <w:pPr>
        <w:spacing w:line="360" w:lineRule="auto"/>
        <w:jc w:val="both"/>
      </w:pPr>
      <w:r w:rsidRPr="00811BA2">
        <w:rPr>
          <w:b/>
          <w:bCs/>
        </w:rPr>
        <w:t>Funding</w:t>
      </w:r>
      <w:r w:rsidRPr="00811BA2">
        <w:t>: This research received no specific grant from any funding agency in the public, commercial, or not-for-profit sectors.</w:t>
      </w:r>
    </w:p>
    <w:p w14:paraId="3931A86D" w14:textId="022C3EE7" w:rsidR="00816F08" w:rsidRPr="00ED21A3" w:rsidRDefault="00EE3E19" w:rsidP="001F1C59">
      <w:pPr>
        <w:spacing w:line="360" w:lineRule="auto"/>
        <w:jc w:val="both"/>
      </w:pPr>
      <w:r w:rsidRPr="00811BA2">
        <w:rPr>
          <w:b/>
          <w:bCs/>
        </w:rPr>
        <w:t>Conflicts of Interest</w:t>
      </w:r>
      <w:r w:rsidRPr="00811BA2">
        <w:t>: 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41173663" w14:textId="77777777" w:rsidR="00651853" w:rsidRPr="009A515A" w:rsidRDefault="00000000">
      <w:r w:rsidRPr="009A515A">
        <w:rPr>
          <w:b/>
        </w:rPr>
        <w:t>Appendix Table 1. Measurement Items</w:t>
      </w:r>
    </w:p>
    <w:p w14:paraId="071E6CBD" w14:textId="77777777" w:rsidR="001F1C59" w:rsidRPr="009A515A" w:rsidRDefault="001F1C59"/>
    <w:p w14:paraId="328E572C" w14:textId="1B7C3588" w:rsidR="00651853" w:rsidRPr="009A515A" w:rsidRDefault="00000000" w:rsidP="001F1C59">
      <w:pPr>
        <w:spacing w:line="360" w:lineRule="auto"/>
        <w:jc w:val="both"/>
      </w:pPr>
      <w:r w:rsidRPr="009A515A">
        <w:t>The following items were administered to measure each construct, adapted to the metaverse branding context from the cited sources. All items used seven-point Likert scales anchored from 1 (strongly disagree) to 7 (strongly agree). Item codes correspond to the standardized loadings reported in Table 2.</w:t>
      </w:r>
    </w:p>
    <w:tbl>
      <w:tblPr>
        <w:tblStyle w:val="TableGrid"/>
        <w:tblW w:w="0" w:type="auto"/>
        <w:tblLook w:val="04A0" w:firstRow="1" w:lastRow="0" w:firstColumn="1" w:lastColumn="0" w:noHBand="0" w:noVBand="1"/>
      </w:tblPr>
      <w:tblGrid>
        <w:gridCol w:w="3005"/>
        <w:gridCol w:w="3005"/>
        <w:gridCol w:w="3006"/>
      </w:tblGrid>
      <w:tr w:rsidR="00651853" w:rsidRPr="009A515A" w14:paraId="5518DF01" w14:textId="77777777">
        <w:tc>
          <w:tcPr>
            <w:tcW w:w="3009" w:type="dxa"/>
          </w:tcPr>
          <w:p w14:paraId="19B2F958" w14:textId="77777777" w:rsidR="00651853" w:rsidRPr="009A515A" w:rsidRDefault="00000000">
            <w:r w:rsidRPr="009A515A">
              <w:rPr>
                <w:b/>
              </w:rPr>
              <w:t>Construct (source)</w:t>
            </w:r>
          </w:p>
        </w:tc>
        <w:tc>
          <w:tcPr>
            <w:tcW w:w="3009" w:type="dxa"/>
          </w:tcPr>
          <w:p w14:paraId="02146DF4" w14:textId="77777777" w:rsidR="00651853" w:rsidRPr="009A515A" w:rsidRDefault="00000000">
            <w:r w:rsidRPr="009A515A">
              <w:rPr>
                <w:b/>
              </w:rPr>
              <w:t>Code</w:t>
            </w:r>
          </w:p>
        </w:tc>
        <w:tc>
          <w:tcPr>
            <w:tcW w:w="3009" w:type="dxa"/>
          </w:tcPr>
          <w:p w14:paraId="64CAD9F8" w14:textId="77777777" w:rsidR="00651853" w:rsidRPr="009A515A" w:rsidRDefault="00000000">
            <w:r w:rsidRPr="009A515A">
              <w:rPr>
                <w:b/>
              </w:rPr>
              <w:t>Item wording (adapted)</w:t>
            </w:r>
          </w:p>
        </w:tc>
      </w:tr>
      <w:tr w:rsidR="00651853" w:rsidRPr="009A515A" w14:paraId="23ADE5F5" w14:textId="77777777">
        <w:tc>
          <w:tcPr>
            <w:tcW w:w="3009" w:type="dxa"/>
          </w:tcPr>
          <w:p w14:paraId="36300706" w14:textId="20B51E91" w:rsidR="00651853" w:rsidRPr="009A515A" w:rsidRDefault="00000000">
            <w:r w:rsidRPr="009A515A">
              <w:t xml:space="preserve">User Engagement (UE) </w:t>
            </w:r>
            <w:r w:rsidR="009B694E">
              <w:t xml:space="preserve"> </w:t>
            </w:r>
            <w:r w:rsidRPr="009A515A">
              <w:t xml:space="preserve"> adapted from O’Brien and Toms (2010)</w:t>
            </w:r>
          </w:p>
        </w:tc>
        <w:tc>
          <w:tcPr>
            <w:tcW w:w="3009" w:type="dxa"/>
          </w:tcPr>
          <w:p w14:paraId="6B8A4CF7" w14:textId="77777777" w:rsidR="00651853" w:rsidRPr="009A515A" w:rsidRDefault="00000000">
            <w:r w:rsidRPr="009A515A">
              <w:t>UE_1</w:t>
            </w:r>
          </w:p>
        </w:tc>
        <w:tc>
          <w:tcPr>
            <w:tcW w:w="3009" w:type="dxa"/>
          </w:tcPr>
          <w:p w14:paraId="33B78D20" w14:textId="77777777" w:rsidR="00651853" w:rsidRPr="009A515A" w:rsidRDefault="00000000">
            <w:r w:rsidRPr="009A515A">
              <w:t>I lost track of myself in the brand’s metaverse experience.</w:t>
            </w:r>
          </w:p>
        </w:tc>
      </w:tr>
      <w:tr w:rsidR="00651853" w:rsidRPr="009A515A" w14:paraId="7EFCEFBF" w14:textId="77777777">
        <w:tc>
          <w:tcPr>
            <w:tcW w:w="3009" w:type="dxa"/>
          </w:tcPr>
          <w:p w14:paraId="615BBFF8" w14:textId="77777777" w:rsidR="00651853" w:rsidRPr="009A515A" w:rsidRDefault="00651853"/>
        </w:tc>
        <w:tc>
          <w:tcPr>
            <w:tcW w:w="3009" w:type="dxa"/>
          </w:tcPr>
          <w:p w14:paraId="17E07060" w14:textId="77777777" w:rsidR="00651853" w:rsidRPr="009A515A" w:rsidRDefault="00000000">
            <w:r w:rsidRPr="009A515A">
              <w:t>UE_2</w:t>
            </w:r>
          </w:p>
        </w:tc>
        <w:tc>
          <w:tcPr>
            <w:tcW w:w="3009" w:type="dxa"/>
          </w:tcPr>
          <w:p w14:paraId="1843E034" w14:textId="77777777" w:rsidR="00651853" w:rsidRPr="009A515A" w:rsidRDefault="00000000">
            <w:r w:rsidRPr="009A515A">
              <w:t>The time I spent in the brand’s metaverse space slipped away.</w:t>
            </w:r>
          </w:p>
        </w:tc>
      </w:tr>
      <w:tr w:rsidR="00651853" w:rsidRPr="009A515A" w14:paraId="56C0D90C" w14:textId="77777777">
        <w:tc>
          <w:tcPr>
            <w:tcW w:w="3009" w:type="dxa"/>
          </w:tcPr>
          <w:p w14:paraId="48866FD1" w14:textId="77777777" w:rsidR="00651853" w:rsidRPr="009A515A" w:rsidRDefault="00651853"/>
        </w:tc>
        <w:tc>
          <w:tcPr>
            <w:tcW w:w="3009" w:type="dxa"/>
          </w:tcPr>
          <w:p w14:paraId="687C814F" w14:textId="77777777" w:rsidR="00651853" w:rsidRPr="009A515A" w:rsidRDefault="00000000">
            <w:r w:rsidRPr="009A515A">
              <w:t>UE_3</w:t>
            </w:r>
          </w:p>
        </w:tc>
        <w:tc>
          <w:tcPr>
            <w:tcW w:w="3009" w:type="dxa"/>
          </w:tcPr>
          <w:p w14:paraId="0B79B27B" w14:textId="77777777" w:rsidR="00651853" w:rsidRPr="009A515A" w:rsidRDefault="00000000">
            <w:r w:rsidRPr="009A515A">
              <w:t>I was absorbed in what I was doing in the brand’s metaverse space.</w:t>
            </w:r>
          </w:p>
        </w:tc>
      </w:tr>
      <w:tr w:rsidR="00651853" w:rsidRPr="009A515A" w14:paraId="6B902EA3" w14:textId="77777777">
        <w:tc>
          <w:tcPr>
            <w:tcW w:w="3009" w:type="dxa"/>
          </w:tcPr>
          <w:p w14:paraId="3F537C53" w14:textId="77777777" w:rsidR="00651853" w:rsidRPr="009A515A" w:rsidRDefault="00651853"/>
        </w:tc>
        <w:tc>
          <w:tcPr>
            <w:tcW w:w="3009" w:type="dxa"/>
          </w:tcPr>
          <w:p w14:paraId="00D54343" w14:textId="77777777" w:rsidR="00651853" w:rsidRPr="009A515A" w:rsidRDefault="00000000">
            <w:r w:rsidRPr="009A515A">
              <w:t>UE_4</w:t>
            </w:r>
          </w:p>
        </w:tc>
        <w:tc>
          <w:tcPr>
            <w:tcW w:w="3009" w:type="dxa"/>
          </w:tcPr>
          <w:p w14:paraId="10822348" w14:textId="77777777" w:rsidR="00651853" w:rsidRPr="009A515A" w:rsidRDefault="00000000">
            <w:r w:rsidRPr="009A515A">
              <w:t>I felt involved in the brand’s metaverse activities.</w:t>
            </w:r>
          </w:p>
        </w:tc>
      </w:tr>
      <w:tr w:rsidR="00651853" w:rsidRPr="009A515A" w14:paraId="6A9E7381" w14:textId="77777777">
        <w:tc>
          <w:tcPr>
            <w:tcW w:w="3009" w:type="dxa"/>
          </w:tcPr>
          <w:p w14:paraId="155A1260" w14:textId="77777777" w:rsidR="00651853" w:rsidRPr="009A515A" w:rsidRDefault="00651853"/>
        </w:tc>
        <w:tc>
          <w:tcPr>
            <w:tcW w:w="3009" w:type="dxa"/>
          </w:tcPr>
          <w:p w14:paraId="3B7F9F01" w14:textId="77777777" w:rsidR="00651853" w:rsidRPr="009A515A" w:rsidRDefault="00000000">
            <w:r w:rsidRPr="009A515A">
              <w:t>UE_5</w:t>
            </w:r>
          </w:p>
        </w:tc>
        <w:tc>
          <w:tcPr>
            <w:tcW w:w="3009" w:type="dxa"/>
          </w:tcPr>
          <w:p w14:paraId="2A03B0B2" w14:textId="77777777" w:rsidR="00651853" w:rsidRPr="009A515A" w:rsidRDefault="00000000">
            <w:r w:rsidRPr="009A515A">
              <w:t>The brand’s metaverse experience was fun.</w:t>
            </w:r>
          </w:p>
        </w:tc>
      </w:tr>
      <w:tr w:rsidR="00651853" w:rsidRPr="009A515A" w14:paraId="0CDF4E42" w14:textId="77777777">
        <w:tc>
          <w:tcPr>
            <w:tcW w:w="3009" w:type="dxa"/>
          </w:tcPr>
          <w:p w14:paraId="5BC209B5" w14:textId="77777777" w:rsidR="00651853" w:rsidRPr="009A515A" w:rsidRDefault="00651853"/>
        </w:tc>
        <w:tc>
          <w:tcPr>
            <w:tcW w:w="3009" w:type="dxa"/>
          </w:tcPr>
          <w:p w14:paraId="3DFB4988" w14:textId="77777777" w:rsidR="00651853" w:rsidRPr="009A515A" w:rsidRDefault="00000000">
            <w:r w:rsidRPr="009A515A">
              <w:t>UE_6</w:t>
            </w:r>
          </w:p>
        </w:tc>
        <w:tc>
          <w:tcPr>
            <w:tcW w:w="3009" w:type="dxa"/>
          </w:tcPr>
          <w:p w14:paraId="6C40CC02" w14:textId="77777777" w:rsidR="00651853" w:rsidRPr="009A515A" w:rsidRDefault="00000000">
            <w:r w:rsidRPr="009A515A">
              <w:t>I was motivated to keep interacting with the brand in the metaverse.</w:t>
            </w:r>
          </w:p>
        </w:tc>
      </w:tr>
      <w:tr w:rsidR="00651853" w:rsidRPr="009A515A" w14:paraId="36518BEB" w14:textId="77777777">
        <w:tc>
          <w:tcPr>
            <w:tcW w:w="3009" w:type="dxa"/>
          </w:tcPr>
          <w:p w14:paraId="6DC9F23F" w14:textId="77777777" w:rsidR="00651853" w:rsidRPr="009A515A" w:rsidRDefault="00651853"/>
        </w:tc>
        <w:tc>
          <w:tcPr>
            <w:tcW w:w="3009" w:type="dxa"/>
          </w:tcPr>
          <w:p w14:paraId="775F4488" w14:textId="77777777" w:rsidR="00651853" w:rsidRPr="009A515A" w:rsidRDefault="00000000">
            <w:r w:rsidRPr="009A515A">
              <w:t>UE_7</w:t>
            </w:r>
          </w:p>
        </w:tc>
        <w:tc>
          <w:tcPr>
            <w:tcW w:w="3009" w:type="dxa"/>
          </w:tcPr>
          <w:p w14:paraId="1CD519F5" w14:textId="77777777" w:rsidR="00651853" w:rsidRPr="009A515A" w:rsidRDefault="00000000">
            <w:r w:rsidRPr="009A515A">
              <w:t>I would recommend the brand’s metaverse experience to others.</w:t>
            </w:r>
          </w:p>
        </w:tc>
      </w:tr>
      <w:tr w:rsidR="00651853" w:rsidRPr="009A515A" w14:paraId="4456663D" w14:textId="77777777">
        <w:tc>
          <w:tcPr>
            <w:tcW w:w="3009" w:type="dxa"/>
          </w:tcPr>
          <w:p w14:paraId="71718DE2" w14:textId="77777777" w:rsidR="00651853" w:rsidRPr="009A515A" w:rsidRDefault="00651853"/>
        </w:tc>
        <w:tc>
          <w:tcPr>
            <w:tcW w:w="3009" w:type="dxa"/>
          </w:tcPr>
          <w:p w14:paraId="2C5D1D4D" w14:textId="77777777" w:rsidR="00651853" w:rsidRPr="009A515A" w:rsidRDefault="00000000">
            <w:r w:rsidRPr="009A515A">
              <w:t>UE_8</w:t>
            </w:r>
          </w:p>
        </w:tc>
        <w:tc>
          <w:tcPr>
            <w:tcW w:w="3009" w:type="dxa"/>
          </w:tcPr>
          <w:p w14:paraId="0B39D2BD" w14:textId="77777777" w:rsidR="00651853" w:rsidRPr="009A515A" w:rsidRDefault="00000000">
            <w:r w:rsidRPr="009A515A">
              <w:t>Interacting with the brand in the metaverse was worthwhile.</w:t>
            </w:r>
          </w:p>
        </w:tc>
      </w:tr>
      <w:tr w:rsidR="00651853" w:rsidRPr="009A515A" w14:paraId="2641FE21" w14:textId="77777777">
        <w:tc>
          <w:tcPr>
            <w:tcW w:w="3009" w:type="dxa"/>
          </w:tcPr>
          <w:p w14:paraId="419D1A3C" w14:textId="77777777" w:rsidR="00651853" w:rsidRPr="009A515A" w:rsidRDefault="00651853"/>
        </w:tc>
        <w:tc>
          <w:tcPr>
            <w:tcW w:w="3009" w:type="dxa"/>
          </w:tcPr>
          <w:p w14:paraId="4304551A" w14:textId="77777777" w:rsidR="00651853" w:rsidRPr="009A515A" w:rsidRDefault="00000000">
            <w:r w:rsidRPr="009A515A">
              <w:t>UE_9</w:t>
            </w:r>
          </w:p>
        </w:tc>
        <w:tc>
          <w:tcPr>
            <w:tcW w:w="3009" w:type="dxa"/>
          </w:tcPr>
          <w:p w14:paraId="1841901A" w14:textId="77777777" w:rsidR="00651853" w:rsidRPr="009A515A" w:rsidRDefault="00000000">
            <w:r w:rsidRPr="009A515A">
              <w:t>I felt interested in the brand’s metaverse activities.</w:t>
            </w:r>
          </w:p>
        </w:tc>
      </w:tr>
      <w:tr w:rsidR="00651853" w:rsidRPr="009A515A" w14:paraId="682880CB" w14:textId="77777777">
        <w:tc>
          <w:tcPr>
            <w:tcW w:w="3009" w:type="dxa"/>
          </w:tcPr>
          <w:p w14:paraId="4CBEF2CE" w14:textId="77777777" w:rsidR="00651853" w:rsidRPr="009A515A" w:rsidRDefault="00651853"/>
        </w:tc>
        <w:tc>
          <w:tcPr>
            <w:tcW w:w="3009" w:type="dxa"/>
          </w:tcPr>
          <w:p w14:paraId="5475B93A" w14:textId="77777777" w:rsidR="00651853" w:rsidRPr="009A515A" w:rsidRDefault="00000000">
            <w:r w:rsidRPr="009A515A">
              <w:t>UE_10</w:t>
            </w:r>
          </w:p>
        </w:tc>
        <w:tc>
          <w:tcPr>
            <w:tcW w:w="3009" w:type="dxa"/>
          </w:tcPr>
          <w:p w14:paraId="434FD198" w14:textId="77777777" w:rsidR="00651853" w:rsidRPr="009A515A" w:rsidRDefault="00000000">
            <w:r w:rsidRPr="009A515A">
              <w:t>I would return to the brand’s metaverse space.</w:t>
            </w:r>
          </w:p>
        </w:tc>
      </w:tr>
      <w:tr w:rsidR="00651853" w:rsidRPr="009A515A" w14:paraId="16C369A2" w14:textId="77777777">
        <w:tc>
          <w:tcPr>
            <w:tcW w:w="3009" w:type="dxa"/>
          </w:tcPr>
          <w:p w14:paraId="74E1DE02" w14:textId="5B799FDF" w:rsidR="00651853" w:rsidRPr="009A515A" w:rsidRDefault="00000000">
            <w:r w:rsidRPr="009A515A">
              <w:t xml:space="preserve">User Experience (UX) </w:t>
            </w:r>
            <w:r w:rsidR="009B694E">
              <w:t xml:space="preserve"> </w:t>
            </w:r>
            <w:r w:rsidRPr="009A515A">
              <w:t xml:space="preserve"> adapted from O’Brien and Toms (2010); Basu et al. (2024); Cadet and </w:t>
            </w:r>
            <w:proofErr w:type="spellStart"/>
            <w:r w:rsidRPr="009A515A">
              <w:t>Chainay</w:t>
            </w:r>
            <w:proofErr w:type="spellEnd"/>
            <w:r w:rsidRPr="009A515A">
              <w:t xml:space="preserve"> (2020)</w:t>
            </w:r>
          </w:p>
        </w:tc>
        <w:tc>
          <w:tcPr>
            <w:tcW w:w="3009" w:type="dxa"/>
          </w:tcPr>
          <w:p w14:paraId="180EF302" w14:textId="77777777" w:rsidR="00651853" w:rsidRPr="009A515A" w:rsidRDefault="00000000">
            <w:r w:rsidRPr="009A515A">
              <w:t>UX_1</w:t>
            </w:r>
          </w:p>
        </w:tc>
        <w:tc>
          <w:tcPr>
            <w:tcW w:w="3009" w:type="dxa"/>
          </w:tcPr>
          <w:p w14:paraId="108D4602" w14:textId="77777777" w:rsidR="00651853" w:rsidRPr="009A515A" w:rsidRDefault="00000000">
            <w:r w:rsidRPr="009A515A">
              <w:t>The brand’s metaverse environment was easy to use.</w:t>
            </w:r>
          </w:p>
        </w:tc>
      </w:tr>
      <w:tr w:rsidR="00651853" w:rsidRPr="009A515A" w14:paraId="0364E1B9" w14:textId="77777777">
        <w:tc>
          <w:tcPr>
            <w:tcW w:w="3009" w:type="dxa"/>
          </w:tcPr>
          <w:p w14:paraId="61B83A73" w14:textId="77777777" w:rsidR="00651853" w:rsidRPr="009A515A" w:rsidRDefault="00651853"/>
        </w:tc>
        <w:tc>
          <w:tcPr>
            <w:tcW w:w="3009" w:type="dxa"/>
          </w:tcPr>
          <w:p w14:paraId="73A73C5E" w14:textId="77777777" w:rsidR="00651853" w:rsidRPr="009A515A" w:rsidRDefault="00000000">
            <w:r w:rsidRPr="009A515A">
              <w:t>UX_2</w:t>
            </w:r>
          </w:p>
        </w:tc>
        <w:tc>
          <w:tcPr>
            <w:tcW w:w="3009" w:type="dxa"/>
          </w:tcPr>
          <w:p w14:paraId="71C3E63F" w14:textId="77777777" w:rsidR="00651853" w:rsidRPr="009A515A" w:rsidRDefault="00000000">
            <w:r w:rsidRPr="009A515A">
              <w:t>It was easy to navigate the brand’s metaverse space.</w:t>
            </w:r>
          </w:p>
        </w:tc>
      </w:tr>
      <w:tr w:rsidR="00651853" w:rsidRPr="009A515A" w14:paraId="7BCD591A" w14:textId="77777777">
        <w:tc>
          <w:tcPr>
            <w:tcW w:w="3009" w:type="dxa"/>
          </w:tcPr>
          <w:p w14:paraId="503419CC" w14:textId="77777777" w:rsidR="00651853" w:rsidRPr="009A515A" w:rsidRDefault="00651853"/>
        </w:tc>
        <w:tc>
          <w:tcPr>
            <w:tcW w:w="3009" w:type="dxa"/>
          </w:tcPr>
          <w:p w14:paraId="79CE8BA9" w14:textId="77777777" w:rsidR="00651853" w:rsidRPr="009A515A" w:rsidRDefault="00000000">
            <w:r w:rsidRPr="009A515A">
              <w:t>UX_3</w:t>
            </w:r>
          </w:p>
        </w:tc>
        <w:tc>
          <w:tcPr>
            <w:tcW w:w="3009" w:type="dxa"/>
          </w:tcPr>
          <w:p w14:paraId="03D0C976" w14:textId="77777777" w:rsidR="00651853" w:rsidRPr="009A515A" w:rsidRDefault="00000000">
            <w:r w:rsidRPr="009A515A">
              <w:t>The brand’s metaverse environment was visually appealing.</w:t>
            </w:r>
          </w:p>
        </w:tc>
      </w:tr>
      <w:tr w:rsidR="00651853" w:rsidRPr="009A515A" w14:paraId="433A3D6F" w14:textId="77777777">
        <w:tc>
          <w:tcPr>
            <w:tcW w:w="3009" w:type="dxa"/>
          </w:tcPr>
          <w:p w14:paraId="0FE04537" w14:textId="77777777" w:rsidR="00651853" w:rsidRPr="009A515A" w:rsidRDefault="00651853"/>
        </w:tc>
        <w:tc>
          <w:tcPr>
            <w:tcW w:w="3009" w:type="dxa"/>
          </w:tcPr>
          <w:p w14:paraId="29CC11BE" w14:textId="77777777" w:rsidR="00651853" w:rsidRPr="009A515A" w:rsidRDefault="00000000">
            <w:r w:rsidRPr="009A515A">
              <w:t>UX_4</w:t>
            </w:r>
          </w:p>
        </w:tc>
        <w:tc>
          <w:tcPr>
            <w:tcW w:w="3009" w:type="dxa"/>
          </w:tcPr>
          <w:p w14:paraId="14D179CC" w14:textId="77777777" w:rsidR="00651853" w:rsidRPr="009A515A" w:rsidRDefault="00000000">
            <w:r w:rsidRPr="009A515A">
              <w:t>The brand’s metaverse space was aesthetically pleasing.</w:t>
            </w:r>
          </w:p>
        </w:tc>
      </w:tr>
      <w:tr w:rsidR="00651853" w:rsidRPr="009A515A" w14:paraId="1A10752F" w14:textId="77777777">
        <w:tc>
          <w:tcPr>
            <w:tcW w:w="3009" w:type="dxa"/>
          </w:tcPr>
          <w:p w14:paraId="2C539940" w14:textId="77777777" w:rsidR="00651853" w:rsidRPr="009A515A" w:rsidRDefault="00651853"/>
        </w:tc>
        <w:tc>
          <w:tcPr>
            <w:tcW w:w="3009" w:type="dxa"/>
          </w:tcPr>
          <w:p w14:paraId="1E2B027F" w14:textId="77777777" w:rsidR="00651853" w:rsidRPr="009A515A" w:rsidRDefault="00000000">
            <w:r w:rsidRPr="009A515A">
              <w:t>UX_5</w:t>
            </w:r>
          </w:p>
        </w:tc>
        <w:tc>
          <w:tcPr>
            <w:tcW w:w="3009" w:type="dxa"/>
          </w:tcPr>
          <w:p w14:paraId="730B783B" w14:textId="77777777" w:rsidR="00651853" w:rsidRPr="009A515A" w:rsidRDefault="00000000">
            <w:r w:rsidRPr="009A515A">
              <w:t>I felt present in the brand’s metaverse environment.</w:t>
            </w:r>
          </w:p>
        </w:tc>
      </w:tr>
      <w:tr w:rsidR="00651853" w:rsidRPr="009A515A" w14:paraId="00549949" w14:textId="77777777">
        <w:tc>
          <w:tcPr>
            <w:tcW w:w="3009" w:type="dxa"/>
          </w:tcPr>
          <w:p w14:paraId="046C4865" w14:textId="77777777" w:rsidR="00651853" w:rsidRPr="009A515A" w:rsidRDefault="00651853"/>
        </w:tc>
        <w:tc>
          <w:tcPr>
            <w:tcW w:w="3009" w:type="dxa"/>
          </w:tcPr>
          <w:p w14:paraId="492206A2" w14:textId="77777777" w:rsidR="00651853" w:rsidRPr="009A515A" w:rsidRDefault="00000000">
            <w:r w:rsidRPr="009A515A">
              <w:t>UX_6</w:t>
            </w:r>
          </w:p>
        </w:tc>
        <w:tc>
          <w:tcPr>
            <w:tcW w:w="3009" w:type="dxa"/>
          </w:tcPr>
          <w:p w14:paraId="39655AAE" w14:textId="77777777" w:rsidR="00651853" w:rsidRPr="009A515A" w:rsidRDefault="00000000">
            <w:r w:rsidRPr="009A515A">
              <w:t>The brand’s metaverse environment felt realistic.</w:t>
            </w:r>
          </w:p>
        </w:tc>
      </w:tr>
      <w:tr w:rsidR="00651853" w:rsidRPr="009A515A" w14:paraId="154F8312" w14:textId="77777777">
        <w:tc>
          <w:tcPr>
            <w:tcW w:w="3009" w:type="dxa"/>
          </w:tcPr>
          <w:p w14:paraId="4889315A" w14:textId="77777777" w:rsidR="00651853" w:rsidRPr="009A515A" w:rsidRDefault="00651853"/>
        </w:tc>
        <w:tc>
          <w:tcPr>
            <w:tcW w:w="3009" w:type="dxa"/>
          </w:tcPr>
          <w:p w14:paraId="52372D80" w14:textId="77777777" w:rsidR="00651853" w:rsidRPr="009A515A" w:rsidRDefault="00000000">
            <w:r w:rsidRPr="009A515A">
              <w:t>UX_7</w:t>
            </w:r>
          </w:p>
        </w:tc>
        <w:tc>
          <w:tcPr>
            <w:tcW w:w="3009" w:type="dxa"/>
          </w:tcPr>
          <w:p w14:paraId="29D96DA1" w14:textId="77777777" w:rsidR="00651853" w:rsidRPr="009A515A" w:rsidRDefault="00000000">
            <w:r w:rsidRPr="009A515A">
              <w:t>The sensory quality (visuals and sound) of the experience was high.</w:t>
            </w:r>
          </w:p>
        </w:tc>
      </w:tr>
      <w:tr w:rsidR="00651853" w:rsidRPr="009A515A" w14:paraId="60BBD334" w14:textId="77777777">
        <w:tc>
          <w:tcPr>
            <w:tcW w:w="3009" w:type="dxa"/>
          </w:tcPr>
          <w:p w14:paraId="26640B41" w14:textId="77777777" w:rsidR="00651853" w:rsidRPr="009A515A" w:rsidRDefault="00651853"/>
        </w:tc>
        <w:tc>
          <w:tcPr>
            <w:tcW w:w="3009" w:type="dxa"/>
          </w:tcPr>
          <w:p w14:paraId="67107B8D" w14:textId="77777777" w:rsidR="00651853" w:rsidRPr="009A515A" w:rsidRDefault="00000000">
            <w:r w:rsidRPr="009A515A">
              <w:t>UX_8</w:t>
            </w:r>
          </w:p>
        </w:tc>
        <w:tc>
          <w:tcPr>
            <w:tcW w:w="3009" w:type="dxa"/>
          </w:tcPr>
          <w:p w14:paraId="7E60C03D" w14:textId="77777777" w:rsidR="00651853" w:rsidRPr="009A515A" w:rsidRDefault="00000000">
            <w:r w:rsidRPr="009A515A">
              <w:t>The experience responded smoothly to my actions.</w:t>
            </w:r>
          </w:p>
        </w:tc>
      </w:tr>
      <w:tr w:rsidR="00651853" w:rsidRPr="009A515A" w14:paraId="36DA8220" w14:textId="77777777">
        <w:tc>
          <w:tcPr>
            <w:tcW w:w="3009" w:type="dxa"/>
          </w:tcPr>
          <w:p w14:paraId="20A25313" w14:textId="77777777" w:rsidR="00651853" w:rsidRPr="009A515A" w:rsidRDefault="00651853"/>
        </w:tc>
        <w:tc>
          <w:tcPr>
            <w:tcW w:w="3009" w:type="dxa"/>
          </w:tcPr>
          <w:p w14:paraId="0E59C9EF" w14:textId="77777777" w:rsidR="00651853" w:rsidRPr="009A515A" w:rsidRDefault="00000000">
            <w:r w:rsidRPr="009A515A">
              <w:t>UX_9</w:t>
            </w:r>
          </w:p>
        </w:tc>
        <w:tc>
          <w:tcPr>
            <w:tcW w:w="3009" w:type="dxa"/>
          </w:tcPr>
          <w:p w14:paraId="25A49AFC" w14:textId="77777777" w:rsidR="00651853" w:rsidRPr="009A515A" w:rsidRDefault="00000000">
            <w:r w:rsidRPr="009A515A">
              <w:t>I felt immersed in the brand’s metaverse environment.</w:t>
            </w:r>
          </w:p>
        </w:tc>
      </w:tr>
      <w:tr w:rsidR="00651853" w:rsidRPr="009A515A" w14:paraId="291F4B49" w14:textId="77777777">
        <w:tc>
          <w:tcPr>
            <w:tcW w:w="3009" w:type="dxa"/>
          </w:tcPr>
          <w:p w14:paraId="77BED186" w14:textId="77777777" w:rsidR="00651853" w:rsidRPr="009A515A" w:rsidRDefault="00651853"/>
        </w:tc>
        <w:tc>
          <w:tcPr>
            <w:tcW w:w="3009" w:type="dxa"/>
          </w:tcPr>
          <w:p w14:paraId="6E7901F4" w14:textId="77777777" w:rsidR="00651853" w:rsidRPr="009A515A" w:rsidRDefault="00000000">
            <w:r w:rsidRPr="009A515A">
              <w:t>UX_10</w:t>
            </w:r>
          </w:p>
        </w:tc>
        <w:tc>
          <w:tcPr>
            <w:tcW w:w="3009" w:type="dxa"/>
          </w:tcPr>
          <w:p w14:paraId="334CECA5" w14:textId="77777777" w:rsidR="00651853" w:rsidRPr="009A515A" w:rsidRDefault="00000000">
            <w:r w:rsidRPr="009A515A">
              <w:t>Overall, the brand’s metaverse experience was of high quality.</w:t>
            </w:r>
          </w:p>
        </w:tc>
      </w:tr>
      <w:tr w:rsidR="00651853" w:rsidRPr="009A515A" w14:paraId="5B4B6ED7" w14:textId="77777777">
        <w:tc>
          <w:tcPr>
            <w:tcW w:w="3009" w:type="dxa"/>
          </w:tcPr>
          <w:p w14:paraId="30980517" w14:textId="192E2E43" w:rsidR="00651853" w:rsidRPr="009A515A" w:rsidRDefault="00000000">
            <w:r w:rsidRPr="009A515A">
              <w:t xml:space="preserve">Brand Satisfaction (BSAT) </w:t>
            </w:r>
            <w:r w:rsidR="009B694E">
              <w:t xml:space="preserve"> </w:t>
            </w:r>
            <w:r w:rsidRPr="009A515A">
              <w:t xml:space="preserve"> adapted from Fornell et al. (1996)</w:t>
            </w:r>
          </w:p>
        </w:tc>
        <w:tc>
          <w:tcPr>
            <w:tcW w:w="3009" w:type="dxa"/>
          </w:tcPr>
          <w:p w14:paraId="53080777" w14:textId="77777777" w:rsidR="00651853" w:rsidRPr="009A515A" w:rsidRDefault="00000000">
            <w:r w:rsidRPr="009A515A">
              <w:t>BSAT_1</w:t>
            </w:r>
          </w:p>
        </w:tc>
        <w:tc>
          <w:tcPr>
            <w:tcW w:w="3009" w:type="dxa"/>
          </w:tcPr>
          <w:p w14:paraId="76133E56" w14:textId="77777777" w:rsidR="00651853" w:rsidRPr="009A515A" w:rsidRDefault="00000000">
            <w:r w:rsidRPr="009A515A">
              <w:t>Overall, I am satisfied with the brand’s presence in the metaverse.</w:t>
            </w:r>
          </w:p>
        </w:tc>
      </w:tr>
      <w:tr w:rsidR="00651853" w:rsidRPr="009A515A" w14:paraId="781B2589" w14:textId="77777777">
        <w:tc>
          <w:tcPr>
            <w:tcW w:w="3009" w:type="dxa"/>
          </w:tcPr>
          <w:p w14:paraId="77E802D9" w14:textId="77777777" w:rsidR="00651853" w:rsidRPr="009A515A" w:rsidRDefault="00651853"/>
        </w:tc>
        <w:tc>
          <w:tcPr>
            <w:tcW w:w="3009" w:type="dxa"/>
          </w:tcPr>
          <w:p w14:paraId="1AC22962" w14:textId="77777777" w:rsidR="00651853" w:rsidRPr="009A515A" w:rsidRDefault="00000000">
            <w:r w:rsidRPr="009A515A">
              <w:t>BSAT_2</w:t>
            </w:r>
          </w:p>
        </w:tc>
        <w:tc>
          <w:tcPr>
            <w:tcW w:w="3009" w:type="dxa"/>
          </w:tcPr>
          <w:p w14:paraId="25BA5352" w14:textId="77777777" w:rsidR="00651853" w:rsidRPr="009A515A" w:rsidRDefault="00000000">
            <w:r w:rsidRPr="009A515A">
              <w:t>The brand’s metaverse experience met my expectations.</w:t>
            </w:r>
          </w:p>
        </w:tc>
      </w:tr>
      <w:tr w:rsidR="00651853" w:rsidRPr="009A515A" w14:paraId="0388FD62" w14:textId="77777777">
        <w:tc>
          <w:tcPr>
            <w:tcW w:w="3009" w:type="dxa"/>
          </w:tcPr>
          <w:p w14:paraId="447BF42D" w14:textId="77777777" w:rsidR="00651853" w:rsidRPr="009A515A" w:rsidRDefault="00651853"/>
        </w:tc>
        <w:tc>
          <w:tcPr>
            <w:tcW w:w="3009" w:type="dxa"/>
          </w:tcPr>
          <w:p w14:paraId="6253427B" w14:textId="77777777" w:rsidR="00651853" w:rsidRPr="009A515A" w:rsidRDefault="00000000">
            <w:r w:rsidRPr="009A515A">
              <w:t>BSAT_3</w:t>
            </w:r>
          </w:p>
        </w:tc>
        <w:tc>
          <w:tcPr>
            <w:tcW w:w="3009" w:type="dxa"/>
          </w:tcPr>
          <w:p w14:paraId="2F2A443F" w14:textId="77777777" w:rsidR="00651853" w:rsidRPr="009A515A" w:rsidRDefault="00000000">
            <w:r w:rsidRPr="009A515A">
              <w:t>The brand’s metaverse experience came close to my ideal.</w:t>
            </w:r>
          </w:p>
        </w:tc>
      </w:tr>
      <w:tr w:rsidR="00651853" w:rsidRPr="009A515A" w14:paraId="4E99F5E8" w14:textId="77777777">
        <w:tc>
          <w:tcPr>
            <w:tcW w:w="3009" w:type="dxa"/>
          </w:tcPr>
          <w:p w14:paraId="396D3992" w14:textId="77777777" w:rsidR="00651853" w:rsidRPr="009A515A" w:rsidRDefault="00651853"/>
        </w:tc>
        <w:tc>
          <w:tcPr>
            <w:tcW w:w="3009" w:type="dxa"/>
          </w:tcPr>
          <w:p w14:paraId="2E466CE2" w14:textId="77777777" w:rsidR="00651853" w:rsidRPr="009A515A" w:rsidRDefault="00000000">
            <w:r w:rsidRPr="009A515A">
              <w:t>BSAT_4</w:t>
            </w:r>
          </w:p>
        </w:tc>
        <w:tc>
          <w:tcPr>
            <w:tcW w:w="3009" w:type="dxa"/>
          </w:tcPr>
          <w:p w14:paraId="5ECBE195" w14:textId="77777777" w:rsidR="00651853" w:rsidRPr="009A515A" w:rsidRDefault="00000000">
            <w:r w:rsidRPr="009A515A">
              <w:t>I am pleased with my experience of the brand in the metaverse.</w:t>
            </w:r>
          </w:p>
        </w:tc>
      </w:tr>
      <w:tr w:rsidR="00651853" w:rsidRPr="009A515A" w14:paraId="1C41BF0B" w14:textId="77777777">
        <w:tc>
          <w:tcPr>
            <w:tcW w:w="3009" w:type="dxa"/>
          </w:tcPr>
          <w:p w14:paraId="037BAAE3" w14:textId="77777777" w:rsidR="00651853" w:rsidRPr="009A515A" w:rsidRDefault="00651853"/>
        </w:tc>
        <w:tc>
          <w:tcPr>
            <w:tcW w:w="3009" w:type="dxa"/>
          </w:tcPr>
          <w:p w14:paraId="3A5785A1" w14:textId="77777777" w:rsidR="00651853" w:rsidRPr="009A515A" w:rsidRDefault="00000000">
            <w:r w:rsidRPr="009A515A">
              <w:t>BSAT_5</w:t>
            </w:r>
          </w:p>
        </w:tc>
        <w:tc>
          <w:tcPr>
            <w:tcW w:w="3009" w:type="dxa"/>
          </w:tcPr>
          <w:p w14:paraId="4AAE500C" w14:textId="77777777" w:rsidR="00651853" w:rsidRPr="009A515A" w:rsidRDefault="00000000">
            <w:r w:rsidRPr="009A515A">
              <w:t>The brand’s metaverse offering was satisfactory.</w:t>
            </w:r>
          </w:p>
        </w:tc>
      </w:tr>
      <w:tr w:rsidR="00651853" w:rsidRPr="009A515A" w14:paraId="584BD8E0" w14:textId="77777777">
        <w:tc>
          <w:tcPr>
            <w:tcW w:w="3009" w:type="dxa"/>
          </w:tcPr>
          <w:p w14:paraId="214AC4F1" w14:textId="05D6BB02" w:rsidR="00651853" w:rsidRPr="009A515A" w:rsidRDefault="00000000">
            <w:r w:rsidRPr="009A515A">
              <w:t xml:space="preserve">Brand Success (BSUC) </w:t>
            </w:r>
            <w:r w:rsidR="009B694E">
              <w:t xml:space="preserve"> </w:t>
            </w:r>
            <w:r w:rsidRPr="009A515A">
              <w:t xml:space="preserve"> developed for this study, drawing on </w:t>
            </w:r>
            <w:proofErr w:type="spellStart"/>
            <w:r w:rsidRPr="009A515A">
              <w:t>Mathwick</w:t>
            </w:r>
            <w:proofErr w:type="spellEnd"/>
            <w:r w:rsidRPr="009A515A">
              <w:t xml:space="preserve"> et al. (2008)</w:t>
            </w:r>
          </w:p>
        </w:tc>
        <w:tc>
          <w:tcPr>
            <w:tcW w:w="3009" w:type="dxa"/>
          </w:tcPr>
          <w:p w14:paraId="4C721104" w14:textId="77777777" w:rsidR="00651853" w:rsidRPr="009A515A" w:rsidRDefault="00000000">
            <w:r w:rsidRPr="009A515A">
              <w:t>BSUC_1</w:t>
            </w:r>
          </w:p>
        </w:tc>
        <w:tc>
          <w:tcPr>
            <w:tcW w:w="3009" w:type="dxa"/>
          </w:tcPr>
          <w:p w14:paraId="4F039A86" w14:textId="77777777" w:rsidR="00651853" w:rsidRPr="009A515A" w:rsidRDefault="00000000">
            <w:r w:rsidRPr="009A515A">
              <w:t>This brand stands out from competitors in the metaverse.</w:t>
            </w:r>
          </w:p>
        </w:tc>
      </w:tr>
      <w:tr w:rsidR="00651853" w:rsidRPr="009A515A" w14:paraId="64A92E83" w14:textId="77777777">
        <w:tc>
          <w:tcPr>
            <w:tcW w:w="3009" w:type="dxa"/>
          </w:tcPr>
          <w:p w14:paraId="70CBED2D" w14:textId="77777777" w:rsidR="00651853" w:rsidRPr="009A515A" w:rsidRDefault="00651853"/>
        </w:tc>
        <w:tc>
          <w:tcPr>
            <w:tcW w:w="3009" w:type="dxa"/>
          </w:tcPr>
          <w:p w14:paraId="5A56D573" w14:textId="77777777" w:rsidR="00651853" w:rsidRPr="009A515A" w:rsidRDefault="00000000">
            <w:r w:rsidRPr="009A515A">
              <w:t>BSUC_2</w:t>
            </w:r>
          </w:p>
        </w:tc>
        <w:tc>
          <w:tcPr>
            <w:tcW w:w="3009" w:type="dxa"/>
          </w:tcPr>
          <w:p w14:paraId="50479197" w14:textId="77777777" w:rsidR="00651853" w:rsidRPr="009A515A" w:rsidRDefault="00000000">
            <w:r w:rsidRPr="009A515A">
              <w:t>I would choose this brand over others because of its metaverse presence.</w:t>
            </w:r>
          </w:p>
        </w:tc>
      </w:tr>
      <w:tr w:rsidR="00651853" w:rsidRPr="009A515A" w14:paraId="37D2E399" w14:textId="77777777">
        <w:tc>
          <w:tcPr>
            <w:tcW w:w="3009" w:type="dxa"/>
          </w:tcPr>
          <w:p w14:paraId="496A3D91" w14:textId="77777777" w:rsidR="00651853" w:rsidRPr="009A515A" w:rsidRDefault="00651853"/>
        </w:tc>
        <w:tc>
          <w:tcPr>
            <w:tcW w:w="3009" w:type="dxa"/>
          </w:tcPr>
          <w:p w14:paraId="0BC8C5AF" w14:textId="77777777" w:rsidR="00651853" w:rsidRPr="009A515A" w:rsidRDefault="00000000">
            <w:r w:rsidRPr="009A515A">
              <w:t>BSUC_3</w:t>
            </w:r>
          </w:p>
        </w:tc>
        <w:tc>
          <w:tcPr>
            <w:tcW w:w="3009" w:type="dxa"/>
          </w:tcPr>
          <w:p w14:paraId="30549488" w14:textId="77777777" w:rsidR="00651853" w:rsidRPr="009A515A" w:rsidRDefault="00000000">
            <w:r w:rsidRPr="009A515A">
              <w:t>I would speak positively about this brand to others.</w:t>
            </w:r>
          </w:p>
        </w:tc>
      </w:tr>
      <w:tr w:rsidR="00651853" w:rsidRPr="009A515A" w14:paraId="79D29AF8" w14:textId="77777777">
        <w:tc>
          <w:tcPr>
            <w:tcW w:w="3009" w:type="dxa"/>
          </w:tcPr>
          <w:p w14:paraId="30723548" w14:textId="77777777" w:rsidR="00651853" w:rsidRPr="009A515A" w:rsidRDefault="00651853"/>
        </w:tc>
        <w:tc>
          <w:tcPr>
            <w:tcW w:w="3009" w:type="dxa"/>
          </w:tcPr>
          <w:p w14:paraId="2872D6B0" w14:textId="77777777" w:rsidR="00651853" w:rsidRPr="009A515A" w:rsidRDefault="00000000">
            <w:r w:rsidRPr="009A515A">
              <w:t>BSUC_4</w:t>
            </w:r>
          </w:p>
        </w:tc>
        <w:tc>
          <w:tcPr>
            <w:tcW w:w="3009" w:type="dxa"/>
          </w:tcPr>
          <w:p w14:paraId="58A2D502" w14:textId="77777777" w:rsidR="00651853" w:rsidRPr="009A515A" w:rsidRDefault="00000000">
            <w:r w:rsidRPr="009A515A">
              <w:t>The brand has a competitive advantage in the metaverse.</w:t>
            </w:r>
          </w:p>
        </w:tc>
      </w:tr>
    </w:tbl>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0FEE2DD3" w14:textId="77777777" w:rsidR="001F4649" w:rsidRPr="009A515A" w:rsidRDefault="001F4649" w:rsidP="00D05FD0">
      <w:pPr>
        <w:shd w:val="clear" w:color="auto" w:fill="FFFFFF" w:themeFill="background1"/>
        <w:spacing w:line="360" w:lineRule="auto"/>
        <w:ind w:left="720" w:hanging="720"/>
        <w:jc w:val="both"/>
      </w:pPr>
      <w:bookmarkStart w:id="2" w:name="_Hlk199329179"/>
      <w:r w:rsidRPr="009A515A">
        <w:t>Agnihotri</w:t>
      </w:r>
      <w:bookmarkEnd w:id="2"/>
      <w:r w:rsidRPr="009A515A">
        <w:t>, R. (2020). Social media, customer engagement, and sales organizations: A research agenda. </w:t>
      </w:r>
      <w:r w:rsidRPr="009A515A">
        <w:rPr>
          <w:i/>
          <w:iCs/>
        </w:rPr>
        <w:t>Industrial Marketing Management</w:t>
      </w:r>
      <w:r w:rsidRPr="009A515A">
        <w:t>, </w:t>
      </w:r>
      <w:r w:rsidRPr="009A515A">
        <w:rPr>
          <w:i/>
          <w:iCs/>
        </w:rPr>
        <w:t>90</w:t>
      </w:r>
      <w:r w:rsidRPr="009A515A">
        <w:t>, 291-299.</w:t>
      </w:r>
    </w:p>
    <w:p w14:paraId="3F60A18A" w14:textId="77777777" w:rsidR="001F4649" w:rsidRPr="009A515A" w:rsidRDefault="001F4649" w:rsidP="00D05FD0">
      <w:pPr>
        <w:shd w:val="clear" w:color="auto" w:fill="FFFFFF" w:themeFill="background1"/>
        <w:spacing w:line="360" w:lineRule="auto"/>
        <w:ind w:left="720" w:hanging="720"/>
        <w:jc w:val="both"/>
      </w:pPr>
      <w:bookmarkStart w:id="3" w:name="_Hlk199425535"/>
      <w:proofErr w:type="spellStart"/>
      <w:r w:rsidRPr="009A515A">
        <w:t>Alshater</w:t>
      </w:r>
      <w:bookmarkEnd w:id="3"/>
      <w:proofErr w:type="spellEnd"/>
      <w:r w:rsidRPr="009A515A">
        <w:t>, M. M., Nasrallah, N., Khoury, R., and Joshipura, M. (2024). Deciphering the world of NFTs: a scholarly review of trends, challenges, and opportunities. </w:t>
      </w:r>
      <w:r w:rsidRPr="009A515A">
        <w:rPr>
          <w:i/>
          <w:iCs/>
        </w:rPr>
        <w:t>Electronic Commerce Research</w:t>
      </w:r>
      <w:r w:rsidRPr="009A515A">
        <w:t>, 1-57.</w:t>
      </w:r>
    </w:p>
    <w:p w14:paraId="7921F336" w14:textId="77777777" w:rsidR="001F4649" w:rsidRPr="009A515A" w:rsidRDefault="001F4649" w:rsidP="00D05FD0">
      <w:pPr>
        <w:shd w:val="clear" w:color="auto" w:fill="FFFFFF" w:themeFill="background1"/>
        <w:spacing w:line="360" w:lineRule="auto"/>
        <w:ind w:left="720" w:hanging="720"/>
        <w:jc w:val="both"/>
      </w:pPr>
      <w:r w:rsidRPr="009A515A">
        <w:t xml:space="preserve">Anderson, K. C., Hansen, H., and </w:t>
      </w:r>
      <w:proofErr w:type="spellStart"/>
      <w:r w:rsidRPr="009A515A">
        <w:t>Laverie</w:t>
      </w:r>
      <w:proofErr w:type="spellEnd"/>
      <w:r w:rsidRPr="009A515A">
        <w:t>, D. (2024). Technology has Agency too! Disentangling Technology's Causal and Structural Agency in a Service System.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 xml:space="preserve">Arya, V., Sethi, D., and </w:t>
      </w:r>
      <w:proofErr w:type="spellStart"/>
      <w:r w:rsidRPr="009A515A">
        <w:t>Hollebeek</w:t>
      </w:r>
      <w:proofErr w:type="spellEnd"/>
      <w:r w:rsidRPr="009A515A">
        <w:t>,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t>Bilgihan</w:t>
      </w:r>
      <w:proofErr w:type="spellEnd"/>
      <w:r w:rsidRPr="009A515A">
        <w:rPr>
          <w:color w:val="000000" w:themeColor="text1"/>
        </w:rPr>
        <w:t>,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4" w:name="_Hlk199423080"/>
      <w:r w:rsidRPr="009A515A">
        <w:t xml:space="preserve">Brandes, L., and </w:t>
      </w:r>
      <w:proofErr w:type="spellStart"/>
      <w:r w:rsidRPr="009A515A">
        <w:t>Dölp</w:t>
      </w:r>
      <w:proofErr w:type="spellEnd"/>
      <w:r w:rsidRPr="009A515A">
        <w:t>, K. (2025)</w:t>
      </w:r>
      <w:bookmarkEnd w:id="4"/>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w:t>
      </w:r>
      <w:proofErr w:type="spellStart"/>
      <w:r w:rsidRPr="009A515A">
        <w:rPr>
          <w:color w:val="000000" w:themeColor="text1"/>
        </w:rPr>
        <w:t>Hollebeek</w:t>
      </w:r>
      <w:proofErr w:type="spellEnd"/>
      <w:r w:rsidRPr="009A515A">
        <w:rPr>
          <w:color w:val="000000" w:themeColor="text1"/>
        </w:rPr>
        <w:t xml:space="preserve">,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5" w:name="_Hlk199422160"/>
      <w:r w:rsidRPr="009A515A">
        <w:t>Brouard</w:t>
      </w:r>
      <w:bookmarkEnd w:id="5"/>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proofErr w:type="spellStart"/>
      <w:r w:rsidRPr="009A515A">
        <w:rPr>
          <w:lang w:val="fr-FR"/>
        </w:rPr>
        <w:t>Buhalis</w:t>
      </w:r>
      <w:proofErr w:type="spellEnd"/>
      <w:r w:rsidRPr="009A515A">
        <w:rPr>
          <w:lang w:val="fr-FR"/>
        </w:rPr>
        <w:t xml:space="preserve">, D., Leung, D., and Lin, M. (2023). </w:t>
      </w:r>
      <w:r w:rsidRPr="009A515A">
        <w:t>Metaverse as a disruptive technology revolutionising tourism management and marketing. </w:t>
      </w:r>
      <w:r w:rsidRPr="009A515A">
        <w:rPr>
          <w:i/>
          <w:iCs/>
        </w:rPr>
        <w:t>Tourism management</w:t>
      </w:r>
      <w:r w:rsidRPr="009A515A">
        <w:t>, </w:t>
      </w:r>
      <w:r w:rsidRPr="009A515A">
        <w:rPr>
          <w:i/>
          <w:iCs/>
        </w:rPr>
        <w:t>97</w:t>
      </w:r>
      <w:r w:rsidRPr="009A515A">
        <w:t>,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6" w:name="_Hlk199421309"/>
      <w:r w:rsidRPr="009A515A">
        <w:t>Cadet</w:t>
      </w:r>
      <w:bookmarkEnd w:id="6"/>
      <w:r w:rsidRPr="009A515A">
        <w:t xml:space="preserve">, L. B., and </w:t>
      </w:r>
      <w:bookmarkStart w:id="7" w:name="_Hlk199421317"/>
      <w:proofErr w:type="spellStart"/>
      <w:r w:rsidRPr="009A515A">
        <w:t>Chainay</w:t>
      </w:r>
      <w:bookmarkEnd w:id="7"/>
      <w:proofErr w:type="spellEnd"/>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Chandra, S., Verma, S., Lim, W. M., Kumar, S., and </w:t>
      </w:r>
      <w:proofErr w:type="spellStart"/>
      <w:r w:rsidRPr="009A515A">
        <w:rPr>
          <w:color w:val="000000" w:themeColor="text1"/>
        </w:rPr>
        <w:t>Donthu</w:t>
      </w:r>
      <w:proofErr w:type="spellEnd"/>
      <w:r w:rsidRPr="009A515A">
        <w:rPr>
          <w:color w:val="000000" w:themeColor="text1"/>
        </w:rPr>
        <w:t>,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 xml:space="preserve">Acta </w:t>
      </w:r>
      <w:proofErr w:type="spellStart"/>
      <w:r w:rsidRPr="009A515A">
        <w:rPr>
          <w:i/>
          <w:iCs/>
          <w:color w:val="000000" w:themeColor="text1"/>
        </w:rPr>
        <w:t>Psychologica</w:t>
      </w:r>
      <w:proofErr w:type="spellEnd"/>
      <w:r w:rsidRPr="009A515A">
        <w:rPr>
          <w:color w:val="000000" w:themeColor="text1"/>
        </w:rPr>
        <w:t>, </w:t>
      </w:r>
      <w:r w:rsidRPr="009A515A">
        <w:rPr>
          <w:i/>
          <w:iCs/>
          <w:color w:val="000000" w:themeColor="text1"/>
        </w:rPr>
        <w:t>248</w:t>
      </w:r>
      <w:r w:rsidRPr="009A515A">
        <w:rPr>
          <w:color w:val="000000" w:themeColor="text1"/>
        </w:rPr>
        <w:t>, 104424.</w:t>
      </w:r>
    </w:p>
    <w:p w14:paraId="080C52FB"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24230"/>
      <w:r w:rsidRPr="009A515A">
        <w:rPr>
          <w:color w:val="000000" w:themeColor="text1"/>
        </w:rPr>
        <w:t>Corne</w:t>
      </w:r>
      <w:bookmarkEnd w:id="8"/>
      <w:r w:rsidRPr="009A515A">
        <w:rPr>
          <w:color w:val="000000" w:themeColor="text1"/>
        </w:rPr>
        <w:t xml:space="preserve">, A., Massot, V., and </w:t>
      </w:r>
      <w:proofErr w:type="spellStart"/>
      <w:r w:rsidRPr="009A515A">
        <w:rPr>
          <w:color w:val="000000" w:themeColor="text1"/>
        </w:rPr>
        <w:t>Merasli</w:t>
      </w:r>
      <w:proofErr w:type="spellEnd"/>
      <w:r w:rsidRPr="009A515A">
        <w:rPr>
          <w:color w:val="000000" w:themeColor="text1"/>
        </w:rPr>
        <w:t>, S. (2023). The determinants of the adoption of blockchain technology in the tourism sector and metaverse perspectives. </w:t>
      </w:r>
      <w:r w:rsidRPr="009A515A">
        <w:rPr>
          <w:i/>
          <w:iCs/>
          <w:color w:val="000000" w:themeColor="text1"/>
        </w:rPr>
        <w:t>Information Technology and Tourism</w:t>
      </w:r>
      <w:r w:rsidRPr="009A515A">
        <w:rPr>
          <w:color w:val="000000" w:themeColor="text1"/>
        </w:rPr>
        <w:t>, </w:t>
      </w:r>
      <w:r w:rsidRPr="009A515A">
        <w:rPr>
          <w:i/>
          <w:iCs/>
          <w:color w:val="000000" w:themeColor="text1"/>
        </w:rPr>
        <w:t>25</w:t>
      </w:r>
      <w:r w:rsidRPr="009A515A">
        <w:rPr>
          <w:color w:val="000000" w:themeColor="text1"/>
        </w:rPr>
        <w:t>(4), 605-633.</w:t>
      </w:r>
    </w:p>
    <w:p w14:paraId="5BD82D04" w14:textId="77777777" w:rsidR="001F4649" w:rsidRPr="009A515A" w:rsidRDefault="001F4649" w:rsidP="00D05FD0">
      <w:pPr>
        <w:shd w:val="clear" w:color="auto" w:fill="FFFFFF" w:themeFill="background1"/>
        <w:spacing w:line="360" w:lineRule="auto"/>
        <w:ind w:left="720" w:hanging="720"/>
        <w:jc w:val="both"/>
      </w:pPr>
      <w:bookmarkStart w:id="9" w:name="_Hlk199355299"/>
      <w:r w:rsidRPr="009A515A">
        <w:t>Csikszentmihalyi</w:t>
      </w:r>
      <w:bookmarkEnd w:id="9"/>
      <w:r w:rsidRPr="009A515A">
        <w:t>, M., Montijo, M. N., and Mouton, A. R. (2018). Flow theory: Optimizing elite performance in the creative realm. In S. I. Pfeiffer, E. Shaunessy-Dedrick, and M. Foley-Nicpon (Eds.), APA handbook of giftedness and talent (pp. 215–229). American Psychological Association.</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Mihaly. (1990). Flow: The Psychology of Optimal Experience. </w:t>
      </w:r>
      <w:r w:rsidRPr="009A515A">
        <w:rPr>
          <w:i/>
          <w:iCs/>
        </w:rPr>
        <w:t>Journal of Leisure Research</w:t>
      </w:r>
      <w:r w:rsidRPr="009A515A">
        <w:t>, 24(1), pp.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10" w:name="_Hlk199324780"/>
      <w:proofErr w:type="spellStart"/>
      <w:r w:rsidRPr="009A515A">
        <w:t>Daassi</w:t>
      </w:r>
      <w:bookmarkEnd w:id="10"/>
      <w:proofErr w:type="spellEnd"/>
      <w:r w:rsidRPr="009A515A">
        <w:t xml:space="preserve">, M., and </w:t>
      </w:r>
      <w:proofErr w:type="spellStart"/>
      <w:r w:rsidRPr="009A515A">
        <w:t>Debbabi</w:t>
      </w:r>
      <w:proofErr w:type="spellEnd"/>
      <w:r w:rsidRPr="009A515A">
        <w:t>,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lastRenderedPageBreak/>
        <w:t xml:space="preserve">Deci, E. L., and Ryan, R. M. (2000). The “What” and “Why” of Goal Pursuits: Human Needs and the Self-Determination of </w:t>
      </w:r>
      <w:proofErr w:type="spellStart"/>
      <w:r w:rsidRPr="009A515A">
        <w:rPr>
          <w:rFonts w:eastAsia="inter"/>
          <w:bCs/>
          <w:color w:val="000000"/>
          <w:sz w:val="22"/>
        </w:rPr>
        <w:t>Behavior</w:t>
      </w:r>
      <w:proofErr w:type="spellEnd"/>
      <w:r w:rsidRPr="009A515A">
        <w:rPr>
          <w:rFonts w:eastAsia="inter"/>
          <w:bCs/>
          <w:color w:val="000000"/>
          <w:sz w:val="22"/>
        </w:rPr>
        <w:t>.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1"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11"/>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Duong, C. D., Ngo, T. V. N., Khuc, T. A., Tran, N. M., and Nguyen, T. P. T. (2025). </w:t>
      </w:r>
      <w:proofErr w:type="spellStart"/>
      <w:r w:rsidRPr="009A515A">
        <w:rPr>
          <w:color w:val="000000" w:themeColor="text1"/>
        </w:rPr>
        <w:t>Unraveling</w:t>
      </w:r>
      <w:proofErr w:type="spellEnd"/>
      <w:r w:rsidRPr="009A515A">
        <w:rPr>
          <w:color w:val="000000" w:themeColor="text1"/>
        </w:rPr>
        <w:t xml:space="preserve">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2" w:name="_Hlk199415064"/>
      <w:r w:rsidRPr="009A515A">
        <w:rPr>
          <w:color w:val="000000" w:themeColor="text1"/>
        </w:rPr>
        <w:t>Dwivedi</w:t>
      </w:r>
      <w:bookmarkEnd w:id="12"/>
      <w:r w:rsidRPr="009A515A">
        <w:rPr>
          <w:color w:val="000000" w:themeColor="text1"/>
        </w:rPr>
        <w:t xml:space="preserve">, Y. K., Hughes, L., Wang, Y., </w:t>
      </w:r>
      <w:proofErr w:type="spellStart"/>
      <w:r w:rsidRPr="009A515A">
        <w:rPr>
          <w:color w:val="000000" w:themeColor="text1"/>
        </w:rPr>
        <w:t>Alalwan</w:t>
      </w:r>
      <w:proofErr w:type="spellEnd"/>
      <w:r w:rsidRPr="009A515A">
        <w:rPr>
          <w:color w:val="000000" w:themeColor="text1"/>
        </w:rPr>
        <w:t>,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t xml:space="preserve">Eggenschwiler, M., </w:t>
      </w:r>
      <w:proofErr w:type="spellStart"/>
      <w:r w:rsidRPr="009A515A">
        <w:t>Linzmajer</w:t>
      </w:r>
      <w:proofErr w:type="spellEnd"/>
      <w:r w:rsidRPr="009A515A">
        <w:t>,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6CD561AB" w14:textId="77777777" w:rsidR="001F4649" w:rsidRPr="009A515A" w:rsidRDefault="001F4649" w:rsidP="00D05FD0">
      <w:pPr>
        <w:shd w:val="clear" w:color="auto" w:fill="FFFFFF" w:themeFill="background1"/>
        <w:spacing w:line="360" w:lineRule="auto"/>
        <w:ind w:left="720" w:hanging="720"/>
        <w:jc w:val="both"/>
      </w:pPr>
      <w:bookmarkStart w:id="13" w:name="_Hlk199324225"/>
      <w:r w:rsidRPr="009A515A">
        <w:t>Fan</w:t>
      </w:r>
      <w:bookmarkEnd w:id="13"/>
      <w:r w:rsidRPr="009A515A">
        <w:t>, X., Jiang, X., and Deng, N. (2022). Immersive technology: A meta-analysis of augmented/virtual reality applications and their impact on tourism experience. </w:t>
      </w:r>
      <w:r w:rsidRPr="009A515A">
        <w:rPr>
          <w:i/>
          <w:iCs/>
        </w:rPr>
        <w:t>Tourism Management</w:t>
      </w:r>
      <w:r w:rsidRPr="009A515A">
        <w:t>, </w:t>
      </w:r>
      <w:r w:rsidRPr="009A515A">
        <w:rPr>
          <w:i/>
          <w:iCs/>
        </w:rPr>
        <w:t>91</w:t>
      </w:r>
      <w:r w:rsidRPr="009A515A">
        <w:t>, 104534.</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 xml:space="preserve">Fornell, Claes, Michael D. Johnson, Eugene W. Anderson, </w:t>
      </w:r>
      <w:proofErr w:type="spellStart"/>
      <w:r w:rsidRPr="009A515A">
        <w:t>Jaesung</w:t>
      </w:r>
      <w:proofErr w:type="spellEnd"/>
      <w:r w:rsidRPr="009A515A">
        <w:t xml:space="preserve"> Cha, and Barbara Everitt Bryant. "The American customer satisfaction index: nature, purpose, and findings." </w:t>
      </w:r>
      <w:r w:rsidRPr="009A515A">
        <w:rPr>
          <w:i/>
          <w:iCs/>
        </w:rPr>
        <w:t>Journal of Marketing</w:t>
      </w:r>
      <w:r w:rsidRPr="009A515A">
        <w:t> 60, no. 4 (1996): 7-18.</w:t>
      </w:r>
    </w:p>
    <w:p w14:paraId="1DEA3E26" w14:textId="77777777" w:rsidR="001F4649" w:rsidRPr="009A515A" w:rsidRDefault="001F4649" w:rsidP="00D05FD0">
      <w:pPr>
        <w:shd w:val="clear" w:color="auto" w:fill="FFFFFF" w:themeFill="background1"/>
        <w:spacing w:line="360" w:lineRule="auto"/>
        <w:ind w:left="720" w:hanging="720"/>
        <w:jc w:val="both"/>
      </w:pPr>
      <w:bookmarkStart w:id="14" w:name="_Hlk199425029"/>
      <w:r w:rsidRPr="009A515A">
        <w:t>Fritze</w:t>
      </w:r>
      <w:bookmarkEnd w:id="14"/>
      <w:r w:rsidRPr="009A515A">
        <w:t xml:space="preserve">, M. P., Marchand, A., Eisingerich, A. B., and </w:t>
      </w:r>
      <w:proofErr w:type="spellStart"/>
      <w:r w:rsidRPr="009A515A">
        <w:t>Benkenstein</w:t>
      </w:r>
      <w:proofErr w:type="spellEnd"/>
      <w:r w:rsidRPr="009A515A">
        <w:t>, M. (2020). Access-based services as substitutes for material possessions: the role of psychological ownership. </w:t>
      </w:r>
      <w:r w:rsidRPr="009A515A">
        <w:rPr>
          <w:i/>
          <w:iCs/>
        </w:rPr>
        <w:t>Journal of Service Research</w:t>
      </w:r>
      <w:r w:rsidRPr="009A515A">
        <w:t>, </w:t>
      </w:r>
      <w:r w:rsidRPr="009A515A">
        <w:rPr>
          <w:i/>
          <w:iCs/>
        </w:rPr>
        <w:t>23</w:t>
      </w:r>
      <w:r w:rsidRPr="009A515A">
        <w:t>(3), 368-385.</w:t>
      </w:r>
    </w:p>
    <w:p w14:paraId="3E5EFC11" w14:textId="77777777" w:rsidR="001F4649" w:rsidRPr="009A515A" w:rsidRDefault="001F4649" w:rsidP="00D05FD0">
      <w:pPr>
        <w:shd w:val="clear" w:color="auto" w:fill="FFFFFF" w:themeFill="background1"/>
        <w:spacing w:line="360" w:lineRule="auto"/>
        <w:ind w:left="720" w:hanging="720"/>
        <w:jc w:val="both"/>
      </w:pPr>
      <w:r w:rsidRPr="009A515A">
        <w:t xml:space="preserve">Furnari, S., Crilly, D., </w:t>
      </w:r>
      <w:proofErr w:type="spellStart"/>
      <w:r w:rsidRPr="009A515A">
        <w:t>Misangyi</w:t>
      </w:r>
      <w:proofErr w:type="spellEnd"/>
      <w:r w:rsidRPr="009A515A">
        <w:t xml:space="preserve">, V. F., </w:t>
      </w:r>
      <w:proofErr w:type="spellStart"/>
      <w:r w:rsidRPr="009A515A">
        <w:t>Greckhamer</w:t>
      </w:r>
      <w:proofErr w:type="spellEnd"/>
      <w:r w:rsidRPr="009A515A">
        <w:t>, T., Fiss, P. C., and Aguilera, R. V. (2021). Capturing causal complexity: Heuristics for configurational theorizing. </w:t>
      </w:r>
      <w:r w:rsidRPr="009A515A">
        <w:rPr>
          <w:i/>
          <w:iCs/>
        </w:rPr>
        <w:t>Academy of Management Review</w:t>
      </w:r>
      <w:r w:rsidRPr="009A515A">
        <w:t>, </w:t>
      </w:r>
      <w:r w:rsidRPr="009A515A">
        <w:rPr>
          <w:i/>
          <w:iCs/>
        </w:rPr>
        <w:t>46</w:t>
      </w:r>
      <w:r w:rsidRPr="009A515A">
        <w:t>(4), 778-799.</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5" w:name="_Hlk199356732"/>
      <w:proofErr w:type="spellStart"/>
      <w:r w:rsidRPr="009A515A">
        <w:rPr>
          <w:color w:val="000000" w:themeColor="text1"/>
          <w:lang w:val="fr-FR"/>
        </w:rPr>
        <w:lastRenderedPageBreak/>
        <w:t>Habachi</w:t>
      </w:r>
      <w:bookmarkEnd w:id="15"/>
      <w:proofErr w:type="spellEnd"/>
      <w:r w:rsidRPr="009A515A">
        <w:rPr>
          <w:color w:val="000000" w:themeColor="text1"/>
          <w:lang w:val="fr-FR"/>
        </w:rPr>
        <w:t xml:space="preserve">, S., Matute, J., and Palau-Saumell, R. (2024). </w:t>
      </w:r>
      <w:r w:rsidRPr="009A515A">
        <w:rPr>
          <w:color w:val="000000" w:themeColor="text1"/>
        </w:rPr>
        <w:t xml:space="preserve">Gamify, engage, build loyalty: exploring the benefits of </w:t>
      </w:r>
      <w:proofErr w:type="spellStart"/>
      <w:r w:rsidRPr="009A515A">
        <w:rPr>
          <w:color w:val="000000" w:themeColor="text1"/>
        </w:rPr>
        <w:t>gameful</w:t>
      </w:r>
      <w:proofErr w:type="spellEnd"/>
      <w:r w:rsidRPr="009A515A">
        <w:rPr>
          <w:color w:val="000000" w:themeColor="text1"/>
        </w:rPr>
        <w:t xml:space="preserve">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526417E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Jr., J.F., Black, W.C., Babin, B.J. and Anderson, R.E. (2010) Multivariate Data Analysis. 7th Edition, Prentice Hall, Upper Saddle River, 761.</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w:t>
      </w:r>
      <w:r w:rsidRPr="009A515A">
        <w:rPr>
          <w:i/>
          <w:iCs/>
          <w:color w:val="000000" w:themeColor="text1"/>
        </w:rPr>
        <w:t>European business review</w:t>
      </w:r>
      <w:r w:rsidRPr="009A515A">
        <w:rPr>
          <w:color w:val="000000" w:themeColor="text1"/>
        </w:rPr>
        <w:t>, </w:t>
      </w:r>
      <w:r w:rsidRPr="009A515A">
        <w:rPr>
          <w:i/>
          <w:iCs/>
          <w:color w:val="000000" w:themeColor="text1"/>
        </w:rPr>
        <w:t>31</w:t>
      </w:r>
      <w:r w:rsidRPr="009A515A">
        <w:rPr>
          <w:color w:val="000000" w:themeColor="text1"/>
        </w:rPr>
        <w:t>(1),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 xml:space="preserve">Hennig-Thurau, T., Aliman, D. N., Herting, A. M., </w:t>
      </w:r>
      <w:proofErr w:type="spellStart"/>
      <w:r w:rsidRPr="009A515A">
        <w:t>Cziehso</w:t>
      </w:r>
      <w:proofErr w:type="spellEnd"/>
      <w:r w:rsidRPr="009A515A">
        <w:t>,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 xml:space="preserve">Henseler, J., Ringle, C. M., &amp; Sarstedt, M. (2015). A new criterion for assessing discriminant validity in variance-based structural equation </w:t>
      </w:r>
      <w:proofErr w:type="spellStart"/>
      <w:r w:rsidRPr="009A515A">
        <w:t>modeling</w:t>
      </w:r>
      <w:proofErr w:type="spellEnd"/>
      <w:r w:rsidRPr="009A515A">
        <w:t>. Journal of the academy of marketing science, 43(1), 115-135.</w:t>
      </w:r>
    </w:p>
    <w:p w14:paraId="30D2A4E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Hsieh, J. K., and Tsao, W. C. (2019). Engaging Consumers with Branded Social Media: The Impact of Social Identification, Personal Identification, And Interactivity. </w:t>
      </w:r>
      <w:r w:rsidRPr="009A515A">
        <w:rPr>
          <w:i/>
          <w:iCs/>
          <w:color w:val="000000" w:themeColor="text1"/>
        </w:rPr>
        <w:t>Journal of Business Research</w:t>
      </w:r>
      <w:r w:rsidRPr="009A515A">
        <w:rPr>
          <w:color w:val="000000" w:themeColor="text1"/>
        </w:rPr>
        <w:t>, 96, 382-391.</w:t>
      </w:r>
    </w:p>
    <w:p w14:paraId="1C0C0117"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Huang, Z., and Benyoucef, M. (2013). From E-Commerce to Social Commerce: A Close Look at Design Features. </w:t>
      </w:r>
      <w:r w:rsidRPr="009A515A">
        <w:rPr>
          <w:i/>
          <w:iCs/>
          <w:color w:val="000000" w:themeColor="text1"/>
        </w:rPr>
        <w:t>Electronic Commerce Research and Applications</w:t>
      </w:r>
      <w:r w:rsidRPr="009A515A">
        <w:rPr>
          <w:color w:val="000000" w:themeColor="text1"/>
        </w:rPr>
        <w:t>, 12(4), 246-259.</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w:t>
      </w:r>
      <w:proofErr w:type="spellStart"/>
      <w:r w:rsidRPr="009A515A">
        <w:rPr>
          <w:i/>
          <w:iCs/>
          <w:lang w:val="fr-FR"/>
        </w:rPr>
        <w:t>RandD</w:t>
      </w:r>
      <w:proofErr w:type="spellEnd"/>
      <w:r w:rsidRPr="009A515A">
        <w:rPr>
          <w:i/>
          <w:iCs/>
          <w:lang w:val="fr-FR"/>
        </w:rPr>
        <w:t xml:space="preserve"> Management</w:t>
      </w:r>
      <w:r w:rsidRPr="009A515A">
        <w:rPr>
          <w:lang w:val="fr-FR"/>
        </w:rPr>
        <w:t>, </w:t>
      </w:r>
      <w:r w:rsidRPr="009A515A">
        <w:rPr>
          <w:i/>
          <w:iCs/>
          <w:lang w:val="fr-FR"/>
        </w:rPr>
        <w:t>55</w:t>
      </w:r>
      <w:r w:rsidRPr="009A515A">
        <w:rPr>
          <w:lang w:val="fr-FR"/>
        </w:rPr>
        <w:t>(2), 420-437.</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6" w:name="_Hlk207269168"/>
      <w:r w:rsidRPr="009A515A">
        <w:rPr>
          <w:rFonts w:eastAsia="inter"/>
          <w:bCs/>
          <w:color w:val="000000"/>
          <w:sz w:val="22"/>
        </w:rPr>
        <w:t>Hyeon Jo, Jae Kwang Lee</w:t>
      </w:r>
      <w:bookmarkEnd w:id="16"/>
      <w:r w:rsidRPr="009A515A">
        <w:rPr>
          <w:rFonts w:eastAsia="inter"/>
          <w:bCs/>
          <w:color w:val="000000"/>
          <w:sz w:val="22"/>
        </w:rPr>
        <w:t>; Key Drivers of User Engagement in Game-Based Metaverses: Enjoyment, Escapism, Reward, and Spontaneity. </w:t>
      </w:r>
      <w:r w:rsidRPr="009A515A">
        <w:rPr>
          <w:rFonts w:eastAsia="inter"/>
          <w:bCs/>
          <w:i/>
          <w:iCs/>
          <w:color w:val="000000"/>
          <w:sz w:val="22"/>
        </w:rPr>
        <w:t>PRESENCE: Virtual and Augmented Reality</w:t>
      </w:r>
      <w:r w:rsidRPr="009A515A">
        <w:rPr>
          <w:rFonts w:eastAsia="inter"/>
          <w:bCs/>
          <w:color w:val="000000"/>
          <w:sz w:val="22"/>
        </w:rPr>
        <w:t> 2025; 34 219–241.</w:t>
      </w:r>
    </w:p>
    <w:p w14:paraId="029504BF" w14:textId="77777777" w:rsidR="001F4649" w:rsidRPr="009A515A" w:rsidRDefault="001F4649" w:rsidP="00D05FD0">
      <w:pPr>
        <w:shd w:val="clear" w:color="auto" w:fill="FFFFFF" w:themeFill="background1"/>
        <w:spacing w:line="360" w:lineRule="auto"/>
        <w:ind w:left="720" w:hanging="720"/>
        <w:jc w:val="both"/>
      </w:pPr>
      <w:bookmarkStart w:id="17" w:name="_Hlk199329375"/>
      <w:proofErr w:type="spellStart"/>
      <w:r w:rsidRPr="009A515A">
        <w:rPr>
          <w:lang w:val="fr-FR"/>
        </w:rPr>
        <w:t>İlkan</w:t>
      </w:r>
      <w:bookmarkEnd w:id="17"/>
      <w:proofErr w:type="spellEnd"/>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073BE960" w14:textId="77777777" w:rsidR="001F4649" w:rsidRPr="009A515A" w:rsidRDefault="001F4649" w:rsidP="00D05FD0">
      <w:pPr>
        <w:shd w:val="clear" w:color="auto" w:fill="FFFFFF" w:themeFill="background1"/>
        <w:spacing w:line="360" w:lineRule="auto"/>
        <w:ind w:left="720" w:hanging="720"/>
        <w:jc w:val="both"/>
      </w:pPr>
      <w:r w:rsidRPr="009A515A">
        <w:lastRenderedPageBreak/>
        <w:t xml:space="preserve">Kenton, W. (2023, January 31). </w:t>
      </w:r>
      <w:proofErr w:type="spellStart"/>
      <w:r w:rsidRPr="009A515A">
        <w:rPr>
          <w:i/>
          <w:iCs/>
        </w:rPr>
        <w:t>Macromarketing</w:t>
      </w:r>
      <w:proofErr w:type="spellEnd"/>
      <w:r w:rsidRPr="009A515A">
        <w:rPr>
          <w:i/>
          <w:iCs/>
        </w:rPr>
        <w:t>: Meaning Compared to Micromarketing</w:t>
      </w:r>
      <w:r w:rsidRPr="009A515A">
        <w:t xml:space="preserve">. Investopedia. Accessed on June 2024, available at: </w:t>
      </w:r>
      <w:hyperlink r:id="rId14" w:history="1">
        <w:r w:rsidRPr="009A515A">
          <w:rPr>
            <w:rStyle w:val="Hyperlink"/>
          </w:rPr>
          <w:t>https://www.investopedia.com/terms/m/macromarketing.asp</w:t>
        </w:r>
      </w:hyperlink>
      <w:r w:rsidRPr="009A515A">
        <w:t xml:space="preserve"> </w:t>
      </w:r>
    </w:p>
    <w:p w14:paraId="2074C17F" w14:textId="77777777" w:rsidR="001F4649" w:rsidRPr="009A515A" w:rsidRDefault="001F4649" w:rsidP="00D05FD0">
      <w:pPr>
        <w:shd w:val="clear" w:color="auto" w:fill="FFFFFF" w:themeFill="background1"/>
        <w:spacing w:line="360" w:lineRule="auto"/>
        <w:ind w:left="720" w:hanging="720"/>
        <w:jc w:val="both"/>
      </w:pPr>
      <w:r w:rsidRPr="009A515A">
        <w:t xml:space="preserve">Kline, R. B. (2023). </w:t>
      </w:r>
      <w:r w:rsidRPr="009A515A">
        <w:rPr>
          <w:rStyle w:val="Emphasis"/>
        </w:rPr>
        <w:t xml:space="preserve">Principles and practice of structural equation </w:t>
      </w:r>
      <w:proofErr w:type="spellStart"/>
      <w:r w:rsidRPr="009A515A">
        <w:rPr>
          <w:rStyle w:val="Emphasis"/>
        </w:rPr>
        <w:t>modeling</w:t>
      </w:r>
      <w:proofErr w:type="spellEnd"/>
      <w:r w:rsidRPr="009A515A">
        <w:t xml:space="preserve"> (5th ed.). The Guilford Press, A Division of Guilford Publications, Inc., 370 Seventh Avenue, Suite 1200, New York, NY 10001.</w:t>
      </w:r>
    </w:p>
    <w:p w14:paraId="3A2FF2C3" w14:textId="77777777" w:rsidR="001F4649" w:rsidRPr="009A515A" w:rsidRDefault="001F4649" w:rsidP="00D05FD0">
      <w:pPr>
        <w:shd w:val="clear" w:color="auto" w:fill="FFFFFF" w:themeFill="background1"/>
        <w:spacing w:line="360" w:lineRule="auto"/>
        <w:ind w:left="720" w:hanging="720"/>
        <w:jc w:val="both"/>
      </w:pPr>
      <w:proofErr w:type="spellStart"/>
      <w:r w:rsidRPr="009A515A">
        <w:t>Koohang</w:t>
      </w:r>
      <w:proofErr w:type="spellEnd"/>
      <w:r w:rsidRPr="009A515A">
        <w:t>,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proofErr w:type="spellStart"/>
      <w:r w:rsidRPr="009A515A">
        <w:t>Kopalle</w:t>
      </w:r>
      <w:proofErr w:type="spellEnd"/>
      <w:r w:rsidRPr="009A515A">
        <w:t>, P. K., Gangwar, M., and Uppal, A. (2024). Commentary on “AI is Changing the World: For Better or for Worse?”. </w:t>
      </w:r>
      <w:r w:rsidRPr="009A515A">
        <w:rPr>
          <w:i/>
          <w:iCs/>
        </w:rPr>
        <w:t xml:space="preserve">Journal of </w:t>
      </w:r>
      <w:proofErr w:type="spellStart"/>
      <w:r w:rsidRPr="009A515A">
        <w:rPr>
          <w:i/>
          <w:iCs/>
        </w:rPr>
        <w:t>Macromarketing</w:t>
      </w:r>
      <w:proofErr w:type="spellEnd"/>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proofErr w:type="spellStart"/>
      <w:r w:rsidRPr="009A515A">
        <w:t>Kozinets</w:t>
      </w:r>
      <w:proofErr w:type="spellEnd"/>
      <w:r w:rsidRPr="009A515A">
        <w:t xml:space="preserve">, R. V. (2023). Immersive </w:t>
      </w:r>
      <w:proofErr w:type="spellStart"/>
      <w:r w:rsidRPr="009A515A">
        <w:t>netnography</w:t>
      </w:r>
      <w:proofErr w:type="spellEnd"/>
      <w:r w:rsidRPr="009A515A">
        <w:t>: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04F0EDA8"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Kyriakou, T., de la Campa Crespo, M.Á., Panayiotou, A., Chrysanthou, Y., Charalambous, P. and Aristidou, A. (2024), Virtual Instrument Performances (VIP): A Comprehensive Review. </w:t>
      </w:r>
      <w:r w:rsidRPr="009A515A">
        <w:rPr>
          <w:i/>
          <w:iCs/>
          <w:color w:val="000000" w:themeColor="text1"/>
        </w:rPr>
        <w:t>Computer Graphics Forum</w:t>
      </w:r>
      <w:r w:rsidRPr="009A515A">
        <w:rPr>
          <w:color w:val="000000" w:themeColor="text1"/>
        </w:rPr>
        <w:t>, 43: e15065. </w:t>
      </w:r>
      <w:hyperlink r:id="rId15" w:history="1">
        <w:r w:rsidRPr="009A515A">
          <w:rPr>
            <w:rStyle w:val="Hyperlink"/>
          </w:rPr>
          <w:t>https://doi.org/10.1111/cgf.15065</w:t>
        </w:r>
      </w:hyperlink>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8" w:name="_Hlk199423172"/>
      <w:bookmarkStart w:id="19" w:name="_Hlk199355416"/>
      <w:r w:rsidRPr="009A515A">
        <w:t>Lee</w:t>
      </w:r>
      <w:bookmarkEnd w:id="18"/>
      <w:r w:rsidRPr="009A515A">
        <w:t xml:space="preserve">, C. T., and Shen, Y. C. (2024). </w:t>
      </w:r>
      <w:bookmarkEnd w:id="19"/>
      <w:r w:rsidRPr="009A515A">
        <w:t xml:space="preserve">Exploring determinants of non-fungible token creators’ engagement </w:t>
      </w:r>
      <w:proofErr w:type="spellStart"/>
      <w:r w:rsidRPr="009A515A">
        <w:t>behaviors</w:t>
      </w:r>
      <w:proofErr w:type="spellEnd"/>
      <w:r w:rsidRPr="009A515A">
        <w:t xml:space="preserve"> on metaverse-based NFT platforms: A multi-analytical SEM-IPMA method. </w:t>
      </w:r>
      <w:r w:rsidRPr="009A515A">
        <w:rPr>
          <w:i/>
          <w:iCs/>
        </w:rPr>
        <w:t>Journal of Business Research</w:t>
      </w:r>
      <w:r w:rsidRPr="009A515A">
        <w:t>, </w:t>
      </w:r>
      <w:r w:rsidRPr="009A515A">
        <w:rPr>
          <w:i/>
          <w:iCs/>
        </w:rPr>
        <w:t>185</w:t>
      </w:r>
      <w:r w:rsidRPr="009A515A">
        <w:t>, 114920.</w:t>
      </w:r>
    </w:p>
    <w:p w14:paraId="2B94237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0" w:name="_Hlk199354774"/>
      <w:r w:rsidRPr="009A515A">
        <w:rPr>
          <w:color w:val="000000" w:themeColor="text1"/>
        </w:rPr>
        <w:t>Li, Y., and Shang, H. (2023)</w:t>
      </w:r>
      <w:bookmarkEnd w:id="20"/>
      <w:r w:rsidRPr="009A515A">
        <w:rPr>
          <w:color w:val="000000" w:themeColor="text1"/>
        </w:rPr>
        <w:t>. How does e-government use affect citizens’ trust in government? Empirical evidence from China. </w:t>
      </w:r>
      <w:r w:rsidRPr="009A515A">
        <w:rPr>
          <w:i/>
          <w:iCs/>
          <w:color w:val="000000" w:themeColor="text1"/>
        </w:rPr>
        <w:t>Information and Management</w:t>
      </w:r>
      <w:r w:rsidRPr="009A515A">
        <w:rPr>
          <w:color w:val="000000" w:themeColor="text1"/>
        </w:rPr>
        <w:t>, </w:t>
      </w:r>
      <w:r w:rsidRPr="009A515A">
        <w:rPr>
          <w:i/>
          <w:iCs/>
          <w:color w:val="000000" w:themeColor="text1"/>
        </w:rPr>
        <w:t>60</w:t>
      </w:r>
      <w:r w:rsidRPr="009A515A">
        <w:rPr>
          <w:color w:val="000000" w:themeColor="text1"/>
        </w:rPr>
        <w:t>(7), 103844.</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 xml:space="preserve">Liang, Y., Zhang, X., Wang, H., and Liu, M. (2024). Users' Willingness To Adopt Metaverse Drawing on Flow Theory: An Empirical Study Using PLS-SEM and </w:t>
      </w:r>
      <w:proofErr w:type="spellStart"/>
      <w:r w:rsidRPr="009A515A">
        <w:rPr>
          <w:rFonts w:eastAsia="inter"/>
          <w:bCs/>
          <w:color w:val="000000"/>
          <w:sz w:val="22"/>
        </w:rPr>
        <w:t>FsQCA</w:t>
      </w:r>
      <w:proofErr w:type="spellEnd"/>
      <w:r w:rsidRPr="009A515A">
        <w:rPr>
          <w:rFonts w:eastAsia="inter"/>
          <w:bCs/>
          <w:color w:val="000000"/>
          <w:sz w:val="22"/>
        </w:rPr>
        <w:t>. </w:t>
      </w:r>
      <w:proofErr w:type="spellStart"/>
      <w:r w:rsidRPr="009A515A">
        <w:rPr>
          <w:rFonts w:eastAsia="inter"/>
          <w:bCs/>
          <w:i/>
          <w:iCs/>
          <w:color w:val="000000"/>
          <w:sz w:val="22"/>
        </w:rPr>
        <w:t>Heliyon</w:t>
      </w:r>
      <w:proofErr w:type="spellEnd"/>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SY., Lai, CY. Investigating How Immersive Virtual Reality And Active Navigation Mediate The Experience of Virtual Concerts. </w:t>
      </w:r>
      <w:r w:rsidRPr="009A515A">
        <w:rPr>
          <w:rFonts w:eastAsia="inter"/>
          <w:bCs/>
          <w:i/>
          <w:iCs/>
          <w:color w:val="000000"/>
          <w:sz w:val="22"/>
        </w:rPr>
        <w:t>Sci Rep</w:t>
      </w:r>
      <w:r w:rsidRPr="009A515A">
        <w:rPr>
          <w:rFonts w:eastAsia="inter"/>
          <w:bCs/>
          <w:color w:val="000000"/>
          <w:sz w:val="22"/>
        </w:rPr>
        <w:t> 13, 8507 (2023).</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lastRenderedPageBreak/>
        <w:t>Lu, Y., and Lau, S. K. (2025). Examining the ecological validity of VR experiments in soundscape and landscape research. </w:t>
      </w:r>
      <w:r w:rsidRPr="009A515A">
        <w:rPr>
          <w:i/>
          <w:iCs/>
          <w:color w:val="000000" w:themeColor="text1"/>
        </w:rPr>
        <w:t xml:space="preserve">Computers in Human </w:t>
      </w:r>
      <w:proofErr w:type="spellStart"/>
      <w:r w:rsidRPr="009A515A">
        <w:rPr>
          <w:i/>
          <w:iCs/>
          <w:color w:val="000000" w:themeColor="text1"/>
        </w:rPr>
        <w:t>Behavior</w:t>
      </w:r>
      <w:proofErr w:type="spellEnd"/>
      <w:r w:rsidRPr="009A515A">
        <w:rPr>
          <w:color w:val="000000" w:themeColor="text1"/>
        </w:rPr>
        <w:t>, </w:t>
      </w:r>
      <w:r w:rsidRPr="009A515A">
        <w:rPr>
          <w:i/>
          <w:iCs/>
          <w:color w:val="000000" w:themeColor="text1"/>
        </w:rPr>
        <w:t>162</w:t>
      </w:r>
      <w:r w:rsidRPr="009A515A">
        <w:rPr>
          <w:color w:val="000000" w:themeColor="text1"/>
        </w:rPr>
        <w:t>, 108462.</w:t>
      </w:r>
    </w:p>
    <w:p w14:paraId="3D2AF4A4" w14:textId="77777777" w:rsidR="001F4649" w:rsidRPr="009A515A" w:rsidRDefault="001F4649" w:rsidP="00D05FD0">
      <w:pPr>
        <w:shd w:val="clear" w:color="auto" w:fill="FFFFFF" w:themeFill="background1"/>
        <w:spacing w:line="360" w:lineRule="auto"/>
        <w:ind w:left="720" w:hanging="720"/>
        <w:jc w:val="both"/>
      </w:pPr>
      <w:bookmarkStart w:id="21" w:name="_Hlk199354311"/>
      <w:r w:rsidRPr="009A515A">
        <w:t>Lycett, M., and Radwan, O. (2019)</w:t>
      </w:r>
      <w:bookmarkEnd w:id="21"/>
      <w:r w:rsidRPr="009A515A">
        <w:t>. Developing a quality of experience (</w:t>
      </w:r>
      <w:proofErr w:type="spellStart"/>
      <w:r w:rsidRPr="009A515A">
        <w:t>QoE</w:t>
      </w:r>
      <w:proofErr w:type="spellEnd"/>
      <w:r w:rsidRPr="009A515A">
        <w:t>) model for web applications. </w:t>
      </w:r>
      <w:r w:rsidRPr="009A515A">
        <w:rPr>
          <w:i/>
          <w:iCs/>
        </w:rPr>
        <w:t>Information Systems Journal</w:t>
      </w:r>
      <w:r w:rsidRPr="009A515A">
        <w:t>, </w:t>
      </w:r>
      <w:r w:rsidRPr="009A515A">
        <w:rPr>
          <w:i/>
          <w:iCs/>
        </w:rPr>
        <w:t>29</w:t>
      </w:r>
      <w:r w:rsidRPr="009A515A">
        <w:t>(1), 175-199.</w:t>
      </w:r>
    </w:p>
    <w:p w14:paraId="33F80594" w14:textId="77777777" w:rsidR="001F4649" w:rsidRPr="009A515A" w:rsidRDefault="001F4649" w:rsidP="00D05FD0">
      <w:pPr>
        <w:shd w:val="clear" w:color="auto" w:fill="FFFFFF" w:themeFill="background1"/>
        <w:spacing w:line="360" w:lineRule="auto"/>
        <w:ind w:left="720" w:hanging="720"/>
        <w:jc w:val="both"/>
      </w:pPr>
      <w:bookmarkStart w:id="22" w:name="_Hlk199232544"/>
      <w:r w:rsidRPr="009A515A">
        <w:t>Marvi</w:t>
      </w:r>
      <w:bookmarkEnd w:id="22"/>
      <w:r w:rsidRPr="009A515A">
        <w:t xml:space="preserve">, R., Zha, D., and </w:t>
      </w:r>
      <w:proofErr w:type="spellStart"/>
      <w:r w:rsidRPr="009A515A">
        <w:t>Foroudi</w:t>
      </w:r>
      <w:proofErr w:type="spellEnd"/>
      <w:r w:rsidRPr="009A515A">
        <w:t>,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proofErr w:type="spellStart"/>
      <w:r w:rsidRPr="009A515A">
        <w:t>Mathwick</w:t>
      </w:r>
      <w:proofErr w:type="spellEnd"/>
      <w:r w:rsidRPr="009A515A">
        <w:t xml:space="preserve">, C., </w:t>
      </w:r>
      <w:proofErr w:type="spellStart"/>
      <w:r w:rsidRPr="009A515A">
        <w:t>Wiertz</w:t>
      </w:r>
      <w:proofErr w:type="spellEnd"/>
      <w:r w:rsidRPr="009A515A">
        <w:t>, C., and De Ruyter, K. (2008). Social capital production in a virtual P3 community. </w:t>
      </w:r>
      <w:r w:rsidRPr="009A515A">
        <w:rPr>
          <w:i/>
          <w:iCs/>
        </w:rPr>
        <w:t>Journal of consumer research</w:t>
      </w:r>
      <w:r w:rsidRPr="009A515A">
        <w:t>, </w:t>
      </w:r>
      <w:r w:rsidRPr="009A515A">
        <w:rPr>
          <w:i/>
          <w:iCs/>
        </w:rPr>
        <w:t>34</w:t>
      </w:r>
      <w:r w:rsidRPr="009A515A">
        <w:t>(6), 832-849.</w:t>
      </w:r>
    </w:p>
    <w:p w14:paraId="4ED5DE29" w14:textId="77777777" w:rsidR="001F4649" w:rsidRPr="009A515A" w:rsidRDefault="001F4649" w:rsidP="00D05FD0">
      <w:pPr>
        <w:shd w:val="clear" w:color="auto" w:fill="FFFFFF" w:themeFill="background1"/>
        <w:spacing w:line="360" w:lineRule="auto"/>
        <w:ind w:left="720" w:hanging="720"/>
        <w:jc w:val="both"/>
      </w:pPr>
      <w:bookmarkStart w:id="23" w:name="_Hlk199425340"/>
      <w:r w:rsidRPr="009A515A">
        <w:t>Mohammed</w:t>
      </w:r>
      <w:bookmarkEnd w:id="23"/>
      <w:r w:rsidRPr="009A515A">
        <w:t xml:space="preserve">, S. Y., Aljanabi, M., and </w:t>
      </w:r>
      <w:proofErr w:type="spellStart"/>
      <w:r w:rsidRPr="009A515A">
        <w:t>Gadekallu</w:t>
      </w:r>
      <w:proofErr w:type="spellEnd"/>
      <w:r w:rsidRPr="009A515A">
        <w:t>, T. R. (2024). Navigating the nexus: a systematic review of the symbiotic relationship between the metaverse and gaming. </w:t>
      </w:r>
      <w:r w:rsidRPr="009A515A">
        <w:rPr>
          <w:i/>
          <w:iCs/>
        </w:rPr>
        <w:t>International Journal of Cognitive Computing in Engineering</w:t>
      </w:r>
      <w:r w:rsidRPr="009A515A">
        <w:t xml:space="preserve">.  </w:t>
      </w:r>
      <w:hyperlink r:id="rId16" w:history="1">
        <w:r w:rsidRPr="009A515A">
          <w:rPr>
            <w:rStyle w:val="Hyperlink"/>
          </w:rPr>
          <w:t>https://doi.org/10.1016/j.ijcce.2024.02.001</w:t>
        </w:r>
      </w:hyperlink>
    </w:p>
    <w:p w14:paraId="7DB8AAA6"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4" w:name="_Hlk199424451"/>
      <w:proofErr w:type="spellStart"/>
      <w:r w:rsidRPr="009A515A">
        <w:rPr>
          <w:color w:val="000000" w:themeColor="text1"/>
          <w:lang w:val="fr-FR"/>
        </w:rPr>
        <w:t>Nikou</w:t>
      </w:r>
      <w:bookmarkEnd w:id="24"/>
      <w:proofErr w:type="spellEnd"/>
      <w:r w:rsidRPr="009A515A">
        <w:rPr>
          <w:color w:val="000000" w:themeColor="text1"/>
          <w:lang w:val="fr-FR"/>
        </w:rPr>
        <w:t xml:space="preserve">, S., Mezei, J., Liguori, E. W., and El </w:t>
      </w:r>
      <w:proofErr w:type="spellStart"/>
      <w:r w:rsidRPr="009A515A">
        <w:rPr>
          <w:color w:val="000000" w:themeColor="text1"/>
          <w:lang w:val="fr-FR"/>
        </w:rPr>
        <w:t>Tarabishy</w:t>
      </w:r>
      <w:proofErr w:type="spellEnd"/>
      <w:r w:rsidRPr="009A515A">
        <w:rPr>
          <w:color w:val="000000" w:themeColor="text1"/>
          <w:lang w:val="fr-FR"/>
        </w:rPr>
        <w:t xml:space="preserve">, A. (2024). </w:t>
      </w:r>
      <w:proofErr w:type="spellStart"/>
      <w:r w:rsidRPr="009A515A">
        <w:rPr>
          <w:color w:val="000000" w:themeColor="text1"/>
        </w:rPr>
        <w:t>FsQCA</w:t>
      </w:r>
      <w:proofErr w:type="spellEnd"/>
      <w:r w:rsidRPr="009A515A">
        <w:rPr>
          <w:color w:val="000000" w:themeColor="text1"/>
        </w:rPr>
        <w:t xml:space="preserve"> in entrepreneurship research: Opportunities and best practices. </w:t>
      </w:r>
      <w:r w:rsidRPr="009A515A">
        <w:rPr>
          <w:i/>
          <w:iCs/>
          <w:color w:val="000000" w:themeColor="text1"/>
        </w:rPr>
        <w:t>Journal of Small Business Management</w:t>
      </w:r>
      <w:r w:rsidRPr="009A515A">
        <w:rPr>
          <w:color w:val="000000" w:themeColor="text1"/>
        </w:rPr>
        <w:t>, 62(3), 1531-1548.</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Bernstein I. H. (1994). </w:t>
      </w:r>
      <w:r w:rsidRPr="009A515A">
        <w:rPr>
          <w:i/>
          <w:iCs/>
          <w:color w:val="000000" w:themeColor="text1"/>
        </w:rPr>
        <w:t>Psychometric theory</w:t>
      </w:r>
      <w:r w:rsidRPr="009A515A">
        <w:rPr>
          <w:color w:val="000000" w:themeColor="text1"/>
        </w:rPr>
        <w:t> (3rd ed.). New York, NY: McGraw-Hill.</w:t>
      </w:r>
    </w:p>
    <w:p w14:paraId="796B5DEB"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w:t>
      </w:r>
      <w:r w:rsidRPr="009A515A">
        <w:rPr>
          <w:i/>
          <w:iCs/>
          <w:color w:val="000000" w:themeColor="text1"/>
        </w:rPr>
        <w:t>Journal of the American Society for Information Science and Technology</w:t>
      </w:r>
      <w:r w:rsidRPr="009A515A">
        <w:rPr>
          <w:color w:val="000000" w:themeColor="text1"/>
        </w:rPr>
        <w:t>, </w:t>
      </w:r>
      <w:r w:rsidRPr="009A515A">
        <w:rPr>
          <w:i/>
          <w:iCs/>
          <w:color w:val="000000" w:themeColor="text1"/>
        </w:rPr>
        <w:t>61</w:t>
      </w:r>
      <w:r w:rsidRPr="009A515A">
        <w:rPr>
          <w:color w:val="000000" w:themeColor="text1"/>
        </w:rPr>
        <w:t>(1), 50-69.</w:t>
      </w:r>
    </w:p>
    <w:p w14:paraId="26FEF32A" w14:textId="77777777" w:rsidR="001F4649" w:rsidRPr="009A515A" w:rsidRDefault="001F4649" w:rsidP="00B536AF">
      <w:pPr>
        <w:shd w:val="clear" w:color="auto" w:fill="FFFFFF" w:themeFill="background1"/>
        <w:spacing w:line="360" w:lineRule="auto"/>
        <w:ind w:left="720" w:hanging="720"/>
        <w:jc w:val="both"/>
        <w:rPr>
          <w:color w:val="000000" w:themeColor="text1"/>
        </w:rPr>
      </w:pPr>
      <w:r w:rsidRPr="009A515A">
        <w:t xml:space="preserve">Oliveira, W., and Hamari, J. (2025). Flow Experience in </w:t>
      </w:r>
      <w:proofErr w:type="spellStart"/>
      <w:r w:rsidRPr="009A515A">
        <w:t>Gameful</w:t>
      </w:r>
      <w:proofErr w:type="spellEnd"/>
      <w:r w:rsidRPr="009A515A">
        <w:t xml:space="preserve"> Approaches: A Systematic Literature Review, </w:t>
      </w:r>
      <w:proofErr w:type="spellStart"/>
      <w:r w:rsidRPr="009A515A">
        <w:t>Scientometric</w:t>
      </w:r>
      <w:proofErr w:type="spellEnd"/>
      <w:r w:rsidRPr="009A515A">
        <w:t xml:space="preserve"> Analysis, and Research Agenda. </w:t>
      </w:r>
      <w:r w:rsidRPr="009A515A">
        <w:rPr>
          <w:i/>
          <w:iCs/>
        </w:rPr>
        <w:t>International Journal of Human–Computer Interaction</w:t>
      </w:r>
      <w:r w:rsidRPr="009A515A">
        <w:t>, 1-27.</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7" w:history="1">
        <w:r w:rsidRPr="009A515A">
          <w:rPr>
            <w:rStyle w:val="Hyperlink"/>
          </w:rPr>
          <w:t>https://escholarship.org/uc/item/8h51c6s0</w:t>
        </w:r>
      </w:hyperlink>
    </w:p>
    <w:p w14:paraId="68E97CDC" w14:textId="77777777" w:rsidR="001F4649" w:rsidRPr="009A515A" w:rsidRDefault="001F4649" w:rsidP="00D05FD0">
      <w:pPr>
        <w:shd w:val="clear" w:color="auto" w:fill="FFFFFF" w:themeFill="background1"/>
        <w:spacing w:line="360" w:lineRule="auto"/>
        <w:ind w:left="720" w:hanging="720"/>
        <w:jc w:val="both"/>
      </w:pPr>
      <w:bookmarkStart w:id="25" w:name="_Hlk199322777"/>
      <w:r w:rsidRPr="009A515A">
        <w:t>Park</w:t>
      </w:r>
      <w:bookmarkEnd w:id="25"/>
      <w:r w:rsidRPr="009A515A">
        <w:t xml:space="preserve">, Y., Fiss, P. C., and El </w:t>
      </w:r>
      <w:proofErr w:type="spellStart"/>
      <w:r w:rsidRPr="009A515A">
        <w:t>Sawy</w:t>
      </w:r>
      <w:proofErr w:type="spellEnd"/>
      <w:r w:rsidRPr="009A515A">
        <w:t>, O. A. (2020). Theorizing the Multiplicity of Digital Phenomena: The Ecology of Configurations, Causal Recipes, and Guidelines for Applying QCA. </w:t>
      </w:r>
      <w:r w:rsidRPr="009A515A">
        <w:rPr>
          <w:i/>
          <w:iCs/>
        </w:rPr>
        <w:t>Mis Quarterly</w:t>
      </w:r>
      <w:r w:rsidRPr="009A515A">
        <w:t>, </w:t>
      </w:r>
      <w:r w:rsidRPr="009A515A">
        <w:rPr>
          <w:i/>
          <w:iCs/>
        </w:rPr>
        <w:t>44</w:t>
      </w:r>
      <w:r w:rsidRPr="009A515A">
        <w:t>(4).</w:t>
      </w:r>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Payal, R., Sharma, N., and Dwivedi, Y. K. (2024). Unlocking the impact of brand engagement in the metaverse on Real-World purchase intentions: </w:t>
      </w:r>
      <w:proofErr w:type="spellStart"/>
      <w:r w:rsidRPr="009A515A">
        <w:rPr>
          <w:color w:val="000000" w:themeColor="text1"/>
        </w:rPr>
        <w:t>Analyzing</w:t>
      </w:r>
      <w:proofErr w:type="spellEnd"/>
      <w:r w:rsidRPr="009A515A">
        <w:rPr>
          <w:color w:val="000000" w:themeColor="text1"/>
        </w:rPr>
        <w:t xml:space="preserve"> Pre-Adoption </w:t>
      </w:r>
      <w:proofErr w:type="spellStart"/>
      <w:r w:rsidRPr="009A515A">
        <w:rPr>
          <w:color w:val="000000" w:themeColor="text1"/>
        </w:rPr>
        <w:t>behavior</w:t>
      </w:r>
      <w:proofErr w:type="spellEnd"/>
      <w:r w:rsidRPr="009A515A">
        <w:rPr>
          <w:color w:val="000000" w:themeColor="text1"/>
        </w:rPr>
        <w:t xml:space="preserve">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112854AA" w14:textId="77777777" w:rsidR="001F4649" w:rsidRPr="009A515A" w:rsidRDefault="001F4649" w:rsidP="008F0D46">
      <w:pPr>
        <w:shd w:val="clear" w:color="auto" w:fill="FFFFFF" w:themeFill="background1"/>
        <w:spacing w:line="360" w:lineRule="auto"/>
        <w:ind w:left="720" w:hanging="720"/>
        <w:jc w:val="both"/>
      </w:pPr>
      <w:r w:rsidRPr="009A515A">
        <w:lastRenderedPageBreak/>
        <w:t xml:space="preserve">Podsakoff, P. M., MacKenzie, S. B., Lee, J. Y., &amp; Podsakoff, N. P. (2003). Common method biases in </w:t>
      </w:r>
      <w:proofErr w:type="spellStart"/>
      <w:r w:rsidRPr="009A515A">
        <w:t>behavioral</w:t>
      </w:r>
      <w:proofErr w:type="spellEnd"/>
      <w:r w:rsidRPr="009A515A">
        <w:t xml:space="preserve"> research: a critical review of the literature and recommended remedies. Journal of applied psychology, 88(5), 879.</w:t>
      </w:r>
    </w:p>
    <w:p w14:paraId="5344A8D7" w14:textId="77777777" w:rsidR="001F4649" w:rsidRPr="009A515A" w:rsidRDefault="001F4649" w:rsidP="00D05FD0">
      <w:pPr>
        <w:shd w:val="clear" w:color="auto" w:fill="FFFFFF" w:themeFill="background1"/>
        <w:spacing w:line="360" w:lineRule="auto"/>
        <w:ind w:left="720" w:hanging="720"/>
        <w:jc w:val="both"/>
      </w:pPr>
      <w:r w:rsidRPr="009A515A">
        <w:t xml:space="preserve">Poeschl, S., and Doering, N. (2015). Measuring co-presence and social presence in virtual environments–psychometric construction of a </w:t>
      </w:r>
      <w:proofErr w:type="spellStart"/>
      <w:r w:rsidRPr="009A515A">
        <w:t>german</w:t>
      </w:r>
      <w:proofErr w:type="spellEnd"/>
      <w:r w:rsidRPr="009A515A">
        <w:t xml:space="preserve"> scale for a fear of public speaking scenario. </w:t>
      </w:r>
      <w:r w:rsidRPr="009A515A">
        <w:rPr>
          <w:i/>
          <w:iCs/>
        </w:rPr>
        <w:t xml:space="preserve">Annual Review of </w:t>
      </w:r>
      <w:proofErr w:type="spellStart"/>
      <w:r w:rsidRPr="009A515A">
        <w:rPr>
          <w:i/>
          <w:iCs/>
        </w:rPr>
        <w:t>Cybertherapy</w:t>
      </w:r>
      <w:proofErr w:type="spellEnd"/>
      <w:r w:rsidRPr="009A515A">
        <w:rPr>
          <w:i/>
          <w:iCs/>
        </w:rPr>
        <w:t xml:space="preserve">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692AD3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Rahman, S. M., et al. (2025). Metaverse platform attributes and customer experience measurement. </w:t>
      </w:r>
      <w:r w:rsidRPr="009A515A">
        <w:rPr>
          <w:i/>
          <w:iCs/>
          <w:color w:val="000000" w:themeColor="text1"/>
        </w:rPr>
        <w:t>Journal of Retailing and Consumer Services</w:t>
      </w:r>
      <w:r w:rsidRPr="009A515A">
        <w:rPr>
          <w:color w:val="000000" w:themeColor="text1"/>
        </w:rPr>
        <w:t>, 83, 104159.</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Rather, R. A., </w:t>
      </w:r>
      <w:proofErr w:type="spellStart"/>
      <w:r w:rsidRPr="009A515A">
        <w:rPr>
          <w:color w:val="000000" w:themeColor="text1"/>
        </w:rPr>
        <w:t>Hollebeek</w:t>
      </w:r>
      <w:proofErr w:type="spellEnd"/>
      <w:r w:rsidRPr="009A515A">
        <w:rPr>
          <w:color w:val="000000" w:themeColor="text1"/>
        </w:rPr>
        <w:t xml:space="preserve">, L. D., Vo‐Thanh, T., Ramkissoon, H., </w:t>
      </w:r>
      <w:proofErr w:type="spellStart"/>
      <w:r w:rsidRPr="009A515A">
        <w:rPr>
          <w:color w:val="000000" w:themeColor="text1"/>
        </w:rPr>
        <w:t>Leppiman</w:t>
      </w:r>
      <w:proofErr w:type="spellEnd"/>
      <w:r w:rsidRPr="009A515A">
        <w:rPr>
          <w:color w:val="000000" w:themeColor="text1"/>
        </w:rPr>
        <w:t>,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3DD9EB5B" w14:textId="77777777" w:rsidR="001F4649" w:rsidRPr="009A515A" w:rsidRDefault="001F4649" w:rsidP="00D05FD0">
      <w:pPr>
        <w:shd w:val="clear" w:color="auto" w:fill="FFFFFF" w:themeFill="background1"/>
        <w:spacing w:line="360" w:lineRule="auto"/>
        <w:ind w:left="720" w:hanging="720"/>
        <w:jc w:val="both"/>
      </w:pPr>
      <w:bookmarkStart w:id="26" w:name="_Hlk199425288"/>
      <w:r w:rsidRPr="009A515A">
        <w:t>Ribeiro</w:t>
      </w:r>
      <w:bookmarkEnd w:id="26"/>
      <w:r w:rsidRPr="009A515A">
        <w:t>, A., Vieira, V., Alves, L., and Maciel, C. (2024). Vishnu: An approach to support the personalization of self-expressive avatars using context-awareness. </w:t>
      </w:r>
      <w:r w:rsidRPr="009A515A">
        <w:rPr>
          <w:i/>
          <w:iCs/>
        </w:rPr>
        <w:t>International Journal of Human-Computer Studies</w:t>
      </w:r>
      <w:r w:rsidRPr="009A515A">
        <w:t>, </w:t>
      </w:r>
      <w:r w:rsidRPr="009A515A">
        <w:rPr>
          <w:i/>
          <w:iCs/>
        </w:rPr>
        <w:t>185</w:t>
      </w:r>
      <w:r w:rsidRPr="009A515A">
        <w:t>, 103243.</w:t>
      </w:r>
    </w:p>
    <w:p w14:paraId="6C26D407" w14:textId="77777777" w:rsidR="001F4649" w:rsidRPr="009A515A" w:rsidRDefault="001F4649" w:rsidP="00DA27CD">
      <w:pPr>
        <w:spacing w:before="157" w:after="157" w:line="360" w:lineRule="auto"/>
        <w:ind w:left="720" w:hanging="720"/>
        <w:rPr>
          <w:rFonts w:eastAsia="inter"/>
          <w:bCs/>
          <w:color w:val="000000"/>
          <w:sz w:val="22"/>
        </w:rPr>
      </w:pPr>
      <w:proofErr w:type="spellStart"/>
      <w:r w:rsidRPr="009A515A">
        <w:rPr>
          <w:rFonts w:eastAsia="inter"/>
          <w:bCs/>
          <w:color w:val="000000"/>
          <w:sz w:val="22"/>
        </w:rPr>
        <w:t>Rutrecht</w:t>
      </w:r>
      <w:proofErr w:type="spellEnd"/>
      <w:r w:rsidRPr="009A515A">
        <w:rPr>
          <w:rFonts w:eastAsia="inter"/>
          <w:bCs/>
          <w:color w:val="000000"/>
          <w:sz w:val="22"/>
        </w:rPr>
        <w:t xml:space="preserve">, H., Wittmann, M., </w:t>
      </w:r>
      <w:proofErr w:type="spellStart"/>
      <w:r w:rsidRPr="009A515A">
        <w:rPr>
          <w:rFonts w:eastAsia="inter"/>
          <w:bCs/>
          <w:color w:val="000000"/>
          <w:sz w:val="22"/>
        </w:rPr>
        <w:t>Khoshnoud</w:t>
      </w:r>
      <w:proofErr w:type="spellEnd"/>
      <w:r w:rsidRPr="009A515A">
        <w:rPr>
          <w:rFonts w:eastAsia="inter"/>
          <w:bCs/>
          <w:color w:val="000000"/>
          <w:sz w:val="22"/>
        </w:rPr>
        <w:t xml:space="preserve">, S., and </w:t>
      </w:r>
      <w:proofErr w:type="spellStart"/>
      <w:r w:rsidRPr="009A515A">
        <w:rPr>
          <w:rFonts w:eastAsia="inter"/>
          <w:bCs/>
          <w:color w:val="000000"/>
          <w:sz w:val="22"/>
        </w:rPr>
        <w:t>Igarzábal</w:t>
      </w:r>
      <w:proofErr w:type="spellEnd"/>
      <w:r w:rsidRPr="009A515A">
        <w:rPr>
          <w:rFonts w:eastAsia="inter"/>
          <w:bCs/>
          <w:color w:val="000000"/>
          <w:sz w:val="22"/>
        </w:rPr>
        <w:t>,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28A105CF"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(2000). Self-determination theory and the facilitation of intrinsic motivation, social development, and well-being. American Psychologist, 55 (1), 68–78.</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7B0331AB"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 xml:space="preserve">Ryan, R. M., and Deci, E. L. (2024). Self-determination theory. In </w:t>
      </w:r>
      <w:proofErr w:type="spellStart"/>
      <w:r w:rsidRPr="009A515A">
        <w:rPr>
          <w:rFonts w:eastAsia="inter"/>
          <w:bCs/>
          <w:color w:val="000000"/>
          <w:sz w:val="22"/>
        </w:rPr>
        <w:t>Encyclopedia</w:t>
      </w:r>
      <w:proofErr w:type="spellEnd"/>
      <w:r w:rsidRPr="009A515A">
        <w:rPr>
          <w:rFonts w:eastAsia="inter"/>
          <w:bCs/>
          <w:color w:val="000000"/>
          <w:sz w:val="22"/>
        </w:rPr>
        <w:t xml:space="preserve"> of quality of life and well-being research (pp. 6229–6235). Cham: Springer International Publishing.</w:t>
      </w:r>
    </w:p>
    <w:p w14:paraId="4495739E" w14:textId="77777777" w:rsidR="001F4649" w:rsidRPr="009A515A" w:rsidRDefault="001F4649" w:rsidP="00D05FD0">
      <w:pPr>
        <w:shd w:val="clear" w:color="auto" w:fill="FFFFFF" w:themeFill="background1"/>
        <w:spacing w:line="360" w:lineRule="auto"/>
        <w:ind w:left="720" w:hanging="720"/>
        <w:jc w:val="both"/>
      </w:pPr>
      <w:bookmarkStart w:id="27" w:name="_Hlk199323363"/>
      <w:r w:rsidRPr="009A515A">
        <w:t>Scheider</w:t>
      </w:r>
      <w:bookmarkEnd w:id="27"/>
      <w:r w:rsidRPr="009A515A">
        <w:t>, S., Lauf, F., Möller, F., and Otto, B. (2023). A reference system architecture with data sovereignty for human-centric data ecosystems. </w:t>
      </w:r>
      <w:r w:rsidRPr="009A515A">
        <w:rPr>
          <w:i/>
          <w:iCs/>
        </w:rPr>
        <w:t>Business and Information Systems Engineering</w:t>
      </w:r>
      <w:r w:rsidRPr="009A515A">
        <w:t>, </w:t>
      </w:r>
      <w:r w:rsidRPr="009A515A">
        <w:rPr>
          <w:i/>
          <w:iCs/>
        </w:rPr>
        <w:t>65</w:t>
      </w:r>
      <w:r w:rsidRPr="009A515A">
        <w:t>(5), 577-595.</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lastRenderedPageBreak/>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28" w:name="_Hlk199355676"/>
      <w:r w:rsidRPr="009A515A">
        <w:t>Simonetti</w:t>
      </w:r>
      <w:bookmarkEnd w:id="28"/>
      <w:r w:rsidRPr="009A515A">
        <w:t xml:space="preserve">, A., </w:t>
      </w:r>
      <w:proofErr w:type="spellStart"/>
      <w:r w:rsidRPr="009A515A">
        <w:t>Bigne</w:t>
      </w:r>
      <w:proofErr w:type="spellEnd"/>
      <w:r w:rsidRPr="009A515A">
        <w:t>,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9" w:name="_Hlk199329402"/>
      <w:r w:rsidRPr="009A515A">
        <w:t xml:space="preserve">Soltani </w:t>
      </w:r>
      <w:bookmarkEnd w:id="29"/>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 xml:space="preserve">Statista. (2025). </w:t>
      </w:r>
      <w:r w:rsidRPr="009A515A">
        <w:rPr>
          <w:i/>
          <w:iCs/>
        </w:rPr>
        <w:t xml:space="preserve">Metaverse </w:t>
      </w:r>
      <w:r w:rsidR="009B694E">
        <w:rPr>
          <w:i/>
          <w:iCs/>
        </w:rPr>
        <w:t xml:space="preserve"> </w:t>
      </w:r>
      <w:r w:rsidRPr="009A515A">
        <w:rPr>
          <w:i/>
          <w:iCs/>
        </w:rPr>
        <w:t xml:space="preserve"> India: Market forecast</w:t>
      </w:r>
      <w:r w:rsidRPr="009A515A">
        <w:t xml:space="preserve">. Statista Market Insights. Retrieved March 21, 2026, from </w:t>
      </w:r>
      <w:hyperlink r:id="rId18" w:history="1">
        <w:r w:rsidRPr="009A515A">
          <w:t>https://www.statista.com/outlook/amo/metaverse/india</w:t>
        </w:r>
      </w:hyperlink>
    </w:p>
    <w:p w14:paraId="27A83FE9" w14:textId="77777777" w:rsidR="001F4649" w:rsidRPr="009A515A" w:rsidRDefault="001F4649" w:rsidP="00D05FD0">
      <w:pPr>
        <w:shd w:val="clear" w:color="auto" w:fill="FFFFFF" w:themeFill="background1"/>
        <w:spacing w:line="360" w:lineRule="auto"/>
        <w:ind w:left="720" w:hanging="720"/>
        <w:jc w:val="both"/>
      </w:pPr>
      <w:bookmarkStart w:id="30" w:name="_Hlk199420459"/>
      <w:r w:rsidRPr="009A515A">
        <w:t>Su</w:t>
      </w:r>
      <w:bookmarkEnd w:id="30"/>
      <w:r w:rsidRPr="009A515A">
        <w:t>, L., Monga, A. S. B., and Jiang, Y. (2021). How life-role transitions shape consumer responses to brand extensions. </w:t>
      </w:r>
      <w:r w:rsidRPr="009A515A">
        <w:rPr>
          <w:i/>
          <w:iCs/>
        </w:rPr>
        <w:t>Journal of Marketing Research</w:t>
      </w:r>
      <w:r w:rsidRPr="009A515A">
        <w:t>, </w:t>
      </w:r>
      <w:r w:rsidRPr="009A515A">
        <w:rPr>
          <w:i/>
          <w:iCs/>
        </w:rPr>
        <w:t>58</w:t>
      </w:r>
      <w:r w:rsidRPr="009A515A">
        <w:t>(3), 579-594.</w:t>
      </w:r>
    </w:p>
    <w:p w14:paraId="7CA8A190" w14:textId="77777777" w:rsidR="001F4649" w:rsidRPr="009A515A" w:rsidRDefault="001F4649" w:rsidP="00D05FD0">
      <w:pPr>
        <w:shd w:val="clear" w:color="auto" w:fill="FFFFFF" w:themeFill="background1"/>
        <w:spacing w:line="360" w:lineRule="auto"/>
        <w:ind w:left="720" w:hanging="720"/>
        <w:jc w:val="both"/>
      </w:pPr>
      <w:bookmarkStart w:id="31" w:name="_Hlk199425418"/>
      <w:r w:rsidRPr="009A515A">
        <w:t>Takano, M., and Taka, F. (2022)</w:t>
      </w:r>
      <w:bookmarkEnd w:id="31"/>
      <w:r w:rsidRPr="009A515A">
        <w:t xml:space="preserve">. Fancy avatar identification and </w:t>
      </w:r>
      <w:proofErr w:type="spellStart"/>
      <w:r w:rsidRPr="009A515A">
        <w:t>behaviors</w:t>
      </w:r>
      <w:proofErr w:type="spellEnd"/>
      <w:r w:rsidRPr="009A515A">
        <w:t xml:space="preserve"> in the virtual world: Preceding avatar customization and succeeding communication. </w:t>
      </w:r>
      <w:r w:rsidRPr="009A515A">
        <w:rPr>
          <w:i/>
          <w:iCs/>
        </w:rPr>
        <w:t xml:space="preserve">Computers in Human </w:t>
      </w:r>
      <w:proofErr w:type="spellStart"/>
      <w:r w:rsidRPr="009A515A">
        <w:rPr>
          <w:i/>
          <w:iCs/>
        </w:rPr>
        <w:t>Behavior</w:t>
      </w:r>
      <w:proofErr w:type="spellEnd"/>
      <w:r w:rsidRPr="009A515A">
        <w:rPr>
          <w:i/>
          <w:iCs/>
        </w:rPr>
        <w:t xml:space="preserve"> Reports</w:t>
      </w:r>
      <w:r w:rsidRPr="009A515A">
        <w:t>, </w:t>
      </w:r>
      <w:r w:rsidRPr="009A515A">
        <w:rPr>
          <w:i/>
          <w:iCs/>
        </w:rPr>
        <w:t>6</w:t>
      </w:r>
      <w:r w:rsidRPr="009A515A">
        <w:t>, 100176.</w:t>
      </w:r>
    </w:p>
    <w:p w14:paraId="6C4AFBEF" w14:textId="77777777" w:rsidR="001F4649" w:rsidRPr="009A515A" w:rsidRDefault="001F4649" w:rsidP="00D05FD0">
      <w:pPr>
        <w:shd w:val="clear" w:color="auto" w:fill="FFFFFF" w:themeFill="background1"/>
        <w:spacing w:line="360" w:lineRule="auto"/>
        <w:ind w:left="720" w:hanging="720"/>
        <w:jc w:val="both"/>
      </w:pPr>
      <w:bookmarkStart w:id="32" w:name="_Hlk199421848"/>
      <w:proofErr w:type="spellStart"/>
      <w:r w:rsidRPr="009A515A">
        <w:t>Thaichon</w:t>
      </w:r>
      <w:bookmarkEnd w:id="32"/>
      <w:proofErr w:type="spellEnd"/>
      <w:r w:rsidRPr="009A515A">
        <w:t xml:space="preserve">, P., </w:t>
      </w:r>
      <w:proofErr w:type="spellStart"/>
      <w:r w:rsidRPr="009A515A">
        <w:t>Phau</w:t>
      </w:r>
      <w:proofErr w:type="spellEnd"/>
      <w:r w:rsidRPr="009A515A">
        <w:t xml:space="preserve">, I., and </w:t>
      </w:r>
      <w:proofErr w:type="spellStart"/>
      <w:r w:rsidRPr="009A515A">
        <w:t>Weaven</w:t>
      </w:r>
      <w:proofErr w:type="spellEnd"/>
      <w:r w:rsidRPr="009A515A">
        <w:t>,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13AFEBF3" w14:textId="77777777" w:rsidR="001F4649" w:rsidRPr="009A515A" w:rsidRDefault="001F4649" w:rsidP="00A12512">
      <w:pPr>
        <w:shd w:val="clear" w:color="auto" w:fill="FFFFFF" w:themeFill="background1"/>
        <w:spacing w:line="360" w:lineRule="auto"/>
        <w:ind w:left="720" w:hanging="720"/>
        <w:jc w:val="both"/>
      </w:pPr>
      <w:r w:rsidRPr="009A515A">
        <w:t xml:space="preserve">Thorndike, R. M. (1995). Book Review : Psychometric Theory (3rd ed.) by Jum Nunnally and Ira Bernstein New York: McGraw-Hill, 1994, xxiv + 752 pp. </w:t>
      </w:r>
      <w:r w:rsidRPr="009A515A">
        <w:rPr>
          <w:i/>
          <w:iCs/>
        </w:rPr>
        <w:t>Applied Psychological Measurement</w:t>
      </w:r>
      <w:r w:rsidRPr="009A515A">
        <w:t xml:space="preserve">, </w:t>
      </w:r>
      <w:r w:rsidRPr="009A515A">
        <w:rPr>
          <w:i/>
          <w:iCs/>
        </w:rPr>
        <w:t>19</w:t>
      </w:r>
      <w:r w:rsidRPr="009A515A">
        <w:t>(3), 303-305.</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9"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33" w:name="_Hlk199323672"/>
      <w:r w:rsidRPr="009A515A">
        <w:t>Vo</w:t>
      </w:r>
      <w:bookmarkEnd w:id="33"/>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4" w:name="_Hlk199355812"/>
      <w:r w:rsidRPr="009A515A">
        <w:rPr>
          <w:color w:val="000000" w:themeColor="text1"/>
        </w:rPr>
        <w:t>Wang</w:t>
      </w:r>
      <w:bookmarkEnd w:id="34"/>
      <w:r w:rsidRPr="009A515A">
        <w:rPr>
          <w:color w:val="000000" w:themeColor="text1"/>
        </w:rPr>
        <w:t xml:space="preserve">, X., Sung, B., and </w:t>
      </w:r>
      <w:proofErr w:type="spellStart"/>
      <w:r w:rsidRPr="009A515A">
        <w:rPr>
          <w:color w:val="000000" w:themeColor="text1"/>
        </w:rPr>
        <w:t>Phau</w:t>
      </w:r>
      <w:proofErr w:type="spellEnd"/>
      <w:r w:rsidRPr="009A515A">
        <w:rPr>
          <w:color w:val="000000" w:themeColor="text1"/>
        </w:rPr>
        <w:t>,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proofErr w:type="spellStart"/>
      <w:r w:rsidRPr="009A515A">
        <w:rPr>
          <w:color w:val="000000" w:themeColor="text1"/>
        </w:rPr>
        <w:lastRenderedPageBreak/>
        <w:t>Wiertz</w:t>
      </w:r>
      <w:proofErr w:type="spellEnd"/>
      <w:r w:rsidRPr="009A515A">
        <w:rPr>
          <w:color w:val="000000" w:themeColor="text1"/>
        </w:rPr>
        <w:t>,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35" w:name="_Hlk207269373"/>
      <w:r w:rsidRPr="009A515A">
        <w:rPr>
          <w:rFonts w:eastAsia="inter"/>
          <w:bCs/>
          <w:color w:val="000000"/>
          <w:sz w:val="22"/>
        </w:rPr>
        <w:t>Wu</w:t>
      </w:r>
      <w:bookmarkEnd w:id="35"/>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36" w:name="_Hlk199355648"/>
      <w:r w:rsidRPr="009A515A">
        <w:t>Xie</w:t>
      </w:r>
      <w:bookmarkEnd w:id="36"/>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 xml:space="preserve">Xie, Q., Muralidharan, S., Edwards, S. M., and La </w:t>
      </w:r>
      <w:proofErr w:type="spellStart"/>
      <w:r w:rsidRPr="009A515A">
        <w:t>Ferle</w:t>
      </w:r>
      <w:proofErr w:type="spellEnd"/>
      <w:r w:rsidRPr="009A515A">
        <w:t>,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7" w:name="_Hlk199402959"/>
      <w:r w:rsidRPr="009A515A">
        <w:rPr>
          <w:color w:val="000000" w:themeColor="text1"/>
        </w:rPr>
        <w:t>Xu</w:t>
      </w:r>
      <w:bookmarkEnd w:id="37"/>
      <w:r w:rsidRPr="009A515A">
        <w:rPr>
          <w:color w:val="000000" w:themeColor="text1"/>
        </w:rPr>
        <w:t xml:space="preserve">, S., Bauman, M. J., Ponting, S. S. A., </w:t>
      </w:r>
      <w:proofErr w:type="spellStart"/>
      <w:r w:rsidRPr="009A515A">
        <w:rPr>
          <w:color w:val="000000" w:themeColor="text1"/>
        </w:rPr>
        <w:t>Slevitch</w:t>
      </w:r>
      <w:proofErr w:type="spellEnd"/>
      <w:r w:rsidRPr="009A515A">
        <w:rPr>
          <w:color w:val="000000" w:themeColor="text1"/>
        </w:rPr>
        <w:t xml:space="preserve">, L., Webster, C., and Kirillova, K. (2024). </w:t>
      </w:r>
      <w:proofErr w:type="spellStart"/>
      <w:r w:rsidRPr="009A515A">
        <w:rPr>
          <w:color w:val="000000" w:themeColor="text1"/>
        </w:rPr>
        <w:t>Neolocalism</w:t>
      </w:r>
      <w:proofErr w:type="spellEnd"/>
      <w:r w:rsidRPr="009A515A">
        <w:rPr>
          <w:color w:val="000000" w:themeColor="text1"/>
        </w:rPr>
        <w:t xml:space="preserve">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1A3151B2"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38" w:name="_Hlk199354713"/>
      <w:r w:rsidRPr="009A515A">
        <w:rPr>
          <w:color w:val="000000" w:themeColor="text1"/>
        </w:rPr>
        <w:t>Zhang</w:t>
      </w:r>
      <w:bookmarkEnd w:id="38"/>
      <w:r w:rsidRPr="009A515A">
        <w:rPr>
          <w:color w:val="000000" w:themeColor="text1"/>
        </w:rPr>
        <w:t xml:space="preserve">, B., </w:t>
      </w:r>
      <w:bookmarkStart w:id="39" w:name="_Hlk207148843"/>
      <w:r w:rsidRPr="009A515A">
        <w:rPr>
          <w:color w:val="000000" w:themeColor="text1"/>
        </w:rPr>
        <w:t>Peng</w:t>
      </w:r>
      <w:bookmarkEnd w:id="39"/>
      <w:r w:rsidRPr="009A515A">
        <w:rPr>
          <w:color w:val="000000" w:themeColor="text1"/>
        </w:rPr>
        <w:t xml:space="preserve">, G., Liu, C., Zhang, Z. J., and </w:t>
      </w:r>
      <w:proofErr w:type="spellStart"/>
      <w:r w:rsidRPr="009A515A">
        <w:rPr>
          <w:color w:val="000000" w:themeColor="text1"/>
        </w:rPr>
        <w:t>Jasimuddin</w:t>
      </w:r>
      <w:proofErr w:type="spellEnd"/>
      <w:r w:rsidRPr="009A515A">
        <w:rPr>
          <w:color w:val="000000" w:themeColor="text1"/>
        </w:rPr>
        <w:t>, S. M. (2022). Adaptation behaviour in using one-stop smart governance apps: an exploratory study between digital immigrants and digital natives. </w:t>
      </w:r>
      <w:r w:rsidRPr="009A515A">
        <w:rPr>
          <w:i/>
          <w:iCs/>
          <w:color w:val="000000" w:themeColor="text1"/>
        </w:rPr>
        <w:t>Electronic Markets</w:t>
      </w:r>
      <w:r w:rsidRPr="009A515A">
        <w:rPr>
          <w:color w:val="000000" w:themeColor="text1"/>
        </w:rPr>
        <w:t>, </w:t>
      </w:r>
      <w:r w:rsidRPr="009A515A">
        <w:rPr>
          <w:i/>
          <w:iCs/>
          <w:color w:val="000000" w:themeColor="text1"/>
        </w:rPr>
        <w:t>32</w:t>
      </w:r>
      <w:r w:rsidRPr="009A515A">
        <w:rPr>
          <w:color w:val="000000" w:themeColor="text1"/>
        </w:rPr>
        <w:t>(4), 1971-1991.</w:t>
      </w:r>
    </w:p>
    <w:p w14:paraId="7117CE43" w14:textId="77777777" w:rsidR="001F4649" w:rsidRPr="009A515A" w:rsidRDefault="001F4649" w:rsidP="008F0D46">
      <w:pPr>
        <w:shd w:val="clear" w:color="auto" w:fill="FFFFFF" w:themeFill="background1"/>
        <w:spacing w:line="360" w:lineRule="auto"/>
        <w:ind w:left="720" w:hanging="720"/>
        <w:jc w:val="both"/>
        <w:rPr>
          <w:color w:val="000000" w:themeColor="text1"/>
        </w:rPr>
      </w:pPr>
      <w:bookmarkStart w:id="40" w:name="_Hlk199359872"/>
      <w:r w:rsidRPr="009A515A">
        <w:rPr>
          <w:color w:val="000000" w:themeColor="text1"/>
        </w:rPr>
        <w:t>Zhang</w:t>
      </w:r>
      <w:bookmarkEnd w:id="40"/>
      <w:r w:rsidRPr="009A515A">
        <w:rPr>
          <w:color w:val="000000" w:themeColor="text1"/>
        </w:rPr>
        <w:t>, L., Anjum, M. A., and Wang, Y. (2024). The impact of trust-building mechanisms on purchase intention towards metaverse shopping: the moderating role of age. </w:t>
      </w:r>
      <w:r w:rsidRPr="009A515A">
        <w:rPr>
          <w:i/>
          <w:iCs/>
          <w:color w:val="000000" w:themeColor="text1"/>
        </w:rPr>
        <w:t>International Journal of Human–Computer Interaction</w:t>
      </w:r>
      <w:r w:rsidRPr="009A515A">
        <w:rPr>
          <w:color w:val="000000" w:themeColor="text1"/>
        </w:rPr>
        <w:t>, </w:t>
      </w:r>
      <w:r w:rsidRPr="009A515A">
        <w:rPr>
          <w:i/>
          <w:iCs/>
          <w:color w:val="000000" w:themeColor="text1"/>
        </w:rPr>
        <w:t>40</w:t>
      </w:r>
      <w:r w:rsidRPr="009A515A">
        <w:rPr>
          <w:color w:val="000000" w:themeColor="text1"/>
        </w:rPr>
        <w:t>(12), 3185-3203.</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7BA6"/>
    <w:rsid w:val="00082F6C"/>
    <w:rsid w:val="00085482"/>
    <w:rsid w:val="000863D4"/>
    <w:rsid w:val="00086510"/>
    <w:rsid w:val="00090895"/>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11315"/>
    <w:rsid w:val="00416113"/>
    <w:rsid w:val="00416E76"/>
    <w:rsid w:val="0041750E"/>
    <w:rsid w:val="0042054F"/>
    <w:rsid w:val="00421599"/>
    <w:rsid w:val="00426866"/>
    <w:rsid w:val="004309B6"/>
    <w:rsid w:val="0043234C"/>
    <w:rsid w:val="004371DC"/>
    <w:rsid w:val="004467F4"/>
    <w:rsid w:val="0045186A"/>
    <w:rsid w:val="004547FD"/>
    <w:rsid w:val="00455887"/>
    <w:rsid w:val="00456656"/>
    <w:rsid w:val="0045735F"/>
    <w:rsid w:val="0045737F"/>
    <w:rsid w:val="00463B26"/>
    <w:rsid w:val="00464522"/>
    <w:rsid w:val="00464A78"/>
    <w:rsid w:val="004653A9"/>
    <w:rsid w:val="00466030"/>
    <w:rsid w:val="00466DAD"/>
    <w:rsid w:val="00467995"/>
    <w:rsid w:val="00467CAC"/>
    <w:rsid w:val="00470AB7"/>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D03"/>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5765"/>
    <w:rsid w:val="00656A70"/>
    <w:rsid w:val="00662EA3"/>
    <w:rsid w:val="00666412"/>
    <w:rsid w:val="00667DD7"/>
    <w:rsid w:val="0067285B"/>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5E51"/>
    <w:rsid w:val="006B1F98"/>
    <w:rsid w:val="006B22CC"/>
    <w:rsid w:val="006B312B"/>
    <w:rsid w:val="006B5016"/>
    <w:rsid w:val="006C3B90"/>
    <w:rsid w:val="006D0839"/>
    <w:rsid w:val="006D135B"/>
    <w:rsid w:val="006D1738"/>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262"/>
    <w:rsid w:val="00715728"/>
    <w:rsid w:val="00721646"/>
    <w:rsid w:val="0072184A"/>
    <w:rsid w:val="00722EFF"/>
    <w:rsid w:val="00725184"/>
    <w:rsid w:val="00726246"/>
    <w:rsid w:val="00726315"/>
    <w:rsid w:val="00731A6E"/>
    <w:rsid w:val="00732057"/>
    <w:rsid w:val="00732C9D"/>
    <w:rsid w:val="00734627"/>
    <w:rsid w:val="00736643"/>
    <w:rsid w:val="00740769"/>
    <w:rsid w:val="0074623C"/>
    <w:rsid w:val="007502A5"/>
    <w:rsid w:val="007544D4"/>
    <w:rsid w:val="007545B3"/>
    <w:rsid w:val="007648C5"/>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D300D"/>
    <w:rsid w:val="008D5DA0"/>
    <w:rsid w:val="008E063D"/>
    <w:rsid w:val="008E1410"/>
    <w:rsid w:val="008E2C8F"/>
    <w:rsid w:val="008E4F8B"/>
    <w:rsid w:val="008F0D46"/>
    <w:rsid w:val="008F0EAB"/>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31A14"/>
    <w:rsid w:val="00931B6B"/>
    <w:rsid w:val="0093381E"/>
    <w:rsid w:val="00935C93"/>
    <w:rsid w:val="00940E8D"/>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835"/>
    <w:rsid w:val="00AE134B"/>
    <w:rsid w:val="00AE42C4"/>
    <w:rsid w:val="00AE5F5F"/>
    <w:rsid w:val="00AF1D04"/>
    <w:rsid w:val="00AF1DC4"/>
    <w:rsid w:val="00AF6169"/>
    <w:rsid w:val="00B06E14"/>
    <w:rsid w:val="00B12034"/>
    <w:rsid w:val="00B14B53"/>
    <w:rsid w:val="00B17348"/>
    <w:rsid w:val="00B20015"/>
    <w:rsid w:val="00B21534"/>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34AC"/>
    <w:rsid w:val="00C13A8C"/>
    <w:rsid w:val="00C223B9"/>
    <w:rsid w:val="00C225CC"/>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71845"/>
    <w:rsid w:val="00C7217C"/>
    <w:rsid w:val="00C7236E"/>
    <w:rsid w:val="00C736B0"/>
    <w:rsid w:val="00C7418F"/>
    <w:rsid w:val="00C760E5"/>
    <w:rsid w:val="00C77FCA"/>
    <w:rsid w:val="00C8121A"/>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82397"/>
    <w:rsid w:val="00D830FA"/>
    <w:rsid w:val="00D86477"/>
    <w:rsid w:val="00D86F66"/>
    <w:rsid w:val="00D87314"/>
    <w:rsid w:val="00D91435"/>
    <w:rsid w:val="00D93102"/>
    <w:rsid w:val="00D9557D"/>
    <w:rsid w:val="00D96227"/>
    <w:rsid w:val="00D96535"/>
    <w:rsid w:val="00D965AD"/>
    <w:rsid w:val="00D96724"/>
    <w:rsid w:val="00D97398"/>
    <w:rsid w:val="00DA27CD"/>
    <w:rsid w:val="00DA2B47"/>
    <w:rsid w:val="00DA5255"/>
    <w:rsid w:val="00DA6476"/>
    <w:rsid w:val="00DB2EBF"/>
    <w:rsid w:val="00DB66BA"/>
    <w:rsid w:val="00DB7208"/>
    <w:rsid w:val="00DC0736"/>
    <w:rsid w:val="00DD394A"/>
    <w:rsid w:val="00DD47D3"/>
    <w:rsid w:val="00DD4E2C"/>
    <w:rsid w:val="00DD5D63"/>
    <w:rsid w:val="00DD752A"/>
    <w:rsid w:val="00DE3F0D"/>
    <w:rsid w:val="00DE61FC"/>
    <w:rsid w:val="00DF7521"/>
    <w:rsid w:val="00E0324D"/>
    <w:rsid w:val="00E041E6"/>
    <w:rsid w:val="00E044B0"/>
    <w:rsid w:val="00E10D88"/>
    <w:rsid w:val="00E14D29"/>
    <w:rsid w:val="00E15461"/>
    <w:rsid w:val="00E16418"/>
    <w:rsid w:val="00E263AF"/>
    <w:rsid w:val="00E30AFA"/>
    <w:rsid w:val="00E35F8E"/>
    <w:rsid w:val="00E37689"/>
    <w:rsid w:val="00E400A1"/>
    <w:rsid w:val="00E407DA"/>
    <w:rsid w:val="00E40815"/>
    <w:rsid w:val="00E47015"/>
    <w:rsid w:val="00E54E3E"/>
    <w:rsid w:val="00E55A23"/>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000000"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000000"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000000"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000000"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000000"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000000"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000000"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000000"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000000"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000000"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hyperlink" Target="https://www.statista.com/outlook/amo/metaverse/indi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escholarship.org/uc/item/8h51c6s0" TargetMode="External"/><Relationship Id="rId2" Type="http://schemas.openxmlformats.org/officeDocument/2006/relationships/numbering" Target="numbering.xml"/><Relationship Id="rId16" Type="http://schemas.openxmlformats.org/officeDocument/2006/relationships/hyperlink" Target="https://doi.org/10.1016/j.ijcce.2024.02.001"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doi.org/10.1111/cgf.15065" TargetMode="External"/><Relationship Id="rId10" Type="http://schemas.openxmlformats.org/officeDocument/2006/relationships/hyperlink" Target="https://doi.org/10.1108/intr-01-2024-0030" TargetMode="External"/><Relationship Id="rId19" Type="http://schemas.openxmlformats.org/officeDocument/2006/relationships/hyperlink" Target="https://www.kenresearch.com/industry-reports/india-metaverse-marke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nvestopedia.com/terms/m/macromarke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8713</Words>
  <Characters>54292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2</cp:revision>
  <dcterms:created xsi:type="dcterms:W3CDTF">2026-07-16T04:59:00Z</dcterms:created>
  <dcterms:modified xsi:type="dcterms:W3CDTF">2026-07-16T04:59:00Z</dcterms:modified>
</cp:coreProperties>
</file>