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Doctoral Research Committee (DRC) Submission Summary</w:t>
      </w:r>
    </w:p>
    <w:p>
      <w:r>
        <w:rPr>
          <w:b w:val="0"/>
          <w:i/>
        </w:rPr>
        <w:t>Point-by-point response to committee observations and record of revisions</w:t>
      </w:r>
    </w:p>
    <w:p>
      <w:r>
        <w:rPr>
          <w:b w:val="0"/>
          <w:i w:val="0"/>
        </w:rPr>
      </w:r>
    </w:p>
    <w:tbl>
      <w:tblPr>
        <w:tblStyle w:val="TableGrid"/>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Candidate</w:t>
            </w:r>
          </w:p>
        </w:tc>
        <w:tc>
          <w:tcPr>
            <w:tcW w:type="dxa" w:w="4320"/>
          </w:tcPr>
          <w:p>
            <w:r/>
            <w:r>
              <w:t>Mohit Gundwal</w:t>
            </w:r>
          </w:p>
        </w:tc>
      </w:tr>
      <w:tr>
        <w:tc>
          <w:tcPr>
            <w:tcW w:type="dxa" w:w="4320"/>
          </w:tcPr>
          <w:p>
            <w:r/>
            <w:r>
              <w:t>Programme</w:t>
            </w:r>
          </w:p>
        </w:tc>
        <w:tc>
          <w:tcPr>
            <w:tcW w:type="dxa" w:w="4320"/>
          </w:tcPr>
          <w:p>
            <w:r/>
            <w:r>
              <w:t>Ph.D. (Management)</w:t>
            </w:r>
          </w:p>
        </w:tc>
      </w:tr>
      <w:tr>
        <w:tc>
          <w:tcPr>
            <w:tcW w:type="dxa" w:w="4320"/>
          </w:tcPr>
          <w:p>
            <w:r/>
            <w:r>
              <w:t>Thesis title</w:t>
            </w:r>
          </w:p>
        </w:tc>
        <w:tc>
          <w:tcPr>
            <w:tcW w:type="dxa" w:w="4320"/>
          </w:tcPr>
          <w:p>
            <w:r/>
            <w:r>
              <w:t>Optimisation of the Malta (Citrus sinensis) Distribution Channel in the Garhwal Region using an Integrated Fuzzy AHP-Fuzzy ELECTRE Framework</w:t>
            </w:r>
          </w:p>
        </w:tc>
      </w:tr>
      <w:tr>
        <w:tc>
          <w:tcPr>
            <w:tcW w:type="dxa" w:w="4320"/>
          </w:tcPr>
          <w:p>
            <w:r/>
            <w:r>
              <w:t>Supervisor / Co-supervisor</w:t>
            </w:r>
          </w:p>
        </w:tc>
        <w:tc>
          <w:tcPr>
            <w:tcW w:type="dxa" w:w="4320"/>
          </w:tcPr>
          <w:p>
            <w:r/>
            <w:r>
              <w:t>[To be completed by the candidate]</w:t>
            </w:r>
          </w:p>
        </w:tc>
      </w:tr>
      <w:tr>
        <w:tc>
          <w:tcPr>
            <w:tcW w:type="dxa" w:w="4320"/>
          </w:tcPr>
          <w:p>
            <w:r/>
            <w:r>
              <w:t>DRC meeting reference / date</w:t>
            </w:r>
          </w:p>
        </w:tc>
        <w:tc>
          <w:tcPr>
            <w:tcW w:type="dxa" w:w="4320"/>
          </w:tcPr>
          <w:p>
            <w:r/>
            <w:r>
              <w:t>[To be completed by the candidate]</w:t>
            </w:r>
          </w:p>
        </w:tc>
      </w:tr>
      <w:tr>
        <w:tc>
          <w:tcPr>
            <w:tcW w:type="dxa" w:w="4320"/>
          </w:tcPr>
          <w:p>
            <w:r/>
            <w:r>
              <w:t>Date of this submission</w:t>
            </w:r>
          </w:p>
        </w:tc>
        <w:tc>
          <w:tcPr>
            <w:tcW w:type="dxa" w:w="4320"/>
          </w:tcPr>
          <w:p>
            <w:r/>
            <w:r>
              <w:t>[To be completed by the candidate]</w:t>
            </w:r>
          </w:p>
        </w:tc>
      </w:tr>
      <w:tr>
        <w:tc>
          <w:tcPr>
            <w:tcW w:type="dxa" w:w="4320"/>
          </w:tcPr>
          <w:p>
            <w:r/>
            <w:r>
              <w:t>Revision window</w:t>
            </w:r>
          </w:p>
        </w:tc>
        <w:tc>
          <w:tcPr>
            <w:tcW w:type="dxa" w:w="4320"/>
          </w:tcPr>
          <w:p>
            <w:r/>
            <w:r>
              <w:t>One month from the date of the DRC observations</w:t>
            </w:r>
          </w:p>
        </w:tc>
      </w:tr>
    </w:tbl>
    <w:p>
      <w:r>
        <w:rPr>
          <w:b w:val="0"/>
          <w:i w:val="0"/>
        </w:rPr>
      </w:r>
    </w:p>
    <w:p>
      <w:r>
        <w:rPr>
          <w:b w:val="0"/>
          <w:i w:val="0"/>
        </w:rPr>
        <w:t>This document records the revisions made to the thesis in response to the observations of the Doctoral Research Committee. Each observation is mapped to the specific action taken and to the exact location of that change in the revised thesis. All additions to the thesis are marked in yellow highlight in the revised file 'Mohit Final V2.docx' to allow the committee to locate them quickly. Two further sections of this document set out, in full, the justification for the identification of the study blocks and for the adequacy of the data and sample size, and record how the written feedback of the expert validation panel was incorporated into the factor set.</w:t>
      </w:r>
    </w:p>
    <w:p>
      <w:pPr>
        <w:pStyle w:val="Heading1"/>
      </w:pPr>
      <w:r>
        <w:t>A. Point-by-point response to committee observations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Committee observation</w:t>
            </w:r>
          </w:p>
        </w:tc>
        <w:tc>
          <w:tcPr>
            <w:tcW w:type="dxa" w:w="2160"/>
          </w:tcPr>
          <w:p>
            <w:r/>
            <w:r>
              <w:rPr>
                <w:b/>
              </w:rPr>
              <w:t>Revision made</w:t>
            </w:r>
          </w:p>
        </w:tc>
        <w:tc>
          <w:tcPr>
            <w:tcW w:type="dxa" w:w="2160"/>
          </w:tcPr>
          <w:p>
            <w:r/>
            <w:r>
              <w:rPr>
                <w:b/>
              </w:rPr>
              <w:t>Location in revised thesis</w:t>
            </w:r>
          </w:p>
        </w:tc>
      </w:tr>
      <w:tr>
        <w:tc>
          <w:tcPr>
            <w:tcW w:type="dxa" w:w="2160"/>
          </w:tcPr>
          <w:p>
            <w:r/>
            <w:r>
              <w:t>1</w:t>
            </w:r>
          </w:p>
        </w:tc>
        <w:tc>
          <w:tcPr>
            <w:tcW w:type="dxa" w:w="2160"/>
          </w:tcPr>
          <w:p>
            <w:r/>
            <w:r>
              <w:t>Provide region-specific outcomes/conclusions for the Garhwal region.</w:t>
            </w:r>
          </w:p>
        </w:tc>
        <w:tc>
          <w:tcPr>
            <w:tcW w:type="dxa" w:w="2160"/>
          </w:tcPr>
          <w:p>
            <w:r/>
            <w:r>
              <w:t>Added a dedicated subsection drawing four district-level conclusions (Pauri Garhwal, Tehri Garhwal, Rudraprayag, Chamoli), each tied to the district's terrain, connectivity and institutional conditions and to the stage-criticality findings, supported by a summary table.</w:t>
            </w:r>
          </w:p>
        </w:tc>
        <w:tc>
          <w:tcPr>
            <w:tcW w:type="dxa" w:w="2160"/>
          </w:tcPr>
          <w:p>
            <w:r/>
            <w:r>
              <w:t>Section 8.1.1 and Table 8.1a</w:t>
            </w:r>
          </w:p>
        </w:tc>
      </w:tr>
      <w:tr>
        <w:tc>
          <w:tcPr>
            <w:tcW w:type="dxa" w:w="2160"/>
          </w:tcPr>
          <w:p>
            <w:r/>
            <w:r>
              <w:t>2</w:t>
            </w:r>
          </w:p>
        </w:tc>
        <w:tc>
          <w:tcPr>
            <w:tcW w:type="dxa" w:w="2160"/>
          </w:tcPr>
          <w:p>
            <w:r/>
            <w:r>
              <w:t>Present the geo-tagged field photographs in the correct academic format.</w:t>
            </w:r>
          </w:p>
        </w:tc>
        <w:tc>
          <w:tcPr>
            <w:tcW w:type="dxa" w:w="2160"/>
          </w:tcPr>
          <w:p>
            <w:r/>
            <w:r>
              <w:t>Added a methodological note stating that field observation was documented with geo-tagged photographs (coordinates, elevation, date), and created a new appendix that specifies the standardised plate-numbering and caption convention and provides a caption schema and a plate register to be completed with the images and their EXIF metadata.</w:t>
            </w:r>
          </w:p>
        </w:tc>
        <w:tc>
          <w:tcPr>
            <w:tcW w:type="dxa" w:w="2160"/>
          </w:tcPr>
          <w:p>
            <w:r/>
            <w:r>
              <w:t>Section 4.6.1 (note); Appendix C, Tables C.1 and C.2</w:t>
            </w:r>
          </w:p>
        </w:tc>
      </w:tr>
      <w:tr>
        <w:tc>
          <w:tcPr>
            <w:tcW w:type="dxa" w:w="2160"/>
          </w:tcPr>
          <w:p>
            <w:r/>
            <w:r>
              <w:t>3</w:t>
            </w:r>
          </w:p>
        </w:tc>
        <w:tc>
          <w:tcPr>
            <w:tcW w:type="dxa" w:w="2160"/>
          </w:tcPr>
          <w:p>
            <w:r/>
            <w:r>
              <w:t>Format the expert list into a proper validation table/section.</w:t>
            </w:r>
          </w:p>
        </w:tc>
        <w:tc>
          <w:tcPr>
            <w:tcW w:type="dxa" w:w="2160"/>
          </w:tcPr>
          <w:p>
            <w:r/>
            <w:r>
              <w:t>Added a note formalising the sixty-five-member expert panel and the forty-five detailed respondents, and created a new appendix containing the full panel roster and an item-level validation matrix with the columns ID, designation/affiliation, area of expertise, factor(s) validated, and specific suggestion/feedback.</w:t>
            </w:r>
          </w:p>
        </w:tc>
        <w:tc>
          <w:tcPr>
            <w:tcW w:type="dxa" w:w="2160"/>
          </w:tcPr>
          <w:p>
            <w:r/>
            <w:r>
              <w:t>Section 4.7.3 (note); Appendix D, Tables D.1 and D.2</w:t>
            </w:r>
          </w:p>
        </w:tc>
      </w:tr>
      <w:tr>
        <w:tc>
          <w:tcPr>
            <w:tcW w:type="dxa" w:w="2160"/>
          </w:tcPr>
          <w:p>
            <w:r/>
            <w:r>
              <w:t>4</w:t>
            </w:r>
          </w:p>
        </w:tc>
        <w:tc>
          <w:tcPr>
            <w:tcW w:type="dxa" w:w="2160"/>
          </w:tcPr>
          <w:p>
            <w:r/>
            <w:r>
              <w:t>Justify how the study blocks were identified.</w:t>
            </w:r>
          </w:p>
        </w:tc>
        <w:tc>
          <w:tcPr>
            <w:tcW w:type="dxa" w:w="2160"/>
          </w:tcPr>
          <w:p>
            <w:r/>
            <w:r>
              <w:t>Added a subsection setting out the four nested sampling stages (district, block, village/orchard cluster, respondent) and the four explicit criteria used to identify blocks, with a supporting table. The full argument is reproduced in Section B of this document.</w:t>
            </w:r>
          </w:p>
        </w:tc>
        <w:tc>
          <w:tcPr>
            <w:tcW w:type="dxa" w:w="2160"/>
          </w:tcPr>
          <w:p>
            <w:r/>
            <w:r>
              <w:t>Section 4.8.1 and Table 4.5a</w:t>
            </w:r>
          </w:p>
        </w:tc>
      </w:tr>
      <w:tr>
        <w:tc>
          <w:tcPr>
            <w:tcW w:type="dxa" w:w="2160"/>
          </w:tcPr>
          <w:p>
            <w:r/>
            <w:r>
              <w:t>5</w:t>
            </w:r>
          </w:p>
        </w:tc>
        <w:tc>
          <w:tcPr>
            <w:tcW w:type="dxa" w:w="2160"/>
          </w:tcPr>
          <w:p>
            <w:r/>
            <w:r>
              <w:t>Justify the adequacy of the data and sample size.</w:t>
            </w:r>
          </w:p>
        </w:tc>
        <w:tc>
          <w:tcPr>
            <w:tcW w:type="dxa" w:w="2160"/>
          </w:tcPr>
          <w:p>
            <w:r/>
            <w:r>
              <w:t>The existing sample-size justification (four reasons; stratified-design logic; measurement stability; reduced dependence on small expert panels) was reinforced with a paragraph linking the block frame to per-cell adequacy. The consolidated argument is set out in Section C of this document.</w:t>
            </w:r>
          </w:p>
        </w:tc>
        <w:tc>
          <w:tcPr>
            <w:tcW w:type="dxa" w:w="2160"/>
          </w:tcPr>
          <w:p>
            <w:r/>
            <w:r>
              <w:t>Sections 4.9 and 4.9.1; reinforcing paragraph in Section 4.8.1</w:t>
            </w:r>
          </w:p>
        </w:tc>
      </w:tr>
      <w:tr>
        <w:tc>
          <w:tcPr>
            <w:tcW w:type="dxa" w:w="2160"/>
          </w:tcPr>
          <w:p>
            <w:r/>
            <w:r>
              <w:t>6</w:t>
            </w:r>
          </w:p>
        </w:tc>
        <w:tc>
          <w:tcPr>
            <w:tcW w:type="dxa" w:w="2160"/>
          </w:tcPr>
          <w:p>
            <w:r/>
            <w:r>
              <w:t>Ensure the factor set reflects expert validation feedback.</w:t>
            </w:r>
          </w:p>
        </w:tc>
        <w:tc>
          <w:tcPr>
            <w:tcW w:type="dxa" w:w="2160"/>
          </w:tcPr>
          <w:p>
            <w:r/>
            <w:r>
              <w:t>The written Q1 (additional factors) and Q2 (redundant/irrelevant factors) responses of the forty-five experts were mapped to the factor-refinement decisions that reduced the pool from 144 to 82 factors. The disposition is recorded in Section D of this document.</w:t>
            </w:r>
          </w:p>
        </w:tc>
        <w:tc>
          <w:tcPr>
            <w:tcW w:type="dxa" w:w="2160"/>
          </w:tcPr>
          <w:p>
            <w:r/>
            <w:r>
              <w:t>Section 4.11; Appendix D; Section D below</w:t>
            </w:r>
          </w:p>
        </w:tc>
      </w:tr>
    </w:tbl>
    <w:p>
      <w:pPr>
        <w:pStyle w:val="Heading1"/>
      </w:pPr>
      <w:r>
        <w:t>B. Justification for the identification of the study blocks</w:t>
      </w:r>
    </w:p>
    <w:p>
      <w:r>
        <w:rPr>
          <w:b w:val="0"/>
          <w:i w:val="0"/>
        </w:rPr>
        <w:t>The study employed a multi-stage stratified design that proceeds through four nested stages: district, development block, village or orchard cluster, and individual respondent. The four Malta-growing districts of Garhwal, namely Pauri Garhwal, Tehri Garhwal, Rudraprayag and Chamoli, form the first-stage stratum. Within each district the development block was adopted as the second-stage sampling unit for three reasons. The block is the smallest administrative unit at which the District Horticulture Office maintains Malta area-and-production records; it is the unit at which extension, collection and marketing services are organised; and it is therefore the natural intermediate frame between the district and the individual orchard cluster.</w:t>
      </w:r>
    </w:p>
    <w:p>
      <w:r>
        <w:rPr>
          <w:b w:val="0"/>
          <w:i w:val="0"/>
        </w:rPr>
        <w:t>Blocks were identified purposively against four explicit criteria:</w:t>
      </w:r>
    </w:p>
    <w:tbl>
      <w:tblPr>
        <w:tblStyle w:val="TableGrid"/>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Rationale</w:t>
            </w:r>
          </w:p>
        </w:tc>
      </w:tr>
      <w:tr>
        <w:tc>
          <w:tcPr>
            <w:tcW w:type="dxa" w:w="4320"/>
          </w:tcPr>
          <w:p>
            <w:r/>
            <w:r>
              <w:t>Malta-production concentration</w:t>
            </w:r>
          </w:p>
        </w:tc>
        <w:tc>
          <w:tcPr>
            <w:tcW w:type="dxa" w:w="4320"/>
          </w:tcPr>
          <w:p>
            <w:r/>
            <w:r>
              <w:t>Blocks were ranked by reported Malta area and output in District Horticulture Office records; those accounting for the bulk of district production were retained, so that the sample is drawn from where the crop actually matters.</w:t>
            </w:r>
          </w:p>
        </w:tc>
      </w:tr>
      <w:tr>
        <w:tc>
          <w:tcPr>
            <w:tcW w:type="dxa" w:w="4320"/>
          </w:tcPr>
          <w:p>
            <w:r/>
            <w:r>
              <w:t>Terrain representation</w:t>
            </w:r>
          </w:p>
        </w:tc>
        <w:tc>
          <w:tcPr>
            <w:tcW w:type="dxa" w:w="4320"/>
          </w:tcPr>
          <w:p>
            <w:r/>
            <w:r>
              <w:t>Within each district the selection deliberately combined road-head blocks with interior, non-road-head blocks, so that the heterogeneity of connectivity and haulage conditions that shapes distribution outcomes was captured rather than averaged away.</w:t>
            </w:r>
          </w:p>
        </w:tc>
      </w:tr>
      <w:tr>
        <w:tc>
          <w:tcPr>
            <w:tcW w:type="dxa" w:w="4320"/>
          </w:tcPr>
          <w:p>
            <w:r/>
            <w:r>
              <w:t>Agro-climatic coverage</w:t>
            </w:r>
          </w:p>
        </w:tc>
        <w:tc>
          <w:tcPr>
            <w:tcW w:type="dxa" w:w="4320"/>
          </w:tcPr>
          <w:p>
            <w:r/>
            <w:r>
              <w:t>Blocks were chosen to span the principal elevation and agro-climatic zones in which Malta is grown in each district, from mid-hill to high-altitude clusters.</w:t>
            </w:r>
          </w:p>
        </w:tc>
      </w:tr>
      <w:tr>
        <w:tc>
          <w:tcPr>
            <w:tcW w:type="dxa" w:w="4320"/>
          </w:tcPr>
          <w:p>
            <w:r/>
            <w:r>
              <w:t>Channel observability</w:t>
            </w:r>
          </w:p>
        </w:tc>
        <w:tc>
          <w:tcPr>
            <w:tcW w:type="dxa" w:w="4320"/>
          </w:tcPr>
          <w:p>
            <w:r/>
            <w:r>
              <w:t>Each selected block contained at least one functioning collection point, mandi or sub-mandi, or FPO, so that all five channel stages, from farm to retail and the transport function that spans them, could be observed within the block.</w:t>
            </w:r>
          </w:p>
        </w:tc>
      </w:tr>
    </w:tbl>
    <w:p>
      <w:r>
        <w:rPr>
          <w:b w:val="0"/>
          <w:i w:val="0"/>
        </w:rPr>
        <w:t>Blocks with negligible Malta area, or with no active marketing or aggregation activity, were excluded. This procedure ensures that the block frame is production-relevant, terrain-representative, and analytically complete for a stage-wise channel study. The specific blocks selected are: in Pauri Garhwal, the Khirsu, Pauri, Kaljikhal, Thalisain, Lansdowne, and Kotdwar-belt blocks; in Tehri Garhwal, the Chamba, Ranichauri, Devprayag, Narendra Nagar, and Thauldhar blocks; in Chamoli, the Karnaprayag, Dasholi, Ghat, Gauchar, and Pokhari blocks; and in Rudraprayag, the Augustmuni, Ukhimath, Jakholi, and Rudraprayag blocks (Table 4.5a of the revised thesis).</w:t>
      </w:r>
    </w:p>
    <w:p>
      <w:r>
        <w:rPr>
          <w:b w:val="0"/>
        </w:rPr>
        <w:t>The comparative basis for selecting these districts and blocks is consolidated below. Each district was chosen to represent a distinct and necessary segment of the Garhwal Malta channel, as summarised in Table 4.5d (reproduced from Section 4.8.2 of the revised thesis).</w:t>
      </w:r>
    </w:p>
    <w:p>
      <w:r>
        <w:rPr>
          <w:b/>
        </w:rPr>
        <w:t>Table 4.5d Integrated selection rationale, production profiles, and marketing dynamics for the study sites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District</w:t>
            </w:r>
          </w:p>
        </w:tc>
        <w:tc>
          <w:tcPr>
            <w:tcW w:type="dxa" w:w="1728"/>
          </w:tcPr>
          <w:p>
            <w:r/>
            <w:r>
              <w:rPr>
                <w:b/>
              </w:rPr>
              <w:t>Agro-climatic &amp; topographic profile</w:t>
            </w:r>
          </w:p>
        </w:tc>
        <w:tc>
          <w:tcPr>
            <w:tcW w:type="dxa" w:w="1728"/>
          </w:tcPr>
          <w:p>
            <w:r/>
            <w:r>
              <w:rPr>
                <w:b/>
              </w:rPr>
              <w:t>Production volume &amp; harvest dynamics</w:t>
            </w:r>
          </w:p>
        </w:tc>
        <w:tc>
          <w:tcPr>
            <w:tcW w:type="dxa" w:w="1728"/>
          </w:tcPr>
          <w:p>
            <w:r/>
            <w:r>
              <w:rPr>
                <w:b/>
              </w:rPr>
              <w:t>Supply-chain &amp; marketing channel profile</w:t>
            </w:r>
          </w:p>
        </w:tc>
        <w:tc>
          <w:tcPr>
            <w:tcW w:type="dxa" w:w="1728"/>
          </w:tcPr>
          <w:p>
            <w:r/>
            <w:r>
              <w:rPr>
                <w:b/>
              </w:rPr>
              <w:t>Methodological &amp; analytical justification for selection</w:t>
            </w:r>
          </w:p>
        </w:tc>
      </w:tr>
      <w:tr>
        <w:tc>
          <w:tcPr>
            <w:tcW w:type="dxa" w:w="1728"/>
          </w:tcPr>
          <w:p>
            <w:r/>
            <w:r>
              <w:t>Pauri Garhwal</w:t>
            </w:r>
          </w:p>
        </w:tc>
        <w:tc>
          <w:tcPr>
            <w:tcW w:type="dxa" w:w="1728"/>
          </w:tcPr>
          <w:p>
            <w:r/>
            <w:r>
              <w:t>Elevation 900-1,800 m; sub-temperate climate with optimal chilling hours.</w:t>
            </w:r>
          </w:p>
        </w:tc>
        <w:tc>
          <w:tcPr>
            <w:tcW w:type="dxa" w:w="1728"/>
          </w:tcPr>
          <w:p>
            <w:r/>
            <w:r>
              <w:t>Highest share (~35-40% cluster output); peak harvest Nov-Dec; high density of mature trees in scattered homegardens (Goswami et al., 2020).</w:t>
            </w:r>
          </w:p>
        </w:tc>
        <w:tc>
          <w:tcPr>
            <w:tcW w:type="dxa" w:w="1728"/>
          </w:tcPr>
          <w:p>
            <w:r/>
            <w:r>
              <w:t>Dominance of pre-harvest contractor channels; primary transit via Kotdwar/Rishikesh mandis; post-harvest loss 20-30%.</w:t>
            </w:r>
          </w:p>
        </w:tc>
        <w:tc>
          <w:tcPr>
            <w:tcW w:type="dxa" w:w="1728"/>
          </w:tcPr>
          <w:p>
            <w:r/>
            <w:r>
              <w:t>Officially designated One District One Product (ODOP) cluster for citrus under PMFME; establishes the commercial baseline for market-margin and volume comparisons.</w:t>
            </w:r>
          </w:p>
        </w:tc>
      </w:tr>
      <w:tr>
        <w:tc>
          <w:tcPr>
            <w:tcW w:type="dxa" w:w="1728"/>
          </w:tcPr>
          <w:p>
            <w:r/>
            <w:r>
              <w:t>Tehri Garhwal</w:t>
            </w:r>
          </w:p>
        </w:tc>
        <w:tc>
          <w:tcPr>
            <w:tcW w:type="dxa" w:w="1728"/>
          </w:tcPr>
          <w:p>
            <w:r/>
            <w:r>
              <w:t>Elevation 1,000-2,000 m; high sun exposure along river-valley terraces.</w:t>
            </w:r>
          </w:p>
        </w:tc>
        <w:tc>
          <w:tcPr>
            <w:tcW w:type="dxa" w:w="1728"/>
          </w:tcPr>
          <w:p>
            <w:r/>
            <w:r>
              <w:t>Major share (~25-30% cluster output); peak harvest Nov-Jan; high TSS (total soluble solids) and sugar-acid balance.</w:t>
            </w:r>
          </w:p>
        </w:tc>
        <w:tc>
          <w:tcPr>
            <w:tcW w:type="dxa" w:w="1728"/>
          </w:tcPr>
          <w:p>
            <w:r/>
            <w:r>
              <w:t>Major roadside direct-sales along the NH-34 corridor; pre-harvest contractor and commission-agent purchasing (Saxena &amp; Singh, 2015); post-harvest loss 15-25%.</w:t>
            </w:r>
          </w:p>
        </w:tc>
        <w:tc>
          <w:tcPr>
            <w:tcW w:type="dxa" w:w="1728"/>
          </w:tcPr>
          <w:p>
            <w:r/>
            <w:r>
              <w:t>Captures highway aggregation-corridor dynamics; facilitates linkage with regional horticultural institutions (VCSG UUHF Ranichauri).</w:t>
            </w:r>
          </w:p>
        </w:tc>
      </w:tr>
      <w:tr>
        <w:tc>
          <w:tcPr>
            <w:tcW w:type="dxa" w:w="1728"/>
          </w:tcPr>
          <w:p>
            <w:r/>
            <w:r>
              <w:t>Chamoli</w:t>
            </w:r>
          </w:p>
        </w:tc>
        <w:tc>
          <w:tcPr>
            <w:tcW w:type="dxa" w:w="1728"/>
          </w:tcPr>
          <w:p>
            <w:r/>
            <w:r>
              <w:t>Elevation 1,400-2,200 m; high-altitude temperate transition zone.</w:t>
            </w:r>
          </w:p>
        </w:tc>
        <w:tc>
          <w:tcPr>
            <w:tcW w:type="dxa" w:w="1728"/>
          </w:tcPr>
          <w:p>
            <w:r/>
            <w:r>
              <w:t>Moderate share (~15-20% cluster output); extended ripening window into January; high fruit shelf-life potential.</w:t>
            </w:r>
          </w:p>
        </w:tc>
        <w:tc>
          <w:tcPr>
            <w:tcW w:type="dxa" w:w="1728"/>
          </w:tcPr>
          <w:p>
            <w:r/>
            <w:r>
              <w:t>High freight costs from long transit distances to plains markets; severe producer-price depreciation; post-harvest loss 25-35% (Goswami et al., 2020).</w:t>
            </w:r>
          </w:p>
        </w:tc>
        <w:tc>
          <w:tcPr>
            <w:tcW w:type="dxa" w:w="1728"/>
          </w:tcPr>
          <w:p>
            <w:r/>
            <w:r>
              <w:t>Provides an extreme-case sample for remote, high-altitude terrain; evaluates severe logistical bottlenecks and farm-gate versus retail price-realisation gaps.</w:t>
            </w:r>
          </w:p>
        </w:tc>
      </w:tr>
      <w:tr>
        <w:tc>
          <w:tcPr>
            <w:tcW w:type="dxa" w:w="1728"/>
          </w:tcPr>
          <w:p>
            <w:r/>
            <w:r>
              <w:t>Rudraprayag</w:t>
            </w:r>
          </w:p>
        </w:tc>
        <w:tc>
          <w:tcPr>
            <w:tcW w:type="dxa" w:w="1728"/>
          </w:tcPr>
          <w:p>
            <w:r/>
            <w:r>
              <w:t>Elevation 1,000-1,900 m; steep slope geography along the Mandakini basin.</w:t>
            </w:r>
          </w:p>
        </w:tc>
        <w:tc>
          <w:tcPr>
            <w:tcW w:type="dxa" w:w="1728"/>
          </w:tcPr>
          <w:p>
            <w:r/>
            <w:r>
              <w:t>Localised share (~10-15% cluster output); highly fragmented micro-holdings (&lt; 0.5 ha); harvest peak Nov-Dec.</w:t>
            </w:r>
          </w:p>
        </w:tc>
        <w:tc>
          <w:tcPr>
            <w:tcW w:type="dxa" w:w="1728"/>
          </w:tcPr>
          <w:p>
            <w:r/>
            <w:r>
              <w:t>Limited local storage infrastructure; emerging reliance on Self-Help Groups (SHGs) and local processing units for squashes and ready-to-serve (RTS) beverages.</w:t>
            </w:r>
          </w:p>
        </w:tc>
        <w:tc>
          <w:tcPr>
            <w:tcW w:type="dxa" w:w="1728"/>
          </w:tcPr>
          <w:p>
            <w:r/>
            <w:r>
              <w:t>Evaluates community-based value addition and SHG interventions; analyses alternatives to traditional contractor-dominated supply chains.</w:t>
            </w:r>
          </w:p>
        </w:tc>
      </w:tr>
    </w:tbl>
    <w:p>
      <w:r>
        <w:rPr>
          <w:b w:val="0"/>
        </w:rPr>
        <w:t>Source: Author, compiled from field survey data, District Horticulture Office records, Goswami et al. (2020), and Saxena and Singh (2015).</w:t>
      </w:r>
    </w:p>
    <w:p>
      <w:pPr>
        <w:pStyle w:val="Heading1"/>
      </w:pPr>
      <w:r>
        <w:t>C. Justification for the adequacy of the data and sample size</w:t>
      </w:r>
    </w:p>
    <w:p>
      <w:r>
        <w:rPr>
          <w:b w:val="0"/>
          <w:i w:val="0"/>
        </w:rPr>
        <w:t>A target of 1,500 respondents was set; 1,421 completed responses were collected across the four districts, and 1,300 valid responses were retained for analysis after data screening. The adequacy of this sample rests on five connected arguments.</w:t>
      </w:r>
    </w:p>
    <w:tbl>
      <w:tblPr>
        <w:tblStyle w:val="TableGrid"/>
        <w:tblW w:type="auto" w:w="0"/>
        <w:tblLook w:firstColumn="1" w:firstRow="1" w:lastColumn="0" w:lastRow="0" w:noHBand="0" w:noVBand="1" w:val="04A0"/>
      </w:tblPr>
      <w:tblGrid>
        <w:gridCol w:w="4320"/>
        <w:gridCol w:w="4320"/>
      </w:tblGrid>
      <w:tr>
        <w:tc>
          <w:tcPr>
            <w:tcW w:type="dxa" w:w="4320"/>
          </w:tcPr>
          <w:p>
            <w:r/>
            <w:r>
              <w:rPr>
                <w:b/>
              </w:rPr>
              <w:t>Argument</w:t>
            </w:r>
          </w:p>
        </w:tc>
        <w:tc>
          <w:tcPr>
            <w:tcW w:type="dxa" w:w="4320"/>
          </w:tcPr>
          <w:p>
            <w:r/>
            <w:r>
              <w:rPr>
                <w:b/>
              </w:rPr>
              <w:t>Explanation</w:t>
            </w:r>
          </w:p>
        </w:tc>
      </w:tr>
      <w:tr>
        <w:tc>
          <w:tcPr>
            <w:tcW w:type="dxa" w:w="4320"/>
          </w:tcPr>
          <w:p>
            <w:r/>
            <w:r>
              <w:t>1. Multi-stakeholder, multi-district, multi-block design</w:t>
            </w:r>
          </w:p>
        </w:tc>
        <w:tc>
          <w:tcPr>
            <w:tcW w:type="dxa" w:w="4320"/>
          </w:tcPr>
          <w:p>
            <w:r/>
            <w:r>
              <w:t>To represent five active stakeholder groups across four districts and the blocks selected within them with sufficient reliability, each district-by-stakeholder cell must contain a defensible number of respondents. Cochran's (1977) logic for stratified designs implies that the total sample must rise with the number of strata; 1,300 comfortably satisfies this even after disaggregation to block level.</w:t>
            </w:r>
          </w:p>
        </w:tc>
      </w:tr>
      <w:tr>
        <w:tc>
          <w:tcPr>
            <w:tcW w:type="dxa" w:w="4320"/>
          </w:tcPr>
          <w:p>
            <w:r/>
            <w:r>
              <w:t>2. Statistical robustness of the measurement model</w:t>
            </w:r>
          </w:p>
        </w:tc>
        <w:tc>
          <w:tcPr>
            <w:tcW w:type="dxa" w:w="4320"/>
          </w:tcPr>
          <w:p>
            <w:r/>
            <w:r>
              <w:t>Reliability coefficients, inter-item correlations, and the descriptive statistics that feed the decision matrices are estimated far more precisely at N = 1,300 than with a small panel, and sampling error is correspondingly reduced (Hair et al., 2019; Tabachnick and Fidell, 2019).</w:t>
            </w:r>
          </w:p>
        </w:tc>
      </w:tr>
      <w:tr>
        <w:tc>
          <w:tcPr>
            <w:tcW w:type="dxa" w:w="4320"/>
          </w:tcPr>
          <w:p>
            <w:r/>
            <w:r>
              <w:t>3. Stability of the fuzzy weights and outranking</w:t>
            </w:r>
          </w:p>
        </w:tc>
        <w:tc>
          <w:tcPr>
            <w:tcW w:type="dxa" w:w="4320"/>
          </w:tcPr>
          <w:p>
            <w:r/>
            <w:r>
              <w:t>Because the fuzzy weights and outranking relations depend on perception data, a large sample makes the derived weights and the stage ranking stable rather than sensitive to a few responses. The sensitivity analysis confirms invariance under +/-15% and +/-30% perturbation of every weight.</w:t>
            </w:r>
          </w:p>
        </w:tc>
      </w:tr>
      <w:tr>
        <w:tc>
          <w:tcPr>
            <w:tcW w:type="dxa" w:w="4320"/>
          </w:tcPr>
          <w:p>
            <w:r/>
            <w:r>
              <w:t>4. Reduced dependence on a small expert panel</w:t>
            </w:r>
          </w:p>
        </w:tc>
        <w:tc>
          <w:tcPr>
            <w:tcW w:type="dxa" w:w="4320"/>
          </w:tcPr>
          <w:p>
            <w:r/>
            <w:r>
              <w:t>Traditional Fuzzy AHP/ELECTRE applications rely on a handful of experts, which makes the weights sensitive to individual idiosyncrasy (Saaty, 1980; Ishizaka and Nemery, 2013). Grounding perception measurement in a large multi-actor sample, while reserving expert judgement for the pairwise-comparison stage, yields weights that reflect the channel as a whole.</w:t>
            </w:r>
          </w:p>
        </w:tc>
      </w:tr>
      <w:tr>
        <w:tc>
          <w:tcPr>
            <w:tcW w:type="dxa" w:w="4320"/>
          </w:tcPr>
          <w:p>
            <w:r/>
            <w:r>
              <w:t>5. Transparent treatment of limitations</w:t>
            </w:r>
          </w:p>
        </w:tc>
        <w:tc>
          <w:tcPr>
            <w:tcW w:type="dxa" w:w="4320"/>
          </w:tcPr>
          <w:p>
            <w:r/>
            <w:r>
              <w:t>The sampling frame was assembled from horticulture, mandi, FPO and enumerated grower records and is an approximation rather than a closed population list; response/non-response rates were not systematically logged; and the expert sub-sample was chosen for information-richness. These caveats are stated plainly (Section 4.9.1) and generalisation claims are made with caution.</w:t>
            </w:r>
          </w:p>
        </w:tc>
      </w:tr>
    </w:tbl>
    <w:p>
      <w:r>
        <w:rPr>
          <w:b w:val="0"/>
          <w:i w:val="0"/>
        </w:rPr>
        <w:t>Taken together, these arguments establish that 1,300 valid responses are adequate, and indeed conservative, for a stratified multi-stakeholder fuzzy-MCDM study of this scope.</w:t>
      </w:r>
    </w:p>
    <w:p>
      <w:pPr>
        <w:pStyle w:val="Heading1"/>
      </w:pPr>
      <w:r>
        <w:t>D. Incorporation of expert-panel validation feedback</w:t>
      </w:r>
    </w:p>
    <w:p>
      <w:r>
        <w:rPr>
          <w:b w:val="0"/>
          <w:i w:val="0"/>
        </w:rPr>
        <w:t>The forty-five experts who returned detailed feedback each proposed additional factors (Q1) and flagged factors they judged redundant or irrelevant (Q2). These inputs were carried into the factor-refinement process that reduced the candidate pool from 144 to 82 factors (Section 4.11). The tables below record the disposition of the feedback by theme; the full expert-by-expert detail appears in Appendix D of the revised thesis.</w:t>
      </w:r>
    </w:p>
    <w:p>
      <w:r>
        <w:rPr>
          <w:b/>
          <w:i w:val="0"/>
        </w:rPr>
        <w:t>D.1 Disposition of additional-factor suggestions (Q1)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Suggested addition (theme)</w:t>
            </w:r>
          </w:p>
        </w:tc>
        <w:tc>
          <w:tcPr>
            <w:tcW w:type="dxa" w:w="2880"/>
          </w:tcPr>
          <w:p>
            <w:r/>
            <w:r>
              <w:rPr>
                <w:b/>
              </w:rPr>
              <w:t>Representative experts</w:t>
            </w:r>
          </w:p>
        </w:tc>
        <w:tc>
          <w:tcPr>
            <w:tcW w:type="dxa" w:w="2880"/>
          </w:tcPr>
          <w:p>
            <w:r/>
            <w:r>
              <w:rPr>
                <w:b/>
              </w:rPr>
              <w:t>Disposition</w:t>
            </w:r>
          </w:p>
        </w:tc>
      </w:tr>
      <w:tr>
        <w:tc>
          <w:tcPr>
            <w:tcW w:type="dxa" w:w="2880"/>
          </w:tcPr>
          <w:p>
            <w:r/>
            <w:r>
              <w:t>Hill-terrain hazard risk and non-road-head head-load/mule haulage cost</w:t>
            </w:r>
          </w:p>
        </w:tc>
        <w:tc>
          <w:tcPr>
            <w:tcW w:type="dxa" w:w="2880"/>
          </w:tcPr>
          <w:p>
            <w:r/>
            <w:r>
              <w:t>EV01, EV02, EV40</w:t>
            </w:r>
          </w:p>
        </w:tc>
        <w:tc>
          <w:tcPr>
            <w:tcW w:type="dxa" w:w="2880"/>
          </w:tcPr>
          <w:p>
            <w:r/>
            <w:r>
              <w:t>Accepted; represented within the Transport-stage cost and quality factors as terrain-hazard and first-mile haulage variables.</w:t>
            </w:r>
          </w:p>
        </w:tc>
      </w:tr>
      <w:tr>
        <w:tc>
          <w:tcPr>
            <w:tcW w:type="dxa" w:w="2880"/>
          </w:tcPr>
          <w:p>
            <w:r/>
            <w:r>
              <w:t>Post-harvest weight loss, weather exposure and shelf-life extension (coatings, waxing)</w:t>
            </w:r>
          </w:p>
        </w:tc>
        <w:tc>
          <w:tcPr>
            <w:tcW w:type="dxa" w:w="2880"/>
          </w:tcPr>
          <w:p>
            <w:r/>
            <w:r>
              <w:t>EV04, EV07, EV35</w:t>
            </w:r>
          </w:p>
        </w:tc>
        <w:tc>
          <w:tcPr>
            <w:tcW w:type="dxa" w:w="2880"/>
          </w:tcPr>
          <w:p>
            <w:r/>
            <w:r>
              <w:t>Accepted; represented within Farm- and Transport-stage quality factors.</w:t>
            </w:r>
          </w:p>
        </w:tc>
      </w:tr>
      <w:tr>
        <w:tc>
          <w:tcPr>
            <w:tcW w:type="dxa" w:w="2880"/>
          </w:tcPr>
          <w:p>
            <w:r/>
            <w:r>
              <w:t>Primary processing, grading and by-product recovery at cluster level</w:t>
            </w:r>
          </w:p>
        </w:tc>
        <w:tc>
          <w:tcPr>
            <w:tcW w:type="dxa" w:w="2880"/>
          </w:tcPr>
          <w:p>
            <w:r/>
            <w:r>
              <w:t>EV05, EV17, EV44</w:t>
            </w:r>
          </w:p>
        </w:tc>
        <w:tc>
          <w:tcPr>
            <w:tcW w:type="dxa" w:w="2880"/>
          </w:tcPr>
          <w:p>
            <w:r/>
            <w:r>
              <w:t>Accepted; represented within Farm-stage quality/processing factors.</w:t>
            </w:r>
          </w:p>
        </w:tc>
      </w:tr>
      <w:tr>
        <w:tc>
          <w:tcPr>
            <w:tcW w:type="dxa" w:w="2880"/>
          </w:tcPr>
          <w:p>
            <w:r/>
            <w:r>
              <w:t>Women-SHG labour and gender wage parity in sorting and grading</w:t>
            </w:r>
          </w:p>
        </w:tc>
        <w:tc>
          <w:tcPr>
            <w:tcW w:type="dxa" w:w="2880"/>
          </w:tcPr>
          <w:p>
            <w:r/>
            <w:r>
              <w:t>EV06, EV37</w:t>
            </w:r>
          </w:p>
        </w:tc>
        <w:tc>
          <w:tcPr>
            <w:tcW w:type="dxa" w:w="2880"/>
          </w:tcPr>
          <w:p>
            <w:r/>
            <w:r>
              <w:t>Accepted; represented within Farm/Trader-stage cost factors.</w:t>
            </w:r>
          </w:p>
        </w:tc>
      </w:tr>
      <w:tr>
        <w:tc>
          <w:tcPr>
            <w:tcW w:type="dxa" w:w="2880"/>
          </w:tcPr>
          <w:p>
            <w:r/>
            <w:r>
              <w:t>Cold-chain and reefer availability, power supply, highway cold hubs</w:t>
            </w:r>
          </w:p>
        </w:tc>
        <w:tc>
          <w:tcPr>
            <w:tcW w:type="dxa" w:w="2880"/>
          </w:tcPr>
          <w:p>
            <w:r/>
            <w:r>
              <w:t>EV10, EV23, EV32, EV39</w:t>
            </w:r>
          </w:p>
        </w:tc>
        <w:tc>
          <w:tcPr>
            <w:tcW w:type="dxa" w:w="2880"/>
          </w:tcPr>
          <w:p>
            <w:r/>
            <w:r>
              <w:t>Accepted; represented within Transport-stage quality/infrastructure factors.</w:t>
            </w:r>
          </w:p>
        </w:tc>
      </w:tr>
      <w:tr>
        <w:tc>
          <w:tcPr>
            <w:tcW w:type="dxa" w:w="2880"/>
          </w:tcPr>
          <w:p>
            <w:r/>
            <w:r>
              <w:t>Feeder roads, toll/axle restrictions, GPS/route optimisation, driver constraints</w:t>
            </w:r>
          </w:p>
        </w:tc>
        <w:tc>
          <w:tcPr>
            <w:tcW w:type="dxa" w:w="2880"/>
          </w:tcPr>
          <w:p>
            <w:r/>
            <w:r>
              <w:t>EV16, EV18, EV34, EV45</w:t>
            </w:r>
          </w:p>
        </w:tc>
        <w:tc>
          <w:tcPr>
            <w:tcW w:type="dxa" w:w="2880"/>
          </w:tcPr>
          <w:p>
            <w:r/>
            <w:r>
              <w:t>Accepted; represented within Transport-stage time/cost factors.</w:t>
            </w:r>
          </w:p>
        </w:tc>
      </w:tr>
      <w:tr>
        <w:tc>
          <w:tcPr>
            <w:tcW w:type="dxa" w:w="2880"/>
          </w:tcPr>
          <w:p>
            <w:r/>
            <w:r>
              <w:t>FPO working-capital credit, contractual purchase guarantees, cooperative bargaining</w:t>
            </w:r>
          </w:p>
        </w:tc>
        <w:tc>
          <w:tcPr>
            <w:tcW w:type="dxa" w:w="2880"/>
          </w:tcPr>
          <w:p>
            <w:r/>
            <w:r>
              <w:t>EV09, EV12, EV27, EV42</w:t>
            </w:r>
          </w:p>
        </w:tc>
        <w:tc>
          <w:tcPr>
            <w:tcW w:type="dxa" w:w="2880"/>
          </w:tcPr>
          <w:p>
            <w:r/>
            <w:r>
              <w:t>Accepted; represented within Farm/Trader-stage cost and coordination factors.</w:t>
            </w:r>
          </w:p>
        </w:tc>
      </w:tr>
      <w:tr>
        <w:tc>
          <w:tcPr>
            <w:tcW w:type="dxa" w:w="2880"/>
          </w:tcPr>
          <w:p>
            <w:r/>
            <w:r>
              <w:t>Market information: digital price awareness, information asymmetry, demand elasticity</w:t>
            </w:r>
          </w:p>
        </w:tc>
        <w:tc>
          <w:tcPr>
            <w:tcW w:type="dxa" w:w="2880"/>
          </w:tcPr>
          <w:p>
            <w:r/>
            <w:r>
              <w:t>EV08, EV20, EV33</w:t>
            </w:r>
          </w:p>
        </w:tc>
        <w:tc>
          <w:tcPr>
            <w:tcW w:type="dxa" w:w="2880"/>
          </w:tcPr>
          <w:p>
            <w:r/>
            <w:r>
              <w:t>Accepted; represented within Farm/Retail-stage information and price-discovery factors.</w:t>
            </w:r>
          </w:p>
        </w:tc>
      </w:tr>
      <w:tr>
        <w:tc>
          <w:tcPr>
            <w:tcW w:type="dxa" w:w="2880"/>
          </w:tcPr>
          <w:p>
            <w:r/>
            <w:r>
              <w:t>Mandi infrastructure: auction bays, turnaround, transparency, e-NAM, weighbridges</w:t>
            </w:r>
          </w:p>
        </w:tc>
        <w:tc>
          <w:tcPr>
            <w:tcW w:type="dxa" w:w="2880"/>
          </w:tcPr>
          <w:p>
            <w:r/>
            <w:r>
              <w:t>EV14, EV19, EV25, EV36</w:t>
            </w:r>
          </w:p>
        </w:tc>
        <w:tc>
          <w:tcPr>
            <w:tcW w:type="dxa" w:w="2880"/>
          </w:tcPr>
          <w:p>
            <w:r/>
            <w:r>
              <w:t>Accepted; represented within Mandi-stage time/quality factors.</w:t>
            </w:r>
          </w:p>
        </w:tc>
      </w:tr>
      <w:tr>
        <w:tc>
          <w:tcPr>
            <w:tcW w:type="dxa" w:w="2880"/>
          </w:tcPr>
          <w:p>
            <w:r/>
            <w:r>
              <w:t>Organic/GI premium, consumer willingness-to-pay, branding, fair-trade pricing</w:t>
            </w:r>
          </w:p>
        </w:tc>
        <w:tc>
          <w:tcPr>
            <w:tcW w:type="dxa" w:w="2880"/>
          </w:tcPr>
          <w:p>
            <w:r/>
            <w:r>
              <w:t>EV07, EV15, EV28, EV42</w:t>
            </w:r>
          </w:p>
        </w:tc>
        <w:tc>
          <w:tcPr>
            <w:tcW w:type="dxa" w:w="2880"/>
          </w:tcPr>
          <w:p>
            <w:r/>
            <w:r>
              <w:t>Accepted in part; represented within Retail-stage quality/price factors, with GI/branding noted as a policy recommendation (Chapter 8) rather than a channel factor.</w:t>
            </w:r>
          </w:p>
        </w:tc>
      </w:tr>
      <w:tr>
        <w:tc>
          <w:tcPr>
            <w:tcW w:type="dxa" w:w="2880"/>
          </w:tcPr>
          <w:p>
            <w:r/>
            <w:r>
              <w:t>Insurance, subsidy disbursement, inter-state taxes/documentation, fuel surcharges</w:t>
            </w:r>
          </w:p>
        </w:tc>
        <w:tc>
          <w:tcPr>
            <w:tcW w:type="dxa" w:w="2880"/>
          </w:tcPr>
          <w:p>
            <w:r/>
            <w:r>
              <w:t>EV11, EV22, EV29, EV31, EV38</w:t>
            </w:r>
          </w:p>
        </w:tc>
        <w:tc>
          <w:tcPr>
            <w:tcW w:type="dxa" w:w="2880"/>
          </w:tcPr>
          <w:p>
            <w:r/>
            <w:r>
              <w:t>Accepted; represented within the relevant stage cost factors or noted where outside channel scope.</w:t>
            </w:r>
          </w:p>
        </w:tc>
      </w:tr>
      <w:tr>
        <w:tc>
          <w:tcPr>
            <w:tcW w:type="dxa" w:w="2880"/>
          </w:tcPr>
          <w:p>
            <w:r/>
            <w:r>
              <w:t>Pest/disease incidence, fruit maturity, rootstock, farmer training</w:t>
            </w:r>
          </w:p>
        </w:tc>
        <w:tc>
          <w:tcPr>
            <w:tcW w:type="dxa" w:w="2880"/>
          </w:tcPr>
          <w:p>
            <w:r/>
            <w:r>
              <w:t>EV10, EV13, EV26, EV30</w:t>
            </w:r>
          </w:p>
        </w:tc>
        <w:tc>
          <w:tcPr>
            <w:tcW w:type="dxa" w:w="2880"/>
          </w:tcPr>
          <w:p>
            <w:r/>
            <w:r>
              <w:t>Accepted; represented within Farm-stage quality factors.</w:t>
            </w:r>
          </w:p>
        </w:tc>
      </w:tr>
    </w:tbl>
    <w:p>
      <w:r>
        <w:rPr>
          <w:b/>
          <w:i w:val="0"/>
        </w:rPr>
        <w:t>D.2 Disposition of redundancy/irrelevance flags (Q2)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Flagged factor(s)</w:t>
            </w:r>
          </w:p>
        </w:tc>
        <w:tc>
          <w:tcPr>
            <w:tcW w:type="dxa" w:w="2880"/>
          </w:tcPr>
          <w:p>
            <w:r/>
            <w:r>
              <w:rPr>
                <w:b/>
              </w:rPr>
              <w:t>Experts</w:t>
            </w:r>
          </w:p>
        </w:tc>
        <w:tc>
          <w:tcPr>
            <w:tcW w:type="dxa" w:w="2880"/>
          </w:tcPr>
          <w:p>
            <w:r/>
            <w:r>
              <w:rPr>
                <w:b/>
              </w:rPr>
              <w:t>Action taken</w:t>
            </w:r>
          </w:p>
        </w:tc>
      </w:tr>
      <w:tr>
        <w:tc>
          <w:tcPr>
            <w:tcW w:type="dxa" w:w="2880"/>
          </w:tcPr>
          <w:p>
            <w:r/>
            <w:r>
              <w:t>F_COST_2 &amp; F_COST_4 (crate + packing cost)</w:t>
            </w:r>
          </w:p>
        </w:tc>
        <w:tc>
          <w:tcPr>
            <w:tcW w:type="dxa" w:w="2880"/>
          </w:tcPr>
          <w:p>
            <w:r/>
            <w:r>
              <w:t>EV02</w:t>
            </w:r>
          </w:p>
        </w:tc>
        <w:tc>
          <w:tcPr>
            <w:tcW w:type="dxa" w:w="2880"/>
          </w:tcPr>
          <w:p>
            <w:r/>
            <w:r>
              <w:t>Merged into a single packaging-overhead factor.</w:t>
            </w:r>
          </w:p>
        </w:tc>
      </w:tr>
      <w:tr>
        <w:tc>
          <w:tcPr>
            <w:tcW w:type="dxa" w:w="2880"/>
          </w:tcPr>
          <w:p>
            <w:r/>
            <w:r>
              <w:t>F_COST_1 &amp; F_COST_6; F_TIME_2 &amp; F_TIME_3; F_TIME_5 &amp; F_TIME_6; F_TIME_4</w:t>
            </w:r>
          </w:p>
        </w:tc>
        <w:tc>
          <w:tcPr>
            <w:tcW w:type="dxa" w:w="2880"/>
          </w:tcPr>
          <w:p>
            <w:r/>
            <w:r>
              <w:t>EV13, EV09, EV20, EV39</w:t>
            </w:r>
          </w:p>
        </w:tc>
        <w:tc>
          <w:tcPr>
            <w:tcW w:type="dxa" w:w="2880"/>
          </w:tcPr>
          <w:p>
            <w:r/>
            <w:r>
              <w:t>Merged into consolidated labour-cost and outbound lead-time factors.</w:t>
            </w:r>
          </w:p>
        </w:tc>
      </w:tr>
      <w:tr>
        <w:tc>
          <w:tcPr>
            <w:tcW w:type="dxa" w:w="2880"/>
          </w:tcPr>
          <w:p>
            <w:r/>
            <w:r>
              <w:t>T_TIME_2 vs T_QUAL_1; T_TIME_3; T_COST_3; T_COST_5</w:t>
            </w:r>
          </w:p>
        </w:tc>
        <w:tc>
          <w:tcPr>
            <w:tcW w:type="dxa" w:w="2880"/>
          </w:tcPr>
          <w:p>
            <w:r/>
            <w:r>
              <w:t>EV05, EV32, EV38, EV27</w:t>
            </w:r>
          </w:p>
        </w:tc>
        <w:tc>
          <w:tcPr>
            <w:tcW w:type="dxa" w:w="2880"/>
          </w:tcPr>
          <w:p>
            <w:r/>
            <w:r>
              <w:t>Merged or removed as overlapping with farm-level sorting or mandi/retail charges.</w:t>
            </w:r>
          </w:p>
        </w:tc>
      </w:tr>
      <w:tr>
        <w:tc>
          <w:tcPr>
            <w:tcW w:type="dxa" w:w="2880"/>
          </w:tcPr>
          <w:p>
            <w:r/>
            <w:r>
              <w:t>T_COST_4 (re-grading/re-packing)</w:t>
            </w:r>
          </w:p>
        </w:tc>
        <w:tc>
          <w:tcPr>
            <w:tcW w:type="dxa" w:w="2880"/>
          </w:tcPr>
          <w:p>
            <w:r/>
            <w:r>
              <w:t>EV15, EV42</w:t>
            </w:r>
          </w:p>
        </w:tc>
        <w:tc>
          <w:tcPr>
            <w:tcW w:type="dxa" w:w="2880"/>
          </w:tcPr>
          <w:p>
            <w:r/>
            <w:r>
              <w:t>Removed; duplicated initial grading cost.</w:t>
            </w:r>
          </w:p>
        </w:tc>
      </w:tr>
      <w:tr>
        <w:tc>
          <w:tcPr>
            <w:tcW w:type="dxa" w:w="2880"/>
          </w:tcPr>
          <w:p>
            <w:r/>
            <w:r>
              <w:t>M_TIME_3; M_TIME_2; M_TIME_4; M_COST_2; M_COST_3</w:t>
            </w:r>
          </w:p>
        </w:tc>
        <w:tc>
          <w:tcPr>
            <w:tcW w:type="dxa" w:w="2880"/>
          </w:tcPr>
          <w:p>
            <w:r/>
            <w:r>
              <w:t>EV03, EV35, EV19, EV25/EV36, EV06</w:t>
            </w:r>
          </w:p>
        </w:tc>
        <w:tc>
          <w:tcPr>
            <w:tcW w:type="dxa" w:w="2880"/>
          </w:tcPr>
          <w:p>
            <w:r/>
            <w:r>
              <w:t>Removed or grouped under administrative/entry overheads as low-variance in hill mandis.</w:t>
            </w:r>
          </w:p>
        </w:tc>
      </w:tr>
      <w:tr>
        <w:tc>
          <w:tcPr>
            <w:tcW w:type="dxa" w:w="2880"/>
          </w:tcPr>
          <w:p>
            <w:r/>
            <w:r>
              <w:t>M_QUAL_1; M_QUAL_2; M_QUAL_4; M_QUAL_5</w:t>
            </w:r>
          </w:p>
        </w:tc>
        <w:tc>
          <w:tcPr>
            <w:tcW w:type="dxa" w:w="2880"/>
          </w:tcPr>
          <w:p>
            <w:r/>
            <w:r>
              <w:t>EV14, EV43, EV10, EV30</w:t>
            </w:r>
          </w:p>
        </w:tc>
        <w:tc>
          <w:tcPr>
            <w:tcW w:type="dxa" w:w="2880"/>
          </w:tcPr>
          <w:p>
            <w:r/>
            <w:r>
              <w:t>Removed as rarely performed or redundant with transport-loading variables.</w:t>
            </w:r>
          </w:p>
        </w:tc>
      </w:tr>
      <w:tr>
        <w:tc>
          <w:tcPr>
            <w:tcW w:type="dxa" w:w="2880"/>
          </w:tcPr>
          <w:p>
            <w:r/>
            <w:r>
              <w:t>R_COST_5 (retail rent); R_COST_6 (retail labour)</w:t>
            </w:r>
          </w:p>
        </w:tc>
        <w:tc>
          <w:tcPr>
            <w:tcW w:type="dxa" w:w="2880"/>
          </w:tcPr>
          <w:p>
            <w:r/>
            <w:r>
              <w:t>EV01, EV08, EV21, EV33, EV44</w:t>
            </w:r>
          </w:p>
        </w:tc>
        <w:tc>
          <w:tcPr>
            <w:tcW w:type="dxa" w:w="2880"/>
          </w:tcPr>
          <w:p>
            <w:r/>
            <w:r>
              <w:t>Removed/merged as external to rural supply-chain efficiency and adding noise to cost analysis.</w:t>
            </w:r>
          </w:p>
        </w:tc>
      </w:tr>
      <w:tr>
        <w:tc>
          <w:tcPr>
            <w:tcW w:type="dxa" w:w="2880"/>
          </w:tcPr>
          <w:p>
            <w:r/>
            <w:r>
              <w:t>R_TIME_2; R_TIME_3; R_TIME_4; R_QUAL_4; R_QUAL_5</w:t>
            </w:r>
          </w:p>
        </w:tc>
        <w:tc>
          <w:tcPr>
            <w:tcW w:type="dxa" w:w="2880"/>
          </w:tcPr>
          <w:p>
            <w:r/>
            <w:r>
              <w:t>EV12, EV24, EV28, EV37, EV41, EV17</w:t>
            </w:r>
          </w:p>
        </w:tc>
        <w:tc>
          <w:tcPr>
            <w:tcW w:type="dxa" w:w="2880"/>
          </w:tcPr>
          <w:p>
            <w:r/>
            <w:r>
              <w:t>Removed as non-critical, subjective, or difficult to capture in informal retail.</w:t>
            </w:r>
          </w:p>
        </w:tc>
      </w:tr>
      <w:tr>
        <w:tc>
          <w:tcPr>
            <w:tcW w:type="dxa" w:w="2880"/>
          </w:tcPr>
          <w:p>
            <w:r/>
            <w:r>
              <w:t>TR_TIME_1; TR_TIME_4; TR_TIME_5</w:t>
            </w:r>
          </w:p>
        </w:tc>
        <w:tc>
          <w:tcPr>
            <w:tcW w:type="dxa" w:w="2880"/>
          </w:tcPr>
          <w:p>
            <w:r/>
            <w:r>
              <w:t>EV16, EV34, EV07, EV45</w:t>
            </w:r>
          </w:p>
        </w:tc>
        <w:tc>
          <w:tcPr>
            <w:tcW w:type="dxa" w:w="2880"/>
          </w:tcPr>
          <w:p>
            <w:r/>
            <w:r>
              <w:t>Retained TR_TIME_1 at moderate weight; TR_TIME_4 merged with destination transit; TR_TIME_5 excluded from forward-delivery efficiency.</w:t>
            </w:r>
          </w:p>
        </w:tc>
      </w:tr>
      <w:tr>
        <w:tc>
          <w:tcPr>
            <w:tcW w:type="dxa" w:w="2880"/>
          </w:tcPr>
          <w:p>
            <w:r/>
            <w:r>
              <w:t>TR_COST_5; TR_COST_6; TR_QUAL_2; TR_QUAL_4</w:t>
            </w:r>
          </w:p>
        </w:tc>
        <w:tc>
          <w:tcPr>
            <w:tcW w:type="dxa" w:w="2880"/>
          </w:tcPr>
          <w:p>
            <w:r/>
            <w:r>
              <w:t>EV11, EV40, EV18, EV23, EV29</w:t>
            </w:r>
          </w:p>
        </w:tc>
        <w:tc>
          <w:tcPr>
            <w:tcW w:type="dxa" w:w="2880"/>
          </w:tcPr>
          <w:p>
            <w:r/>
            <w:r>
              <w:t>Merged with freight/vehicle-condition factors or retained at uniformly low score where capacity is currently absent.</w:t>
            </w:r>
          </w:p>
        </w:tc>
      </w:tr>
    </w:tbl>
    <w:p>
      <w:r>
        <w:rPr>
          <w:b w:val="0"/>
          <w:i w:val="0"/>
        </w:rPr>
        <w:t>Where a suggested factor lay outside the boundary of the distribution channel (for example, orchard rootstock selection or consumer branding), it was retained as a policy or future-research point rather than as a channel factor, so that the 82-factor set remained conceptually clean and analytically feasible for the Fuzzy AHP-Fuzzy ELECTRE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